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jc w:val="both"/>
        <w:rPr/>
      </w:pPr>
      <w:r>
        <w:rPr>
          <w:rFonts w:cs="Times New Roman" w:ascii="Palatino Linotype" w:hAnsi="Palatino Linotype"/>
          <w:sz w:val="44"/>
          <w:szCs w:val="44"/>
          <w:lang w:val="en-GB"/>
        </w:rPr>
        <w:t>Supplementary Information for</w:t>
      </w:r>
    </w:p>
    <w:p>
      <w:pPr>
        <w:pStyle w:val="Title"/>
        <w:spacing w:lineRule="auto" w:line="480" w:before="240" w:after="60"/>
        <w:jc w:val="left"/>
        <w:rPr>
          <w:color w:val="000000"/>
        </w:rPr>
      </w:pPr>
      <w:r>
        <w:rPr>
          <w:rFonts w:eastAsia="Noto Serif CJK SC" w:cs="Times New Roman" w:ascii="Palatino Linotype" w:hAnsi="Palatino Linotype"/>
          <w:color w:val="000000"/>
          <w:kern w:val="2"/>
          <w:sz w:val="32"/>
          <w:szCs w:val="32"/>
          <w:lang w:val="en-GB" w:eastAsia="zh-CN" w:bidi="hi-IN"/>
        </w:rPr>
        <w:t>Projected changes in atmospheric moisture transport contributions associated with climate warming</w:t>
      </w:r>
    </w:p>
    <w:p>
      <w:pPr>
        <w:pStyle w:val="Normal"/>
        <w:spacing w:lineRule="auto" w:line="480" w:beforeAutospacing="1" w:afterAutospacing="1"/>
        <w:jc w:val="both"/>
        <w:rPr/>
      </w:pPr>
      <w:r>
        <w:rPr>
          <w:rFonts w:eastAsia="Times New Roman" w:cs="Times New Roman" w:ascii="Palatino Linotype" w:hAnsi="Palatino Linotype"/>
          <w:b/>
          <w:bCs/>
          <w:color w:val="000000"/>
          <w:lang w:val="en-GB" w:eastAsia="de-DE" w:bidi="en-US"/>
        </w:rPr>
        <w:t>Section 1. Materials and Methodology</w:t>
      </w:r>
    </w:p>
    <w:p>
      <w:pPr>
        <w:pStyle w:val="Normal"/>
        <w:spacing w:lineRule="auto" w:line="480" w:beforeAutospacing="1" w:afterAutospacing="1"/>
        <w:jc w:val="both"/>
        <w:rPr/>
      </w:pPr>
      <w:r>
        <w:rPr>
          <w:rFonts w:eastAsia="Times New Roman" w:cs="Times New Roman" w:ascii="Palatino Linotype" w:hAnsi="Palatino Linotype"/>
          <w:b/>
          <w:bCs/>
          <w:color w:val="000000"/>
          <w:lang w:val="en-GB" w:eastAsia="de-DE" w:bidi="en-US"/>
        </w:rPr>
        <w:t xml:space="preserve">Section 1.1 Data description </w:t>
      </w:r>
    </w:p>
    <w:p>
      <w:pPr>
        <w:pStyle w:val="Text"/>
        <w:spacing w:lineRule="auto" w:line="480" w:beforeAutospacing="1" w:afterAutospacing="1"/>
        <w:jc w:val="both"/>
        <w:rPr/>
      </w:pPr>
      <w:r>
        <w:rPr>
          <w:rFonts w:cs="Times New Roman" w:ascii="Palatino Linotype" w:hAnsi="Palatino Linotype"/>
          <w:color w:val="000000"/>
          <w:lang w:val="en-GB" w:eastAsia="de-DE" w:bidi="en-US"/>
        </w:rPr>
        <w:t xml:space="preserve">To obtain the </w:t>
      </w:r>
      <w:r>
        <w:rPr>
          <w:rFonts w:eastAsia="AR PL SungtiL GB" w:cs="Times New Roman" w:ascii="Palatino Linotype" w:hAnsi="Palatino Linotype"/>
          <w:color w:val="000000"/>
          <w:lang w:val="en-GB" w:eastAsia="de-DE" w:bidi="en-US"/>
        </w:rPr>
        <w:t>FLEXPART-WRF</w:t>
      </w:r>
      <w:r>
        <w:rPr>
          <w:rFonts w:cs="Times New Roman" w:ascii="Palatino Linotype" w:hAnsi="Palatino Linotype"/>
          <w:color w:val="000000"/>
          <w:lang w:val="en-GB" w:eastAsia="de-DE" w:bidi="en-US"/>
        </w:rPr>
        <w:t xml:space="preserve"> outputs for our experiments during the historical and future periods (under three </w:t>
      </w:r>
      <w:r>
        <w:rPr>
          <w:rFonts w:eastAsia="AR PL SungtiL GB" w:cs="Times New Roman" w:ascii="Palatino Linotype" w:hAnsi="Palatino Linotype"/>
          <w:color w:val="000000"/>
          <w:lang w:val="en-GB"/>
        </w:rPr>
        <w:t>shared socioeconomic pathways, SSPs)</w:t>
      </w:r>
      <w:r>
        <w:rPr>
          <w:rFonts w:cs="Times New Roman" w:ascii="Palatino Linotype" w:hAnsi="Palatino Linotype"/>
          <w:color w:val="000000"/>
          <w:lang w:val="en-GB" w:eastAsia="de-DE"/>
        </w:rPr>
        <w:t>,</w:t>
      </w:r>
      <w:r>
        <w:rPr>
          <w:rFonts w:cs="Times New Roman" w:ascii="Palatino Linotype" w:hAnsi="Palatino Linotype"/>
          <w:color w:val="000000"/>
          <w:lang w:val="en-GB" w:eastAsia="de-DE" w:bidi="en-US"/>
        </w:rPr>
        <w:t xml:space="preserve"> two sets of input data were used: dynamical downscaled data (using the </w:t>
      </w:r>
      <w:r>
        <w:rPr>
          <w:rFonts w:cs="Times New Roman" w:ascii="Palatino Linotype" w:hAnsi="Palatino Linotype"/>
          <w:lang w:val="en-GB"/>
        </w:rPr>
        <w:t xml:space="preserve">Weather Research and Forecasting, </w:t>
      </w:r>
      <w:r>
        <w:rPr>
          <w:rFonts w:cs="Times New Roman" w:ascii="Palatino Linotype" w:hAnsi="Palatino Linotype"/>
          <w:color w:val="000000"/>
          <w:lang w:val="en-GB" w:eastAsia="de-DE" w:bidi="en-US"/>
        </w:rPr>
        <w:t>WRF-ARW, model) from CESM2 outputs and from ERA5 reanalysis (</w:t>
      </w:r>
      <w:r>
        <w:rPr>
          <w:rFonts w:eastAsia="AR PL SungtiL GB" w:cs="Times New Roman" w:ascii="Palatino Linotype" w:hAnsi="Palatino Linotype"/>
          <w:color w:val="000000"/>
          <w:lang w:val="en-GB"/>
        </w:rPr>
        <w:t>WRF-CESM2 and WRF-ERA5, respectively)</w:t>
      </w:r>
      <w:r>
        <w:rPr>
          <w:rFonts w:cs="Times New Roman" w:ascii="Palatino Linotype" w:hAnsi="Palatino Linotype"/>
          <w:color w:val="000000"/>
          <w:lang w:val="en-GB" w:eastAsia="de-DE" w:bidi="en-US"/>
        </w:rPr>
        <w:t>.</w:t>
      </w:r>
    </w:p>
    <w:p>
      <w:pPr>
        <w:pStyle w:val="Text"/>
        <w:spacing w:lineRule="auto" w:line="480" w:beforeAutospacing="1" w:afterAutospacing="1"/>
        <w:jc w:val="both"/>
        <w:rPr/>
      </w:pPr>
      <w:r>
        <w:rPr>
          <w:rFonts w:cs="Times New Roman" w:ascii="Palatino Linotype" w:hAnsi="Palatino Linotype"/>
          <w:color w:val="000000"/>
          <w:lang w:val="en-GB" w:eastAsia="de-DE" w:bidi="en-US"/>
        </w:rPr>
        <w:t>The CESM2 (Community Earth System Model Version 2)</w:t>
      </w:r>
      <w:r>
        <w:rPr>
          <w:rFonts w:cs="Times New Roman" w:ascii="Palatino Linotype" w:hAnsi="Palatino Linotype"/>
          <w:color w:val="000000"/>
          <w:vertAlign w:val="superscript"/>
          <w:lang w:val="en-GB" w:eastAsia="de-DE" w:bidi="en-US"/>
        </w:rPr>
        <w:t>1</w:t>
      </w:r>
      <w:r>
        <w:rPr>
          <w:rFonts w:cs="Times New Roman" w:ascii="Palatino Linotype" w:hAnsi="Palatino Linotype"/>
          <w:color w:val="000000"/>
          <w:lang w:val="en-GB" w:eastAsia="de-DE" w:bidi="en-US"/>
        </w:rPr>
        <w:t xml:space="preserve"> data were downloaded from the Earth System Grid Federation (ESGF2) and they were obtained for the native "gn" grid with a resolution of 0.9 x 1.25 (~1</w:t>
      </w:r>
      <w:r>
        <w:rPr>
          <w:rFonts w:cs="Times New Roman" w:ascii="Palatino Linotype" w:hAnsi="Palatino Linotype"/>
          <w:color w:val="000000"/>
          <w:vertAlign w:val="superscript"/>
          <w:lang w:val="en-GB" w:eastAsia="de-DE" w:bidi="en-US"/>
        </w:rPr>
        <w:t>o</w:t>
      </w:r>
      <w:r>
        <w:rPr>
          <w:rFonts w:cs="Times New Roman" w:ascii="Palatino Linotype" w:hAnsi="Palatino Linotype"/>
          <w:color w:val="000000"/>
          <w:lang w:val="en-GB" w:eastAsia="de-DE" w:bidi="en-US"/>
        </w:rPr>
        <w:t xml:space="preserve">) and presented as an output mesh with 288 × 192 longitude/latitude, 32 vertical levels (top level at 2.25 mb). To force the WRF-ARW model, all </w:t>
      </w:r>
      <w:r>
        <w:rPr>
          <w:rFonts w:eastAsia="AR PL SungtiL GB" w:cs="Times New Roman" w:ascii="Palatino Linotype" w:hAnsi="Palatino Linotype"/>
          <w:color w:val="000000"/>
          <w:lang w:val="en-GB"/>
        </w:rPr>
        <w:t xml:space="preserve">CESM2 </w:t>
      </w:r>
      <w:r>
        <w:rPr>
          <w:rFonts w:cs="Times New Roman" w:ascii="Palatino Linotype" w:hAnsi="Palatino Linotype"/>
          <w:color w:val="000000"/>
          <w:lang w:val="en-GB" w:eastAsia="de-DE" w:bidi="en-US"/>
        </w:rPr>
        <w:t xml:space="preserve">climatic data were processed to create </w:t>
      </w:r>
      <w:r>
        <w:rPr>
          <w:rFonts w:eastAsia="AR PL SungtiL GB" w:cs="Times New Roman" w:ascii="Palatino Linotype" w:hAnsi="Palatino Linotype"/>
          <w:color w:val="000000"/>
          <w:lang w:val="en-GB"/>
        </w:rPr>
        <w:t>intermediate files (26 vertical levels) that were used as the initial and boundary conditions. The CESM2 data has been evaluated for representing jet streams and storm tracks, Northern Hemisphere (NH) stationary waves, global divergent circulation, annular modes, the North Atlantic Oscillation and NH winter blocking</w:t>
      </w:r>
      <w:r>
        <w:rPr>
          <w:rFonts w:eastAsia="AR PL SungtiL GB" w:cs="Times New Roman" w:ascii="Palatino Linotype" w:hAnsi="Palatino Linotype"/>
          <w:color w:val="000000"/>
          <w:vertAlign w:val="superscript"/>
          <w:lang w:val="en-GB"/>
        </w:rPr>
        <w:t>2</w:t>
      </w:r>
      <w:r>
        <w:rPr>
          <w:rFonts w:eastAsia="AR PL SungtiL GB" w:cs="Times New Roman" w:ascii="Palatino Linotype" w:hAnsi="Palatino Linotype"/>
          <w:color w:val="000000"/>
          <w:lang w:val="en-GB"/>
        </w:rPr>
        <w:t>.  CESM2 ranks within the top 10% of CMIP class models with respect to many of these features</w:t>
      </w:r>
      <w:r>
        <w:rPr>
          <w:rFonts w:eastAsia="AR PL SungtiL GB" w:cs="Times New Roman" w:ascii="Palatino Linotype" w:hAnsi="Palatino Linotype"/>
          <w:color w:val="000000"/>
          <w:vertAlign w:val="superscript"/>
          <w:lang w:val="en-GB"/>
        </w:rPr>
        <w:t>2</w:t>
      </w:r>
      <w:r>
        <w:rPr>
          <w:rFonts w:eastAsia="AR PL SungtiL GB" w:cs="Times New Roman" w:ascii="Palatino Linotype" w:hAnsi="Palatino Linotype"/>
          <w:color w:val="000000"/>
          <w:lang w:val="en-GB"/>
        </w:rPr>
        <w:t xml:space="preserve">. CESM2 provides all the necessary variables to force WRF-ARW at a better resolution than </w:t>
      </w:r>
      <w:r>
        <w:rPr>
          <w:rFonts w:eastAsia="AR PL SungtiL GB" w:cs="Times New Roman" w:ascii="Palatino Linotype" w:hAnsi="Palatino Linotype"/>
          <w:lang w:val="en-GB"/>
        </w:rPr>
        <w:t xml:space="preserve">other models that which have a resolution of </w:t>
      </w:r>
      <w:r>
        <w:rPr>
          <w:rFonts w:eastAsia="AR PL SungtiL GB" w:cs="Times New Roman" w:ascii="Palatino Linotype" w:hAnsi="Palatino Linotype"/>
          <w:color w:val="000000"/>
          <w:lang w:val="en-GB"/>
        </w:rPr>
        <w:t>approximately 250 km.</w:t>
      </w:r>
    </w:p>
    <w:p>
      <w:pPr>
        <w:pStyle w:val="Text"/>
        <w:spacing w:lineRule="auto" w:line="480" w:beforeAutospacing="1" w:afterAutospacing="1"/>
        <w:ind w:firstLine="709"/>
        <w:jc w:val="both"/>
        <w:rPr/>
      </w:pPr>
      <w:r>
        <w:rPr>
          <w:rFonts w:eastAsia="AR PL SungtiL GB" w:cs="Times New Roman" w:ascii="Palatino Linotype" w:hAnsi="Palatino Linotype"/>
          <w:color w:val="000000"/>
          <w:lang w:val="en-GB"/>
        </w:rPr>
        <w:t>The shared socioeconomic pathways (SSPs) used in this research were SSP2-4.5, SSP3-7.0, and SSP5-8.5</w:t>
      </w:r>
      <w:r>
        <w:rPr>
          <w:rFonts w:eastAsia="AR PL SungtiL GB" w:cs="Times New Roman" w:ascii="Palatino Linotype" w:hAnsi="Palatino Linotype"/>
          <w:color w:val="000000"/>
          <w:vertAlign w:val="superscript"/>
          <w:lang w:val="en-GB"/>
        </w:rPr>
        <w:t>3,4</w:t>
      </w:r>
      <w:r>
        <w:rPr>
          <w:rFonts w:eastAsia="AR PL SungtiL GB" w:cs="Times New Roman" w:ascii="Palatino Linotype" w:hAnsi="Palatino Linotype"/>
          <w:color w:val="000000"/>
          <w:lang w:val="en-GB"/>
        </w:rPr>
        <w:t>. They differ in several aspects: SSP2-4.5 represents the medium part of the future forcing pathway range, and it is an update of RCP4.5. It reflects a non-extreme use of the soil and aerosol pathways (radiative forcing of 4.5 W m</w:t>
      </w:r>
      <w:r>
        <w:rPr>
          <w:rFonts w:eastAsia="AR PL SungtiL GB" w:cs="Times New Roman" w:ascii="Palatino Linotype" w:hAnsi="Palatino Linotype"/>
          <w:color w:val="000000"/>
          <w:vertAlign w:val="superscript"/>
          <w:lang w:val="en-GB"/>
        </w:rPr>
        <w:t>-2</w:t>
      </w:r>
      <w:r>
        <w:rPr>
          <w:rFonts w:eastAsia="AR PL SungtiL GB" w:cs="Times New Roman" w:ascii="Palatino Linotype" w:hAnsi="Palatino Linotype"/>
          <w:color w:val="000000"/>
          <w:lang w:val="en-GB"/>
        </w:rPr>
        <w:t xml:space="preserve"> for 2100). SSP3-7.0 is the medium-to-high end of the future forcing pathway range, and it provides a scenario with both substantial land-use changes (in particular, decreased global forest cover) </w:t>
      </w:r>
      <w:r>
        <w:rPr>
          <w:rFonts w:eastAsia="AR PL SungtiL GB" w:cs="Times New Roman" w:ascii="Palatino Linotype" w:hAnsi="Palatino Linotype"/>
          <w:lang w:val="en-GB"/>
        </w:rPr>
        <w:t xml:space="preserve">and high Near Term Climate Forcers </w:t>
      </w:r>
      <w:r>
        <w:rPr>
          <w:rFonts w:eastAsia="AR PL SungtiL GB" w:cs="Times New Roman" w:ascii="Palatino Linotype" w:hAnsi="Palatino Linotype"/>
          <w:color w:val="000000"/>
          <w:lang w:val="en-GB"/>
        </w:rPr>
        <w:t>(NTCF) emissions (particularly SO</w:t>
      </w:r>
      <w:r>
        <w:rPr>
          <w:rFonts w:eastAsia="AR PL SungtiL GB" w:cs="Times New Roman" w:ascii="Palatino Linotype" w:hAnsi="Palatino Linotype"/>
          <w:color w:val="000000"/>
          <w:vertAlign w:val="subscript"/>
          <w:lang w:val="en-GB"/>
        </w:rPr>
        <w:t>2</w:t>
      </w:r>
      <w:r>
        <w:rPr>
          <w:rFonts w:eastAsia="AR PL SungtiL GB" w:cs="Times New Roman" w:ascii="Palatino Linotype" w:hAnsi="Palatino Linotype"/>
          <w:color w:val="000000"/>
          <w:lang w:val="en-GB"/>
        </w:rPr>
        <w:t>) (radiative forcing of 7.0 Wm</w:t>
      </w:r>
      <w:r>
        <w:rPr>
          <w:rFonts w:eastAsia="AR PL SungtiL GB" w:cs="Times New Roman" w:ascii="Palatino Linotype" w:hAnsi="Palatino Linotype"/>
          <w:color w:val="000000"/>
          <w:vertAlign w:val="superscript"/>
          <w:lang w:val="en-GB"/>
        </w:rPr>
        <w:t>-2</w:t>
      </w:r>
      <w:r>
        <w:rPr>
          <w:rFonts w:eastAsia="AR PL SungtiL GB" w:cs="Times New Roman" w:ascii="Palatino Linotype" w:hAnsi="Palatino Linotype"/>
          <w:color w:val="000000"/>
          <w:lang w:val="en-GB"/>
        </w:rPr>
        <w:t xml:space="preserve"> for 2100). Finally, SSP5-8.5 is a scenario that represents emissions high enough to produce a radiative forcing of 8.5 W m</w:t>
      </w:r>
      <w:r>
        <w:rPr>
          <w:rFonts w:eastAsia="AR PL SungtiL GB" w:cs="Times New Roman" w:ascii="Palatino Linotype" w:hAnsi="Palatino Linotype"/>
          <w:color w:val="000000"/>
          <w:vertAlign w:val="superscript"/>
          <w:lang w:val="en-GB"/>
        </w:rPr>
        <w:t>-2</w:t>
      </w:r>
      <w:r>
        <w:rPr>
          <w:rFonts w:eastAsia="AR PL SungtiL GB" w:cs="Times New Roman" w:ascii="Palatino Linotype" w:hAnsi="Palatino Linotype"/>
          <w:color w:val="000000"/>
          <w:lang w:val="en-GB"/>
        </w:rPr>
        <w:t xml:space="preserve"> in 2100 under extreme conditions.</w:t>
      </w:r>
    </w:p>
    <w:p>
      <w:pPr>
        <w:pStyle w:val="Text"/>
        <w:spacing w:lineRule="auto" w:line="480" w:beforeAutospacing="1" w:afterAutospacing="1"/>
        <w:ind w:hanging="0"/>
        <w:jc w:val="both"/>
        <w:rPr/>
      </w:pPr>
      <w:r>
        <w:rPr>
          <w:rFonts w:eastAsia="AR PL SungtiL GB" w:cs="Times New Roman" w:ascii="Palatino Linotype" w:hAnsi="Palatino Linotype"/>
          <w:color w:val="000000"/>
          <w:lang w:val="en-GB"/>
        </w:rPr>
        <w:t>ERA5</w:t>
      </w:r>
      <w:r>
        <w:rPr>
          <w:rFonts w:eastAsia="AR PL SungtiL GB" w:cs="Times New Roman" w:ascii="Palatino Linotype" w:hAnsi="Palatino Linotype"/>
          <w:color w:val="000000"/>
          <w:vertAlign w:val="superscript"/>
          <w:lang w:val="en-GB"/>
        </w:rPr>
        <w:t>5</w:t>
      </w:r>
      <w:r>
        <w:rPr>
          <w:rFonts w:eastAsia="AR PL SungtiL GB" w:cs="Times New Roman" w:ascii="Palatino Linotype" w:hAnsi="Palatino Linotype"/>
          <w:color w:val="000000"/>
          <w:lang w:val="en-GB"/>
        </w:rPr>
        <w:t xml:space="preserve"> is the most recent (5</w:t>
      </w:r>
      <w:r>
        <w:rPr>
          <w:rFonts w:eastAsia="AR PL SungtiL GB" w:cs="Times New Roman" w:ascii="Palatino Linotype" w:hAnsi="Palatino Linotype"/>
          <w:color w:val="000000"/>
          <w:vertAlign w:val="superscript"/>
          <w:lang w:val="en-GB"/>
        </w:rPr>
        <w:t>th</w:t>
      </w:r>
      <w:r>
        <w:rPr>
          <w:rFonts w:eastAsia="AR PL SungtiL GB" w:cs="Times New Roman" w:ascii="Palatino Linotype" w:hAnsi="Palatino Linotype"/>
          <w:color w:val="000000"/>
          <w:lang w:val="en-GB"/>
        </w:rPr>
        <w:t xml:space="preserve"> generation) global atmospheric reanalysis of the European Centre for Medium-Range Weather Forecasts (ECMWF), and it was used to compare fields for the historical period of 2010–2014. WRF-ARW_ERA5 outputs were employed to force the FLEXPART-WRF model. These simulations corresponded to the control experiments for evaluating the configuration (see Section 1.4). The advantages of ERA5 are its high resolution (31 km horizontally and 137 vertical levels) and large number of assimilated historical observations. ERA5 significantly improves upon its predecessor, ERA-Interim reanalysis, particularly with respect to precipitation fields both over extratropical regions and tropical oceanic areas.</w:t>
      </w:r>
    </w:p>
    <w:p>
      <w:pPr>
        <w:pStyle w:val="HeadingSecondary"/>
        <w:spacing w:lineRule="auto" w:line="480" w:beforeAutospacing="1" w:afterAutospacing="1"/>
        <w:ind w:left="0" w:hanging="0"/>
        <w:jc w:val="both"/>
        <w:rPr/>
      </w:pPr>
      <w:r>
        <w:rPr>
          <w:rFonts w:eastAsia="AR PL SungtiL GB" w:cs="Times New Roman" w:ascii="Palatino Linotype" w:hAnsi="Palatino Linotype"/>
          <w:b/>
          <w:color w:val="000000"/>
          <w:lang w:val="en-GB"/>
        </w:rPr>
        <w:t xml:space="preserve">Section 1.2 </w:t>
      </w:r>
      <w:r>
        <w:rPr>
          <w:rFonts w:eastAsia="AR PL SungtiL GB" w:cs="Times New Roman" w:ascii="Palatino Linotype" w:hAnsi="Palatino Linotype"/>
          <w:b/>
          <w:color w:val="000000"/>
          <w:lang w:val="en-GB" w:eastAsia="de-DE" w:bidi="en-US"/>
        </w:rPr>
        <w:t>Experimental setup for WRF and FLEXPART-WRF</w:t>
      </w:r>
    </w:p>
    <w:p>
      <w:pPr>
        <w:pStyle w:val="Text"/>
        <w:spacing w:lineRule="auto" w:line="480" w:beforeAutospacing="1" w:afterAutospacing="1"/>
        <w:jc w:val="both"/>
        <w:rPr/>
      </w:pPr>
      <w:r>
        <w:rPr>
          <w:rFonts w:eastAsia="AR PL SungtiL GB" w:cs="Times New Roman" w:ascii="Palatino Linotype" w:hAnsi="Palatino Linotype"/>
          <w:color w:val="000000"/>
          <w:lang w:val="en-GB" w:eastAsia="de-DE" w:bidi="en-US"/>
        </w:rPr>
        <w:t>The parameterisations employed in the WRF-ARW configuration were as follows: the WSM6 microphysics scheme</w:t>
      </w:r>
      <w:r>
        <w:rPr>
          <w:rFonts w:eastAsia="AR PL SungtiL GB" w:cs="Times New Roman" w:ascii="Palatino Linotype" w:hAnsi="Palatino Linotype"/>
          <w:color w:val="000000"/>
          <w:vertAlign w:val="superscript"/>
          <w:lang w:val="en-GB" w:eastAsia="de-DE" w:bidi="en-US"/>
        </w:rPr>
        <w:t>6</w:t>
      </w:r>
      <w:r>
        <w:rPr>
          <w:rFonts w:eastAsia="AR PL SungtiL GB" w:cs="Times New Roman" w:ascii="Palatino Linotype" w:hAnsi="Palatino Linotype"/>
          <w:color w:val="000000"/>
          <w:lang w:val="en-GB" w:eastAsia="de-DE" w:bidi="en-US"/>
        </w:rPr>
        <w:t>, Yonsei University planetary boundary layer (PBL) scheme</w:t>
      </w:r>
      <w:r>
        <w:rPr>
          <w:rFonts w:eastAsia="AR PL SungtiL GB" w:cs="Times New Roman" w:ascii="Palatino Linotype" w:hAnsi="Palatino Linotype"/>
          <w:color w:val="000000"/>
          <w:vertAlign w:val="superscript"/>
          <w:lang w:val="en-GB" w:eastAsia="de-DE" w:bidi="en-US"/>
        </w:rPr>
        <w:t>7</w:t>
      </w:r>
      <w:r>
        <w:rPr>
          <w:rFonts w:eastAsia="AR PL SungtiL GB" w:cs="Times New Roman" w:ascii="Palatino Linotype" w:hAnsi="Palatino Linotype"/>
          <w:color w:val="000000"/>
          <w:lang w:val="en-GB" w:eastAsia="de-DE" w:bidi="en-US"/>
        </w:rPr>
        <w:t>, revised MM5 surface layer scheme</w:t>
      </w:r>
      <w:r>
        <w:rPr>
          <w:rFonts w:eastAsia="AR PL SungtiL GB" w:cs="Times New Roman" w:ascii="Palatino Linotype" w:hAnsi="Palatino Linotype"/>
          <w:color w:val="000000"/>
          <w:vertAlign w:val="superscript"/>
          <w:lang w:val="en-GB" w:eastAsia="de-DE" w:bidi="en-US"/>
        </w:rPr>
        <w:t>8</w:t>
      </w:r>
      <w:r>
        <w:rPr>
          <w:rFonts w:eastAsia="AR PL SungtiL GB" w:cs="Times New Roman" w:ascii="Palatino Linotype" w:hAnsi="Palatino Linotype"/>
          <w:color w:val="000000"/>
          <w:lang w:val="en-GB" w:eastAsia="de-DE" w:bidi="en-US"/>
        </w:rPr>
        <w:t>, United Noah Land Surface Model</w:t>
      </w:r>
      <w:r>
        <w:rPr>
          <w:rFonts w:eastAsia="AR PL SungtiL GB" w:cs="Times New Roman" w:ascii="Palatino Linotype" w:hAnsi="Palatino Linotype"/>
          <w:color w:val="000000"/>
          <w:vertAlign w:val="superscript"/>
          <w:lang w:val="en-GB" w:eastAsia="de-DE" w:bidi="en-US"/>
        </w:rPr>
        <w:t>9</w:t>
      </w:r>
      <w:r>
        <w:rPr>
          <w:rFonts w:eastAsia="AR PL SungtiL GB" w:cs="Times New Roman" w:ascii="Palatino Linotype" w:hAnsi="Palatino Linotype"/>
          <w:color w:val="000000"/>
          <w:lang w:val="en-GB" w:eastAsia="de-DE" w:bidi="en-US"/>
        </w:rPr>
        <w:t>, shortwave and longwave RRTMG schemes</w:t>
      </w:r>
      <w:r>
        <w:rPr>
          <w:rFonts w:eastAsia="AR PL SungtiL GB" w:cs="Times New Roman" w:ascii="Palatino Linotype" w:hAnsi="Palatino Linotype"/>
          <w:color w:val="000000"/>
          <w:vertAlign w:val="superscript"/>
          <w:lang w:val="en-GB" w:eastAsia="de-DE" w:bidi="en-US"/>
        </w:rPr>
        <w:t>10</w:t>
      </w:r>
      <w:r>
        <w:rPr>
          <w:rFonts w:eastAsia="AR PL SungtiL GB" w:cs="Times New Roman" w:ascii="Palatino Linotype" w:hAnsi="Palatino Linotype"/>
          <w:color w:val="000000"/>
          <w:lang w:val="en-GB" w:eastAsia="de-DE" w:bidi="en-US"/>
        </w:rPr>
        <w:t xml:space="preserve"> and the Kain-Fritsch Ensemble cluster scheme</w:t>
      </w:r>
      <w:r>
        <w:rPr>
          <w:rFonts w:eastAsia="AR PL SungtiL GB" w:cs="Times New Roman" w:ascii="Palatino Linotype" w:hAnsi="Palatino Linotype"/>
          <w:color w:val="000000"/>
          <w:vertAlign w:val="superscript"/>
          <w:lang w:val="en-GB" w:eastAsia="de-DE" w:bidi="en-US"/>
        </w:rPr>
        <w:t>11</w:t>
      </w:r>
      <w:r>
        <w:rPr>
          <w:rFonts w:eastAsia="AR PL SungtiL GB" w:cs="Times New Roman" w:ascii="Palatino Linotype" w:hAnsi="Palatino Linotype"/>
          <w:color w:val="000000"/>
          <w:lang w:val="en-GB" w:eastAsia="de-DE" w:bidi="en-US"/>
        </w:rPr>
        <w:t>. Spectral nudging of waves longer than approximately 1000 km was employed to avoid distortion of the large-scale circulation within the regional model domain due to the interaction between the model solution and lateral boundary conditions</w:t>
      </w:r>
      <w:r>
        <w:rPr>
          <w:rFonts w:eastAsia="AR PL SungtiL GB" w:cs="Times New Roman" w:ascii="Palatino Linotype" w:hAnsi="Palatino Linotype"/>
          <w:color w:val="000000"/>
          <w:vertAlign w:val="superscript"/>
          <w:lang w:val="en-GB" w:eastAsia="de-DE" w:bidi="en-US"/>
        </w:rPr>
        <w:t>12</w:t>
      </w:r>
      <w:r>
        <w:rPr>
          <w:rFonts w:eastAsia="AR PL SungtiL GB" w:cs="Times New Roman" w:ascii="Palatino Linotype" w:hAnsi="Palatino Linotype"/>
          <w:color w:val="000000"/>
          <w:lang w:val="en-GB" w:eastAsia="de-DE" w:bidi="en-US"/>
        </w:rPr>
        <w:t xml:space="preserve">. </w:t>
      </w:r>
      <w:r>
        <w:rPr>
          <w:rFonts w:cs="Times New Roman" w:ascii="Palatino Linotype" w:hAnsi="Palatino Linotype"/>
          <w:lang w:val="en-GB"/>
        </w:rPr>
        <w:t>The outputs had 40 vertical layers from the surface to 50 hPa with a horizontal spacing of 20 km and they covered an area of 115.39–42.02°W and 19.41</w:t>
      </w:r>
      <w:r>
        <w:rPr>
          <w:rFonts w:cs="Times New Roman" w:ascii="Palatino Linotype" w:hAnsi="Palatino Linotype"/>
          <w:vertAlign w:val="superscript"/>
          <w:lang w:val="en-GB"/>
        </w:rPr>
        <w:t>o</w:t>
      </w:r>
      <w:r>
        <w:rPr>
          <w:rFonts w:cs="Times New Roman" w:ascii="Palatino Linotype" w:hAnsi="Palatino Linotype"/>
          <w:lang w:val="en-GB"/>
        </w:rPr>
        <w:t xml:space="preserve">S–59.51°N (see Fig. 1). </w:t>
      </w:r>
      <w:r>
        <w:rPr>
          <w:rFonts w:eastAsia="AR PL SungtiL GB" w:cs="Times New Roman" w:ascii="Palatino Linotype" w:hAnsi="Palatino Linotype"/>
          <w:color w:val="000000"/>
          <w:lang w:val="en-GB" w:eastAsia="de-DE" w:bidi="en-US"/>
        </w:rPr>
        <w:t>The criteria used to select these parameterisation schemes were that they had been evaluated and employed in several previous investigations involving the WRF-ARW domain</w:t>
      </w:r>
      <w:r>
        <w:rPr>
          <w:rFonts w:eastAsia="AR PL SungtiL GB" w:cs="Times New Roman" w:ascii="Palatino Linotype" w:hAnsi="Palatino Linotype"/>
          <w:color w:val="000000"/>
          <w:vertAlign w:val="superscript"/>
          <w:lang w:val="en-GB" w:eastAsia="de-DE" w:bidi="en-US"/>
        </w:rPr>
        <w:t>13,14</w:t>
      </w:r>
      <w:r>
        <w:rPr>
          <w:rFonts w:eastAsia="AR PL SungtiL GB" w:cs="Times New Roman" w:ascii="Palatino Linotype" w:hAnsi="Palatino Linotype"/>
          <w:color w:val="000000"/>
          <w:lang w:val="en-GB" w:eastAsia="de-DE" w:bidi="en-US"/>
        </w:rPr>
        <w:t xml:space="preserve"> (see Supplementary Fig. 1). For the WRF simulations, a 6-month spin-up was performed before the period to be simulated</w:t>
      </w:r>
      <w:r>
        <w:rPr>
          <w:rFonts w:eastAsia="AR PL SungtiL GB" w:cs="Times New Roman" w:ascii="Palatino Linotype" w:hAnsi="Palatino Linotype"/>
          <w:color w:val="000000"/>
          <w:lang w:val="en-GB" w:eastAsia="de-DE"/>
        </w:rPr>
        <w:t xml:space="preserve">, and </w:t>
      </w:r>
      <w:r>
        <w:rPr>
          <w:rFonts w:eastAsia="AR PL SungtiL GB" w:cs="Times New Roman" w:ascii="Palatino Linotype" w:hAnsi="Palatino Linotype"/>
          <w:color w:val="000000"/>
          <w:lang w:val="en-GB" w:eastAsia="de-DE" w:bidi="en-US"/>
        </w:rPr>
        <w:t>the restart mode was used when the WRF-ARW was stopped. Finally, the outputs of WRF-ARW had 40 vertical levels in sigma coordinates and 480 × 780 nodes in the output grid (~0.18</w:t>
      </w:r>
      <w:r>
        <w:rPr>
          <w:rFonts w:eastAsia="AR PL SungtiL GB" w:cs="Times New Roman" w:ascii="Palatino Linotype" w:hAnsi="Palatino Linotype"/>
          <w:color w:val="000000"/>
          <w:vertAlign w:val="superscript"/>
          <w:lang w:val="en-GB" w:eastAsia="de-DE" w:bidi="en-US"/>
        </w:rPr>
        <w:t>o</w:t>
      </w:r>
      <w:r>
        <w:rPr>
          <w:rFonts w:eastAsia="AR PL SungtiL GB" w:cs="Times New Roman" w:ascii="Palatino Linotype" w:hAnsi="Palatino Linotype"/>
          <w:color w:val="000000"/>
          <w:lang w:val="en-GB" w:eastAsia="de-DE" w:bidi="en-US"/>
        </w:rPr>
        <w:t xml:space="preserve">). The historical periods, mid-century and end of the century used were 2010-2014, 2049-2053 and 2096-2100, respectively. The initialization dates were July 1, 2009, 2048, and 2095, respectively. </w:t>
      </w:r>
    </w:p>
    <w:p>
      <w:pPr>
        <w:pStyle w:val="Text"/>
        <w:spacing w:lineRule="auto" w:line="480" w:beforeAutospacing="1" w:afterAutospacing="1"/>
        <w:jc w:val="both"/>
        <w:rPr/>
      </w:pPr>
      <w:r>
        <w:rPr>
          <w:rFonts w:eastAsia="AR PL SungtiL GB" w:cs="Times New Roman" w:ascii="Palatino Linotype" w:hAnsi="Palatino Linotype"/>
          <w:color w:val="000000"/>
          <w:lang w:val="en-GB" w:eastAsia="de-DE" w:bidi="en-US"/>
        </w:rPr>
        <w:t>For the FLEXPART-WRF</w:t>
      </w:r>
      <w:r>
        <w:rPr>
          <w:rFonts w:eastAsia="AR PL SungtiL GB" w:cs="Times New Roman" w:ascii="Palatino Linotype" w:hAnsi="Palatino Linotype"/>
          <w:color w:val="000000"/>
          <w:vertAlign w:val="superscript"/>
          <w:lang w:val="en-GB" w:eastAsia="de-DE" w:bidi="en-US"/>
        </w:rPr>
        <w:t>15</w:t>
      </w:r>
      <w:r>
        <w:rPr>
          <w:rFonts w:eastAsia="AR PL SungtiL GB" w:cs="Times New Roman" w:ascii="Palatino Linotype" w:hAnsi="Palatino Linotype"/>
          <w:color w:val="000000"/>
          <w:lang w:val="en-GB" w:eastAsia="de-DE" w:bidi="en-US"/>
        </w:rPr>
        <w:t xml:space="preserve"> configuration, we used Hanna's</w:t>
      </w:r>
      <w:r>
        <w:rPr>
          <w:rFonts w:eastAsia="AR PL SungtiL GB" w:cs="Times New Roman" w:ascii="Palatino Linotype" w:hAnsi="Palatino Linotype"/>
          <w:color w:val="000000"/>
          <w:vertAlign w:val="superscript"/>
          <w:lang w:val="en-GB" w:eastAsia="de-DE" w:bidi="en-US"/>
        </w:rPr>
        <w:t>16</w:t>
      </w:r>
      <w:r>
        <w:rPr>
          <w:rFonts w:eastAsia="AR PL SungtiL GB" w:cs="Times New Roman" w:ascii="Palatino Linotype" w:hAnsi="Palatino Linotype"/>
          <w:color w:val="000000"/>
          <w:lang w:val="en-GB" w:eastAsia="de-DE" w:bidi="en-US"/>
        </w:rPr>
        <w:t xml:space="preserve"> scheme for turbulence parameterisation with the convection scheme activated. This scheme is based on </w:t>
      </w:r>
      <w:r>
        <w:rPr>
          <w:rFonts w:eastAsia="AR PL SungtiL GB" w:cs="Times New Roman" w:ascii="Palatino Linotype" w:hAnsi="Palatino Linotype"/>
          <w:color w:val="000000"/>
          <w:lang w:val="en-GB" w:eastAsia="de-DE"/>
        </w:rPr>
        <w:t>the boundary layer parameters PBL height, Monin–Obukhov length, convective velocity scale, roughness length and friction velocity</w:t>
      </w:r>
      <w:r>
        <w:rPr>
          <w:rFonts w:eastAsia="AR PL SungtiL GB" w:cs="Times New Roman" w:ascii="Palatino Linotype" w:hAnsi="Palatino Linotype"/>
          <w:color w:val="000000"/>
          <w:vertAlign w:val="superscript"/>
          <w:lang w:val="en-GB" w:eastAsia="de-DE" w:bidi="en-US"/>
        </w:rPr>
        <w:t>15</w:t>
      </w:r>
      <w:r>
        <w:rPr>
          <w:rFonts w:eastAsia="AR PL SungtiL GB" w:cs="Times New Roman" w:ascii="Palatino Linotype" w:hAnsi="Palatino Linotype"/>
          <w:color w:val="000000"/>
          <w:lang w:val="en-GB" w:eastAsia="de-DE" w:bidi="en-US"/>
        </w:rPr>
        <w:t xml:space="preserve">. We assumed skewed rather than Gaussian turbulence in the convective PBL. </w:t>
      </w:r>
      <w:r>
        <w:rPr>
          <w:rFonts w:eastAsia="AR PL SungtiL GB" w:cs="Times New Roman" w:ascii="Palatino Linotype" w:hAnsi="Palatino Linotype"/>
          <w:color w:val="000000"/>
          <w:lang w:val="en-GB" w:eastAsia="de-DE"/>
        </w:rPr>
        <w:t xml:space="preserve">The FLEXPART-WRF has </w:t>
      </w:r>
      <w:r>
        <w:rPr>
          <w:rFonts w:eastAsia="AR PL SungtiL GB" w:cs="Times New Roman" w:ascii="Palatino Linotype" w:hAnsi="Palatino Linotype"/>
          <w:color w:val="000000"/>
          <w:lang w:val="en-GB" w:eastAsia="de-DE" w:bidi="en-US"/>
        </w:rPr>
        <w:t>eight levels from 100 m to 10000 m, and 400 × 777 points,</w:t>
      </w:r>
      <w:r>
        <w:rPr>
          <w:rFonts w:eastAsia="AR PL SungtiL GB" w:cs="Times New Roman" w:ascii="Palatino Linotype" w:hAnsi="Palatino Linotype"/>
          <w:color w:val="000000"/>
          <w:lang w:val="en-GB" w:eastAsia="de-DE"/>
        </w:rPr>
        <w:t xml:space="preserve"> where in the output mesh where the particles are released. </w:t>
      </w:r>
      <w:r>
        <w:rPr>
          <w:rFonts w:cs="Times New Roman" w:ascii="Palatino Linotype" w:hAnsi="Palatino Linotype"/>
          <w:color w:val="000000"/>
          <w:lang w:val="en-GB"/>
        </w:rPr>
        <w:t xml:space="preserve">The outputs had spatial and temporal resolutions of 20 km and 6 h, respectively. </w:t>
      </w:r>
    </w:p>
    <w:p>
      <w:pPr>
        <w:pStyle w:val="Text"/>
        <w:spacing w:lineRule="auto" w:line="480" w:beforeAutospacing="1" w:afterAutospacing="1"/>
        <w:jc w:val="both"/>
        <w:rPr/>
      </w:pPr>
      <w:r>
        <w:rPr>
          <w:rFonts w:eastAsia="AR PL SungtiL GB" w:cs="Times New Roman" w:ascii="Palatino Linotype" w:hAnsi="Palatino Linotype"/>
          <w:b/>
          <w:bCs/>
          <w:color w:val="000000"/>
          <w:lang w:val="en-GB" w:eastAsia="de-DE" w:bidi="en-US"/>
        </w:rPr>
        <w:t>Section 1.3 Moisture sources and sinks used</w:t>
      </w:r>
    </w:p>
    <w:p>
      <w:pPr>
        <w:pStyle w:val="Text"/>
        <w:spacing w:lineRule="auto" w:line="480" w:beforeAutospacing="1" w:afterAutospacing="1"/>
        <w:jc w:val="both"/>
        <w:rPr/>
      </w:pPr>
      <w:r>
        <w:rPr>
          <w:rFonts w:eastAsia="AR PL SungtiL GB" w:cs="Times New Roman" w:ascii="Palatino Linotype" w:hAnsi="Palatino Linotype"/>
          <w:iCs/>
          <w:color w:val="000000"/>
          <w:highlight w:val="white"/>
          <w:lang w:val="en-GB" w:eastAsia="de-DE" w:bidi="en-US"/>
        </w:rPr>
        <w:t>The North Atlantic Ocean source</w:t>
      </w:r>
      <w:r>
        <w:rPr>
          <w:rFonts w:eastAsia="AR PL SungtiL GB" w:cs="Times New Roman" w:ascii="Palatino Linotype" w:hAnsi="Palatino Linotype"/>
          <w:color w:val="000000"/>
          <w:lang w:val="en-GB" w:eastAsia="de-DE" w:bidi="en-US"/>
        </w:rPr>
        <w:t xml:space="preserve"> </w:t>
      </w:r>
      <w:bookmarkStart w:id="0" w:name="move78123676"/>
      <w:r>
        <w:rPr>
          <w:rFonts w:eastAsia="AR PL SungtiL GB" w:cs="Times New Roman" w:ascii="Palatino Linotype" w:hAnsi="Palatino Linotype"/>
          <w:iCs/>
          <w:color w:val="000000"/>
          <w:highlight w:val="white"/>
          <w:lang w:val="en-GB" w:eastAsia="de-DE" w:bidi="en-US"/>
        </w:rPr>
        <w:t xml:space="preserve">(NATL; Sup. Fig. 1) </w:t>
      </w:r>
      <w:r>
        <w:rPr>
          <w:rFonts w:eastAsia="AR PL SungtiL GB" w:cs="Times New Roman" w:ascii="Palatino Linotype" w:hAnsi="Palatino Linotype"/>
          <w:color w:val="000000"/>
          <w:lang w:val="en-GB" w:eastAsia="de-DE" w:bidi="en-US"/>
        </w:rPr>
        <w:t>is considered to be one of the main global oceanic sources that contributes moisture to continental precipitation</w:t>
      </w:r>
      <w:r>
        <w:rPr>
          <w:rFonts w:eastAsia="AR PL SungtiL GB" w:cs="Times New Roman" w:ascii="Palatino Linotype" w:hAnsi="Palatino Linotype"/>
          <w:color w:val="000000"/>
          <w:vertAlign w:val="superscript"/>
          <w:lang w:val="en-GB" w:eastAsia="de-DE" w:bidi="en-US"/>
        </w:rPr>
        <w:t>17</w:t>
      </w:r>
      <w:r>
        <w:rPr>
          <w:rFonts w:eastAsia="AR PL SungtiL GB" w:cs="Times New Roman" w:ascii="Palatino Linotype" w:hAnsi="Palatino Linotype"/>
          <w:color w:val="000000"/>
          <w:lang w:val="en-GB" w:eastAsia="de-DE" w:bidi="en-US"/>
        </w:rPr>
        <w:t>.</w:t>
      </w:r>
      <w:bookmarkEnd w:id="0"/>
      <w:r>
        <w:rPr>
          <w:rFonts w:eastAsia="AR PL SungtiL GB" w:cs="Times New Roman" w:ascii="Palatino Linotype" w:hAnsi="Palatino Linotype"/>
          <w:color w:val="000000"/>
          <w:lang w:val="en-GB" w:eastAsia="de-DE" w:bidi="en-US"/>
        </w:rPr>
        <w:t xml:space="preserve"> </w:t>
      </w:r>
      <w:bookmarkStart w:id="1" w:name="move78123858"/>
      <w:r>
        <w:rPr>
          <w:rFonts w:eastAsia="AR PL SungtiL GB" w:cs="Times New Roman" w:ascii="Palatino Linotype" w:hAnsi="Palatino Linotype"/>
          <w:color w:val="000000"/>
          <w:lang w:val="en-GB" w:eastAsia="de-DE" w:bidi="en-US"/>
        </w:rPr>
        <w:t>This source contributes to several geographical areas, such as eastern North America, Central America, northern and central South America, Europe and northern Africa. Moreover, the NATL is an important oceanic contributor to the North and South American monsoon systems, as well as to the Atlantic Intertropical Convergence Zone (ITCZ)</w:t>
      </w:r>
      <w:r>
        <w:rPr>
          <w:rFonts w:eastAsia="AR PL SungtiL GB" w:cs="Times New Roman" w:ascii="Palatino Linotype" w:hAnsi="Palatino Linotype"/>
          <w:color w:val="000000"/>
          <w:vertAlign w:val="superscript"/>
          <w:lang w:val="en-GB" w:eastAsia="de-DE" w:bidi="en-US"/>
        </w:rPr>
        <w:t>18 19</w:t>
      </w:r>
      <w:r>
        <w:rPr>
          <w:rFonts w:eastAsia="AR PL SungtiL GB" w:cs="Times New Roman" w:ascii="Palatino Linotype" w:hAnsi="Palatino Linotype"/>
          <w:color w:val="000000"/>
          <w:lang w:val="en-GB" w:eastAsia="de-DE" w:bidi="en-US"/>
        </w:rPr>
        <w:t>.</w:t>
      </w:r>
      <w:bookmarkEnd w:id="1"/>
      <w:r>
        <w:rPr>
          <w:rFonts w:eastAsia="AR PL SungtiL GB" w:cs="Times New Roman" w:ascii="Palatino Linotype" w:hAnsi="Palatino Linotype"/>
          <w:color w:val="000000"/>
          <w:lang w:val="en-GB" w:eastAsia="de-DE" w:bidi="en-US"/>
        </w:rPr>
        <w:t xml:space="preserve"> It shows marked seasonal behaviour; the moisture contribution increases during winter and decreases strongly in summer. Meanwhile</w:t>
      </w:r>
      <w:r>
        <w:rPr>
          <w:rFonts w:eastAsia="AR PL SungtiL GB" w:cs="Times New Roman" w:ascii="Palatino Linotype" w:hAnsi="Palatino Linotype"/>
          <w:color w:val="000000"/>
          <w:lang w:val="en-GB" w:eastAsia="de-DE"/>
        </w:rPr>
        <w:t>, previous studies have not observed changes in its size and position</w:t>
      </w:r>
      <w:r>
        <w:rPr>
          <w:rFonts w:eastAsia="AR PL SungtiL GB" w:cs="Times New Roman" w:ascii="Palatino Linotype" w:hAnsi="Palatino Linotype"/>
          <w:color w:val="000000"/>
          <w:vertAlign w:val="superscript"/>
          <w:lang w:val="en-GB" w:eastAsia="de-DE" w:bidi="en-US"/>
        </w:rPr>
        <w:t>17</w:t>
      </w:r>
      <w:r>
        <w:rPr>
          <w:rFonts w:eastAsia="AR PL SungtiL GB" w:cs="Times New Roman" w:ascii="Palatino Linotype" w:hAnsi="Palatino Linotype"/>
          <w:color w:val="000000"/>
          <w:lang w:val="en-GB" w:eastAsia="de-DE"/>
        </w:rPr>
        <w:t>.</w:t>
      </w:r>
    </w:p>
    <w:p>
      <w:pPr>
        <w:pStyle w:val="Text"/>
        <w:spacing w:lineRule="auto" w:line="480"/>
        <w:jc w:val="both"/>
        <w:rPr/>
      </w:pPr>
      <w:bookmarkStart w:id="2" w:name="move781238581"/>
      <w:bookmarkStart w:id="3" w:name="move781236761"/>
      <w:bookmarkEnd w:id="2"/>
      <w:bookmarkEnd w:id="3"/>
      <w:r>
        <w:rPr>
          <w:rFonts w:eastAsia="AR PL SungtiL GB" w:cs="Times New Roman" w:ascii="Palatino Linotype" w:hAnsi="Palatino Linotype"/>
          <w:iCs/>
          <w:color w:val="000000"/>
          <w:highlight w:val="white"/>
          <w:lang w:val="en-GB" w:eastAsia="de-DE" w:bidi="en-US"/>
        </w:rPr>
        <w:t xml:space="preserve">The Mediterranean Sea (MED; Sup. Fig. 1) plays an important role in its surrounding areas in terms of the transport of atmospheric moisture for precipitation. During </w:t>
      </w:r>
      <w:r>
        <w:rPr>
          <w:rFonts w:eastAsia="AR PL SungtiL GB" w:cs="Times New Roman" w:ascii="Palatino Linotype" w:hAnsi="Palatino Linotype"/>
          <w:iCs/>
          <w:color w:val="000000"/>
          <w:highlight w:val="white"/>
          <w:lang w:val="en-GB" w:eastAsia="de-DE"/>
        </w:rPr>
        <w:t xml:space="preserve">the boreal winter, it supplies moisture that generates precipitation in continental areas located over Europe to the northeast; </w:t>
      </w:r>
      <w:r>
        <w:rPr>
          <w:rFonts w:eastAsia="AR PL SungtiL GB" w:cs="Times New Roman" w:ascii="Palatino Linotype" w:hAnsi="Palatino Linotype"/>
          <w:iCs/>
          <w:color w:val="000000"/>
          <w:highlight w:val="white"/>
          <w:lang w:val="en-GB" w:eastAsia="de-DE" w:bidi="en-US"/>
        </w:rPr>
        <w:t>during the summer, it provides moisture to its surroundings in all directions and extending into northern Europe, northeast Africa</w:t>
      </w:r>
      <w:r>
        <w:rPr>
          <w:rFonts w:eastAsia="AR PL SungtiL GB" w:cs="Times New Roman" w:ascii="Palatino Linotype" w:hAnsi="Palatino Linotype"/>
          <w:iCs/>
          <w:color w:val="000000"/>
          <w:highlight w:val="white"/>
          <w:lang w:val="en-GB" w:eastAsia="de-DE"/>
        </w:rPr>
        <w:t xml:space="preserve"> and the Middle East</w:t>
      </w:r>
      <w:r>
        <w:rPr>
          <w:rFonts w:eastAsia="AR PL SungtiL GB" w:cs="Times New Roman" w:ascii="Palatino Linotype" w:hAnsi="Palatino Linotype"/>
          <w:iCs/>
          <w:color w:val="000000"/>
          <w:highlight w:val="white"/>
          <w:vertAlign w:val="superscript"/>
          <w:lang w:val="en-GB" w:eastAsia="de-DE" w:bidi="en-US"/>
        </w:rPr>
        <w:t>17</w:t>
      </w:r>
      <w:r>
        <w:rPr>
          <w:rFonts w:eastAsia="AR PL SungtiL GB" w:cs="Times New Roman" w:ascii="Palatino Linotype" w:hAnsi="Palatino Linotype"/>
          <w:iCs/>
          <w:color w:val="000000"/>
          <w:highlight w:val="white"/>
          <w:lang w:val="en-GB" w:eastAsia="de-DE" w:bidi="en-US"/>
        </w:rPr>
        <w:t xml:space="preserve">. </w:t>
      </w:r>
      <w:r>
        <w:rPr>
          <w:rFonts w:eastAsia="AR PL SungtiL GB" w:cs="Times New Roman" w:ascii="Palatino Linotype" w:hAnsi="Palatino Linotype"/>
          <w:color w:val="000000"/>
          <w:lang w:val="en-GB" w:eastAsia="de-DE" w:bidi="en-US"/>
        </w:rPr>
        <w:t>The moisture contribution from the MED is higher in summer and relatively lower in autumn and winter</w:t>
      </w:r>
      <w:r>
        <w:rPr>
          <w:rFonts w:eastAsia="AR PL SungtiL GB" w:cs="Times New Roman" w:ascii="Palatino Linotype" w:hAnsi="Palatino Linotype"/>
          <w:color w:val="000000"/>
          <w:vertAlign w:val="superscript"/>
          <w:lang w:val="en-GB" w:eastAsia="de-DE" w:bidi="en-US"/>
        </w:rPr>
        <w:t>17</w:t>
      </w:r>
      <w:r>
        <w:rPr>
          <w:rFonts w:eastAsia="AR PL SungtiL GB" w:cs="Times New Roman" w:ascii="Palatino Linotype" w:hAnsi="Palatino Linotype"/>
          <w:color w:val="000000"/>
          <w:lang w:val="en-GB" w:eastAsia="de-DE" w:bidi="en-US"/>
        </w:rPr>
        <w:t>. In particular, the western MED contributes directly to rainfall over the Alpine region and the eastern Iberian Peninsula, and it plays an important role in transporting moisture to northern Africa. Furthermore, the central MED has a substantial impact on rainfall over the Hellenic Peninsula and islands</w:t>
      </w:r>
      <w:r>
        <w:rPr>
          <w:rFonts w:eastAsia="AR PL SungtiL GB" w:cs="Times New Roman" w:ascii="Palatino Linotype" w:hAnsi="Palatino Linotype"/>
          <w:color w:val="000000"/>
          <w:lang w:val="en-GB" w:eastAsia="de-DE"/>
        </w:rPr>
        <w:t xml:space="preserve"> and in the central part of North Africa, and the eastern MED influences </w:t>
      </w:r>
      <w:r>
        <w:rPr>
          <w:rFonts w:eastAsia="AR PL SungtiL GB" w:cs="Times New Roman" w:ascii="Palatino Linotype" w:hAnsi="Palatino Linotype"/>
          <w:color w:val="000000"/>
          <w:lang w:val="en-GB" w:eastAsia="de-DE" w:bidi="en-US"/>
        </w:rPr>
        <w:t>the Middle East and Egypt</w:t>
      </w:r>
      <w:r>
        <w:rPr>
          <w:rFonts w:eastAsia="AR PL SungtiL GB" w:cs="Times New Roman" w:ascii="Palatino Linotype" w:hAnsi="Palatino Linotype"/>
          <w:color w:val="000000"/>
          <w:vertAlign w:val="superscript"/>
          <w:lang w:val="en-GB" w:eastAsia="de-DE" w:bidi="en-US"/>
        </w:rPr>
        <w:t>20</w:t>
      </w:r>
      <w:r>
        <w:rPr>
          <w:rFonts w:eastAsia="AR PL SungtiL GB" w:cs="Times New Roman" w:ascii="Palatino Linotype" w:hAnsi="Palatino Linotype"/>
          <w:b/>
          <w:bCs/>
          <w:color w:val="000000"/>
          <w:lang w:val="en-GB" w:eastAsia="de-DE" w:bidi="en-US"/>
        </w:rPr>
        <w:t>.</w:t>
      </w:r>
    </w:p>
    <w:p>
      <w:pPr>
        <w:pStyle w:val="Text"/>
        <w:spacing w:lineRule="auto" w:line="480" w:beforeAutospacing="1" w:afterAutospacing="1"/>
        <w:jc w:val="both"/>
        <w:rPr/>
      </w:pPr>
      <w:r>
        <w:rPr>
          <w:rFonts w:eastAsia="AR PL SungtiL GB" w:cs="Times New Roman" w:ascii="Palatino Linotype" w:hAnsi="Palatino Linotype"/>
          <w:color w:val="000000"/>
          <w:lang w:val="en-GB" w:eastAsia="de-DE" w:bidi="en-US"/>
        </w:rPr>
        <w:t xml:space="preserve">The Iberian Peninsula (IP; </w:t>
      </w:r>
      <w:r>
        <w:rPr>
          <w:rFonts w:eastAsia="AR PL SungtiL GB" w:cs="Times New Roman" w:ascii="Palatino Linotype" w:hAnsi="Palatino Linotype"/>
          <w:iCs/>
          <w:color w:val="000000"/>
          <w:highlight w:val="white"/>
          <w:lang w:val="en-GB" w:eastAsia="de-DE" w:bidi="en-US"/>
        </w:rPr>
        <w:t>Sup. Fig. 1</w:t>
      </w:r>
      <w:r>
        <w:rPr>
          <w:rFonts w:eastAsia="AR PL SungtiL GB" w:cs="Times New Roman" w:ascii="Palatino Linotype" w:hAnsi="Palatino Linotype"/>
          <w:color w:val="000000"/>
          <w:lang w:val="en-GB" w:eastAsia="de-DE" w:bidi="en-US"/>
        </w:rPr>
        <w:t>) is located in southwestern Europe and is surrounded by the Mediterranean Sea to the east and the Atlantic Ocean to the west. It is linked to the European continent in its northeastern corner. The precipitation regime north and west of the IP is strongly affected by the mean annual cycle of the Atlantic storm track and its variability, whereas in the interior and east of the IP, it is strongly affected by large-scale synoptic systems and convective precipitation</w:t>
      </w:r>
      <w:r>
        <w:rPr>
          <w:rFonts w:eastAsia="AR PL SungtiL GB" w:cs="Times New Roman" w:ascii="Palatino Linotype" w:hAnsi="Palatino Linotype"/>
          <w:color w:val="000000"/>
          <w:vertAlign w:val="superscript"/>
          <w:lang w:val="en-GB" w:eastAsia="de-DE" w:bidi="en-US"/>
        </w:rPr>
        <w:t>21</w:t>
      </w:r>
      <w:r>
        <w:rPr>
          <w:rFonts w:eastAsia="AR PL SungtiL GB" w:cs="Times New Roman" w:ascii="Palatino Linotype" w:hAnsi="Palatino Linotype"/>
          <w:color w:val="000000"/>
          <w:lang w:val="en-GB" w:eastAsia="de-DE" w:bidi="en-US"/>
        </w:rPr>
        <w:t xml:space="preserve">. The main moisture sources affecting the IP correspond to the tropical-subtropical region of </w:t>
      </w:r>
      <w:r>
        <w:rPr>
          <w:rFonts w:eastAsia="AR PL SungtiL GB" w:cs="Times New Roman" w:ascii="Palatino Linotype" w:hAnsi="Palatino Linotype"/>
          <w:color w:val="000000"/>
          <w:lang w:val="en-GB" w:eastAsia="de-DE"/>
        </w:rPr>
        <w:t xml:space="preserve">North Atlantic Ocean and </w:t>
      </w:r>
      <w:r>
        <w:rPr>
          <w:rFonts w:eastAsia="AR PL SungtiL GB" w:cs="Times New Roman" w:ascii="Palatino Linotype" w:hAnsi="Palatino Linotype"/>
          <w:color w:val="000000"/>
          <w:lang w:val="en-GB" w:eastAsia="de-DE" w:bidi="en-US"/>
        </w:rPr>
        <w:t xml:space="preserve">the Mediterranean Sea (a more local source). </w:t>
      </w:r>
    </w:p>
    <w:p>
      <w:pPr>
        <w:pStyle w:val="FigureorTableCaption"/>
        <w:spacing w:lineRule="auto" w:line="480" w:before="0" w:after="120"/>
        <w:jc w:val="both"/>
        <w:rPr/>
      </w:pPr>
      <w:r>
        <w:rPr>
          <w:rFonts w:eastAsia="AR PL SungtiL GB" w:cs="Times New Roman" w:ascii="Palatino Linotype" w:hAnsi="Palatino Linotype"/>
          <w:b/>
          <w:bCs/>
          <w:color w:val="000000"/>
          <w:kern w:val="0"/>
          <w:sz w:val="20"/>
          <w:szCs w:val="20"/>
          <w:lang w:val="en-GB" w:eastAsia="de-DE" w:bidi="en-US"/>
        </w:rPr>
        <w:t>Supplementary Figure 1.</w:t>
      </w:r>
      <w:r>
        <w:rPr>
          <w:rFonts w:eastAsia="AR PL SungtiL GB" w:cs="Times New Roman" w:ascii="Palatino Linotype" w:hAnsi="Palatino Linotype"/>
          <w:b/>
          <w:bCs/>
          <w:color w:val="C9211E"/>
          <w:kern w:val="0"/>
          <w:sz w:val="20"/>
          <w:szCs w:val="20"/>
          <w:lang w:val="en-GB" w:eastAsia="de-DE" w:bidi="en-US"/>
        </w:rPr>
        <w:t xml:space="preserve"> </w:t>
      </w:r>
      <w:r>
        <w:rPr>
          <w:rFonts w:eastAsia="AR PL SungtiL GB" w:cs="Times New Roman" w:ascii="Palatino Linotype" w:hAnsi="Palatino Linotype"/>
          <w:b/>
          <w:bCs/>
          <w:kern w:val="0"/>
          <w:sz w:val="20"/>
          <w:szCs w:val="20"/>
          <w:lang w:val="en-GB" w:eastAsia="de-DE" w:bidi="en-US"/>
        </w:rPr>
        <w:t xml:space="preserve">Domains and target regions. </w:t>
      </w:r>
      <w:r>
        <w:rPr>
          <w:rFonts w:eastAsia="AR PL SungtiL GB" w:cs="Times New Roman" w:ascii="Palatino Linotype" w:hAnsi="Palatino Linotype"/>
          <w:bCs/>
          <w:kern w:val="0"/>
          <w:sz w:val="20"/>
          <w:szCs w:val="20"/>
          <w:lang w:val="en-GB" w:eastAsia="de-DE" w:bidi="en-US"/>
        </w:rPr>
        <w:t xml:space="preserve">Domain configuration for </w:t>
      </w:r>
      <w:r>
        <w:rPr>
          <w:rFonts w:eastAsia="AR PL SungtiL GB" w:cs="Times New Roman" w:ascii="Palatino Linotype" w:hAnsi="Palatino Linotype"/>
          <w:kern w:val="0"/>
          <w:sz w:val="20"/>
          <w:szCs w:val="20"/>
          <w:lang w:val="en-GB" w:eastAsia="de-DE" w:bidi="en-US"/>
        </w:rPr>
        <w:t>WRF-ARW (red) and FLEXPART-WRF (green) simulations. The moisture target regions are shown in blue (MED; Mediterranean Sea), pink (IP; Iberian Peninsula)</w:t>
      </w:r>
      <w:r>
        <w:rPr>
          <w:rFonts w:eastAsia="AR PL SungtiL GB" w:cs="Times New Roman" w:ascii="Palatino Linotype" w:hAnsi="Palatino Linotype"/>
          <w:kern w:val="0"/>
          <w:sz w:val="20"/>
          <w:szCs w:val="20"/>
          <w:lang w:val="en-GB" w:eastAsia="de-DE"/>
        </w:rPr>
        <w:t xml:space="preserve"> and dark violet (NATL</w:t>
      </w:r>
      <w:r>
        <w:rPr>
          <w:rFonts w:eastAsia="AR PL SungtiL GB" w:cs="Times New Roman" w:ascii="Palatino Linotype" w:hAnsi="Palatino Linotype"/>
          <w:kern w:val="0"/>
          <w:sz w:val="20"/>
          <w:szCs w:val="20"/>
          <w:lang w:val="en-GB" w:eastAsia="de-DE" w:bidi="en-US"/>
        </w:rPr>
        <w:t xml:space="preserve">; North Atlantic moisture source). </w:t>
      </w:r>
    </w:p>
    <w:p>
      <w:pPr>
        <w:pStyle w:val="Text"/>
        <w:spacing w:lineRule="auto" w:line="480"/>
        <w:ind w:hanging="0"/>
        <w:jc w:val="both"/>
        <w:rPr/>
      </w:pPr>
      <w:r>
        <w:rPr>
          <w:rFonts w:eastAsia="AR PL SungtiL GB" w:cs="Times New Roman" w:ascii="Palatino Linotype" w:hAnsi="Palatino Linotype"/>
          <w:b/>
          <w:bCs/>
          <w:color w:val="000000"/>
          <w:lang w:val="en-GB" w:eastAsia="de-DE" w:bidi="en-US"/>
        </w:rPr>
        <w:t>Section 1.4 Evaluation of the used configurations</w:t>
      </w:r>
    </w:p>
    <w:p>
      <w:pPr>
        <w:pStyle w:val="Normal"/>
        <w:spacing w:lineRule="auto" w:line="480"/>
        <w:jc w:val="both"/>
        <w:rPr/>
      </w:pPr>
      <w:r>
        <w:rPr>
          <w:rFonts w:eastAsia="AR PL SungtiL GB" w:cs="Times New Roman" w:ascii="Palatino Linotype" w:hAnsi="Palatino Linotype"/>
          <w:b/>
          <w:bCs/>
          <w:color w:val="000000"/>
          <w:lang w:val="en-GB" w:eastAsia="de-DE" w:bidi="en-US"/>
        </w:rPr>
        <w:tab/>
      </w:r>
      <w:r>
        <w:rPr>
          <w:rFonts w:eastAsia="AR PL SungtiL GB" w:cs="Times New Roman" w:ascii="Palatino Linotype" w:hAnsi="Palatino Linotype"/>
          <w:color w:val="000000"/>
          <w:lang w:val="en-GB" w:eastAsia="de-DE" w:bidi="en-US"/>
        </w:rPr>
        <w:t>The evaluations were conducted for the reference period (2010–2014) for the boreal seasonal periods from January to March (JFM), April to June (AMJ), July to September (JAS) and October to December (OND), corresponding to winter, spring, summer and autumn, respectively</w:t>
      </w:r>
      <w:r>
        <w:rPr>
          <w:rFonts w:eastAsia="AR PL SungtiL GB" w:cs="Times New Roman" w:ascii="Palatino Linotype" w:hAnsi="Palatino Linotype"/>
          <w:color w:val="000000"/>
          <w:vertAlign w:val="superscript"/>
          <w:lang w:val="en-GB" w:eastAsia="de-DE" w:bidi="en-US"/>
        </w:rPr>
        <w:t>22</w:t>
      </w:r>
      <w:r>
        <w:rPr>
          <w:rFonts w:eastAsia="AR PL SungtiL GB" w:cs="Times New Roman" w:ascii="Palatino Linotype" w:hAnsi="Palatino Linotype"/>
          <w:color w:val="000000"/>
          <w:lang w:val="en-GB" w:eastAsia="de-DE" w:bidi="en-US"/>
        </w:rPr>
        <w:t xml:space="preserve">, and for the annual scale. </w:t>
      </w:r>
    </w:p>
    <w:p>
      <w:pPr>
        <w:pStyle w:val="Normal"/>
        <w:spacing w:lineRule="auto" w:line="480"/>
        <w:jc w:val="both"/>
        <w:rPr/>
      </w:pPr>
      <w:r>
        <w:rPr>
          <w:rFonts w:eastAsia="AR PL SungtiL GB" w:cs="Times New Roman" w:ascii="Palatino Linotype" w:hAnsi="Palatino Linotype"/>
          <w:color w:val="000000"/>
          <w:lang w:val="en-GB" w:eastAsia="de-DE" w:bidi="en-US"/>
        </w:rPr>
        <w:t>First, the integrated water vapour transport (IVT) with the outputs of WRF-CESM2 and WRF-ERA5 (see Sup. Fig. 2) was evaluated using the following equations,</w:t>
      </w:r>
    </w:p>
    <w:p>
      <w:pPr>
        <w:pStyle w:val="Text"/>
        <w:spacing w:lineRule="auto" w:line="480"/>
        <w:jc w:val="both"/>
        <w:rPr/>
      </w:pPr>
      <w:r>
        <w:rPr>
          <w:rFonts w:cs="Times New Roman" w:ascii="Palatino Linotype" w:hAnsi="Palatino Linotype"/>
          <w:lang w:val="en-GB"/>
        </w:rPr>
        <w:t xml:space="preserve">                                      </w:t>
      </w:r>
      <w:r>
        <w:rPr/>
      </w:r>
      <m:oMath xmlns:m="http://schemas.openxmlformats.org/officeDocument/2006/math">
        <m:r>
          <w:rPr>
            <w:rFonts w:ascii="Cambria Math" w:hAnsi="Cambria Math"/>
          </w:rPr>
          <m:t xml:space="preserve">IVT</m:t>
        </m:r>
        <m:r>
          <w:rPr>
            <w:rFonts w:ascii="Cambria Math" w:hAnsi="Cambria Math"/>
          </w:rPr>
          <m:t xml:space="preserve">=</m:t>
        </m:r>
        <m:rad>
          <m:radPr>
            <m:degHide m:val="1"/>
          </m:radPr>
          <m:deg/>
          <m:e>
            <m:sSup>
              <m:e>
                <m:sSub>
                  <m:e>
                    <m:r>
                      <w:rPr>
                        <w:rFonts w:ascii="Cambria Math" w:hAnsi="Cambria Math"/>
                      </w:rPr>
                      <m:t xml:space="preserve">u</m:t>
                    </m:r>
                  </m:e>
                  <m:sub>
                    <m:r>
                      <w:rPr>
                        <w:rFonts w:ascii="Cambria Math" w:hAnsi="Cambria Math"/>
                      </w:rPr>
                      <m:t xml:space="preserve">q</m:t>
                    </m:r>
                  </m:sub>
                </m:sSub>
              </m:e>
              <m:sup>
                <m:r>
                  <w:rPr>
                    <w:rFonts w:ascii="Cambria Math" w:hAnsi="Cambria Math"/>
                  </w:rPr>
                  <m:t xml:space="preserve">2</m:t>
                </m:r>
              </m:sup>
            </m:sSup>
            <m:r>
              <w:rPr>
                <w:rFonts w:ascii="Cambria Math" w:hAnsi="Cambria Math"/>
              </w:rPr>
              <m:t xml:space="preserve">+</m:t>
            </m:r>
            <m:sSup>
              <m:e>
                <m:sSub>
                  <m:e>
                    <m:r>
                      <w:rPr>
                        <w:rFonts w:ascii="Cambria Math" w:hAnsi="Cambria Math"/>
                      </w:rPr>
                      <m:t xml:space="preserve">v</m:t>
                    </m:r>
                  </m:e>
                  <m:sub>
                    <m:r>
                      <w:rPr>
                        <w:rFonts w:ascii="Cambria Math" w:hAnsi="Cambria Math"/>
                      </w:rPr>
                      <m:t xml:space="preserve">q</m:t>
                    </m:r>
                  </m:sub>
                </m:sSub>
              </m:e>
              <m:sup>
                <m:r>
                  <w:rPr>
                    <w:rFonts w:ascii="Cambria Math" w:hAnsi="Cambria Math"/>
                  </w:rPr>
                  <m:t xml:space="preserve">2</m:t>
                </m:r>
              </m:sup>
            </m:sSup>
          </m:e>
        </m:rad>
      </m:oMath>
      <w:r>
        <w:rPr>
          <w:rFonts w:cs="Times New Roman" w:ascii="Palatino Linotype" w:hAnsi="Palatino Linotype"/>
          <w:lang w:val="en-GB"/>
        </w:rPr>
        <w:t>,</w:t>
      </w:r>
      <w:r>
        <w:rPr>
          <w:rFonts w:eastAsia="AR PL SungtiL GB" w:cs="Times New Roman" w:ascii="Palatino Linotype" w:hAnsi="Palatino Linotype"/>
          <w:color w:val="000000"/>
          <w:lang w:val="en-GB" w:eastAsia="de-DE" w:bidi="en-US"/>
        </w:rPr>
        <w:t xml:space="preserve">                                       (1)</w:t>
      </w:r>
    </w:p>
    <w:p>
      <w:pPr>
        <w:pStyle w:val="Text"/>
        <w:spacing w:lineRule="auto" w:line="480"/>
        <w:jc w:val="both"/>
        <w:rPr/>
      </w:pPr>
      <w:r>
        <w:rPr>
          <w:rFonts w:cs="Times New Roman" w:ascii="Palatino Linotype" w:hAnsi="Palatino Linotype"/>
          <w:lang w:val="en-GB"/>
        </w:rPr>
        <w:t xml:space="preserve">                                      </w:t>
      </w:r>
      <w:r>
        <w:rPr/>
      </w:r>
      <m:oMath xmlns:m="http://schemas.openxmlformats.org/officeDocument/2006/math">
        <m:sSub>
          <m:e>
            <m:r>
              <w:rPr>
                <w:rFonts w:ascii="Cambria Math" w:hAnsi="Cambria Math"/>
              </w:rPr>
              <m:t xml:space="preserve">u</m:t>
            </m:r>
          </m:e>
          <m:sub>
            <m:r>
              <w:rPr>
                <w:rFonts w:ascii="Cambria Math" w:hAnsi="Cambria Math"/>
              </w:rPr>
              <m:t xml:space="preserve">q</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g</m:t>
            </m:r>
          </m:den>
        </m:f>
        <m:nary>
          <m:naryPr>
            <m:chr m:val="∫"/>
          </m:naryPr>
          <m:sub>
            <m:r>
              <w:rPr>
                <w:rFonts w:ascii="Cambria Math" w:hAnsi="Cambria Math"/>
              </w:rPr>
              <m:t xml:space="preserve">ps</m:t>
            </m:r>
          </m:sub>
          <m:sup>
            <m:r>
              <w:rPr>
                <w:rFonts w:ascii="Cambria Math" w:hAnsi="Cambria Math"/>
              </w:rPr>
              <m:t xml:space="preserve">p</m:t>
            </m:r>
          </m:sup>
          <m:e>
            <m:r>
              <w:rPr>
                <w:rFonts w:ascii="Cambria Math" w:hAnsi="Cambria Math"/>
              </w:rPr>
              <m:t xml:space="preserve">uqdp</m:t>
            </m:r>
          </m:e>
        </m:nary>
      </m:oMath>
      <w:r>
        <w:rPr>
          <w:rFonts w:cs="Times New Roman" w:ascii="Palatino Linotype" w:hAnsi="Palatino Linotype"/>
          <w:lang w:val="en-GB"/>
        </w:rPr>
        <w:t>,</w:t>
      </w:r>
      <w:r>
        <w:rPr>
          <w:rFonts w:eastAsia="AR PL SungtiL GB" w:cs="Times New Roman" w:ascii="Palatino Linotype" w:hAnsi="Palatino Linotype"/>
          <w:color w:val="000000"/>
          <w:lang w:val="en-GB" w:eastAsia="de-DE" w:bidi="en-US"/>
        </w:rPr>
        <w:t xml:space="preserve">                                           (2)</w:t>
      </w:r>
    </w:p>
    <w:p>
      <w:pPr>
        <w:pStyle w:val="Text"/>
        <w:spacing w:lineRule="auto" w:line="480"/>
        <w:jc w:val="both"/>
        <w:rPr/>
      </w:pPr>
      <w:r>
        <w:rPr>
          <w:rFonts w:cs="Times New Roman" w:ascii="Palatino Linotype" w:hAnsi="Palatino Linotype"/>
          <w:lang w:val="en-GB"/>
        </w:rPr>
        <w:t xml:space="preserve">                                      </w:t>
      </w:r>
      <w:r>
        <w:rPr/>
      </w:r>
      <m:oMath xmlns:m="http://schemas.openxmlformats.org/officeDocument/2006/math">
        <m:sSub>
          <m:e>
            <m:r>
              <w:rPr>
                <w:rFonts w:ascii="Cambria Math" w:hAnsi="Cambria Math"/>
              </w:rPr>
              <m:t xml:space="preserve">v</m:t>
            </m:r>
          </m:e>
          <m:sub>
            <m:r>
              <w:rPr>
                <w:rFonts w:ascii="Cambria Math" w:hAnsi="Cambria Math"/>
              </w:rPr>
              <m:t xml:space="preserve">q</m:t>
            </m:r>
          </m:sub>
        </m:sSub>
        <m:r>
          <w:rPr>
            <w:rFonts w:ascii="Cambria Math" w:hAnsi="Cambria Math"/>
          </w:rPr>
          <m:t xml:space="preserve">=</m:t>
        </m:r>
        <m:f>
          <m:num>
            <m:r>
              <w:rPr>
                <w:rFonts w:ascii="Cambria Math" w:hAnsi="Cambria Math"/>
              </w:rPr>
              <m:t xml:space="preserve">1</m:t>
            </m:r>
          </m:num>
          <m:den>
            <m:r>
              <w:rPr>
                <w:rFonts w:ascii="Cambria Math" w:hAnsi="Cambria Math"/>
              </w:rPr>
              <m:t xml:space="preserve">g</m:t>
            </m:r>
          </m:den>
        </m:f>
        <m:nary>
          <m:naryPr>
            <m:chr m:val="∫"/>
          </m:naryPr>
          <m:sub>
            <m:r>
              <w:rPr>
                <w:rFonts w:ascii="Cambria Math" w:hAnsi="Cambria Math"/>
              </w:rPr>
              <m:t xml:space="preserve">ps</m:t>
            </m:r>
          </m:sub>
          <m:sup>
            <m:r>
              <w:rPr>
                <w:rFonts w:ascii="Cambria Math" w:hAnsi="Cambria Math"/>
              </w:rPr>
              <m:t xml:space="preserve">p</m:t>
            </m:r>
          </m:sup>
          <m:e>
            <m:r>
              <w:rPr>
                <w:rFonts w:ascii="Cambria Math" w:hAnsi="Cambria Math"/>
              </w:rPr>
              <m:t xml:space="preserve">vqdp</m:t>
            </m:r>
          </m:e>
        </m:nary>
      </m:oMath>
      <w:r>
        <w:rPr>
          <w:rFonts w:cs="Times New Roman" w:ascii="Palatino Linotype" w:hAnsi="Palatino Linotype"/>
          <w:lang w:val="en-GB"/>
        </w:rPr>
        <w:t xml:space="preserve">,                   </w:t>
      </w:r>
      <w:r>
        <w:rPr>
          <w:rFonts w:eastAsia="AR PL SungtiL GB" w:cs="Times New Roman" w:ascii="Palatino Linotype" w:hAnsi="Palatino Linotype"/>
          <w:color w:val="000000"/>
          <w:lang w:val="en-GB" w:eastAsia="de-DE" w:bidi="en-US"/>
        </w:rPr>
        <w:t xml:space="preserve">                          (3)</w:t>
      </w:r>
    </w:p>
    <w:p>
      <w:pPr>
        <w:pStyle w:val="Text"/>
        <w:spacing w:lineRule="auto" w:line="480"/>
        <w:ind w:hanging="0"/>
        <w:jc w:val="both"/>
        <w:rPr/>
      </w:pPr>
      <w:r>
        <w:rPr>
          <w:rFonts w:eastAsia="AR PL SungtiL GB" w:cs="Times New Roman" w:ascii="Palatino Linotype" w:hAnsi="Palatino Linotype"/>
          <w:color w:val="000000"/>
          <w:lang w:val="en-GB" w:eastAsia="de-DE" w:bidi="en-US"/>
        </w:rPr>
        <w:t xml:space="preserve">where </w:t>
      </w:r>
      <w:r>
        <w:rPr>
          <w:rFonts w:eastAsia="AR PL SungtiL GB" w:cs="Times New Roman" w:ascii="Palatino Linotype" w:hAnsi="Palatino Linotype"/>
          <w:i/>
          <w:iCs/>
          <w:color w:val="000000"/>
          <w:lang w:val="en-GB" w:eastAsia="de-DE" w:bidi="en-US"/>
        </w:rPr>
        <w:t>g</w:t>
      </w:r>
      <w:r>
        <w:rPr>
          <w:rFonts w:eastAsia="AR PL SungtiL GB" w:cs="Times New Roman" w:ascii="Palatino Linotype" w:hAnsi="Palatino Linotype"/>
          <w:color w:val="000000"/>
          <w:lang w:val="en-GB" w:eastAsia="de-DE" w:bidi="en-US"/>
        </w:rPr>
        <w:t xml:space="preserve"> is gravitational acceleration, </w:t>
      </w:r>
      <w:r>
        <w:rPr>
          <w:rFonts w:eastAsia="AR PL SungtiL GB" w:cs="Times New Roman" w:ascii="Palatino Linotype" w:hAnsi="Palatino Linotype"/>
          <w:i/>
          <w:iCs/>
          <w:color w:val="000000"/>
          <w:lang w:val="en-GB" w:eastAsia="de-DE" w:bidi="en-US"/>
        </w:rPr>
        <w:t>q</w:t>
      </w:r>
      <w:r>
        <w:rPr>
          <w:rFonts w:eastAsia="AR PL SungtiL GB" w:cs="Times New Roman" w:ascii="Palatino Linotype" w:hAnsi="Palatino Linotype"/>
          <w:color w:val="000000"/>
          <w:lang w:val="en-GB" w:eastAsia="de-DE" w:bidi="en-US"/>
        </w:rPr>
        <w:t xml:space="preserve"> is specific humidity, </w:t>
      </w:r>
      <w:r>
        <w:rPr>
          <w:rFonts w:eastAsia="AR PL SungtiL GB" w:cs="Times New Roman" w:ascii="Palatino Linotype" w:hAnsi="Palatino Linotype"/>
          <w:i/>
          <w:iCs/>
          <w:color w:val="000000"/>
          <w:lang w:val="en-GB" w:eastAsia="de-DE" w:bidi="en-US"/>
        </w:rPr>
        <w:t>ps</w:t>
      </w:r>
      <w:r>
        <w:rPr>
          <w:rFonts w:eastAsia="AR PL SungtiL GB" w:cs="Times New Roman" w:ascii="Palatino Linotype" w:hAnsi="Palatino Linotype"/>
          <w:color w:val="000000"/>
          <w:lang w:val="en-GB" w:eastAsia="de-DE" w:bidi="en-US"/>
        </w:rPr>
        <w:t xml:space="preserve"> is surface pressure, </w:t>
      </w:r>
      <w:r>
        <w:rPr>
          <w:rFonts w:eastAsia="AR PL SungtiL GB" w:cs="Times New Roman" w:ascii="Palatino Linotype" w:hAnsi="Palatino Linotype"/>
          <w:i/>
          <w:iCs/>
          <w:color w:val="000000"/>
          <w:lang w:val="en-GB" w:eastAsia="de-DE" w:bidi="en-US"/>
        </w:rPr>
        <w:t>p</w:t>
      </w:r>
      <w:r>
        <w:rPr>
          <w:rFonts w:eastAsia="AR PL SungtiL GB" w:cs="Times New Roman" w:ascii="Palatino Linotype" w:hAnsi="Palatino Linotype"/>
          <w:color w:val="000000"/>
          <w:lang w:val="en-GB" w:eastAsia="de-DE" w:bidi="en-US"/>
        </w:rPr>
        <w:t xml:space="preserve"> is pressure at the top, and</w:t>
      </w:r>
      <w:r>
        <w:rPr>
          <w:rFonts w:eastAsia="AR PL SungtiL GB" w:cs="Times New Roman" w:ascii="Palatino Linotype" w:hAnsi="Palatino Linotype"/>
          <w:i/>
          <w:iCs/>
          <w:color w:val="000000"/>
          <w:lang w:val="en-GB" w:eastAsia="de-DE"/>
        </w:rPr>
        <w:t xml:space="preserve"> </w:t>
      </w:r>
      <w:r>
        <w:rPr>
          <w:rFonts w:eastAsia="AR PL SungtiL GB" w:cs="Times New Roman" w:ascii="Palatino Linotype" w:hAnsi="Palatino Linotype"/>
          <w:i/>
          <w:iCs/>
          <w:color w:val="000000"/>
          <w:lang w:val="en-GB" w:eastAsia="de-DE" w:bidi="en-US"/>
        </w:rPr>
        <w:t>u</w:t>
      </w:r>
      <w:r>
        <w:rPr>
          <w:rFonts w:eastAsia="AR PL SungtiL GB" w:cs="Times New Roman" w:ascii="Palatino Linotype" w:hAnsi="Palatino Linotype"/>
          <w:color w:val="000000"/>
          <w:lang w:val="en-GB" w:eastAsia="de-DE" w:bidi="en-US"/>
        </w:rPr>
        <w:t xml:space="preserve"> and </w:t>
      </w:r>
      <w:r>
        <w:rPr>
          <w:rFonts w:eastAsia="AR PL SungtiL GB" w:cs="Times New Roman" w:ascii="Palatino Linotype" w:hAnsi="Palatino Linotype"/>
          <w:i/>
          <w:iCs/>
          <w:color w:val="000000"/>
          <w:lang w:val="en-GB" w:eastAsia="de-DE" w:bidi="en-US"/>
        </w:rPr>
        <w:t>v</w:t>
      </w:r>
      <w:r>
        <w:rPr>
          <w:rFonts w:eastAsia="AR PL SungtiL GB" w:cs="Times New Roman" w:ascii="Palatino Linotype" w:hAnsi="Palatino Linotype"/>
          <w:color w:val="000000"/>
          <w:lang w:val="en-GB" w:eastAsia="de-DE" w:bidi="en-US"/>
        </w:rPr>
        <w:t xml:space="preserve"> are the zonal and meridional winds, respectively</w:t>
      </w:r>
      <w:r>
        <w:rPr>
          <w:rFonts w:eastAsia="AR PL SungtiL GB" w:cs="Times New Roman" w:ascii="Palatino Linotype" w:hAnsi="Palatino Linotype"/>
          <w:color w:val="000000"/>
          <w:vertAlign w:val="superscript"/>
          <w:lang w:val="en-GB" w:eastAsia="de-DE" w:bidi="en-US"/>
        </w:rPr>
        <w:t>23, 24</w:t>
      </w:r>
      <w:r>
        <w:rPr>
          <w:rFonts w:eastAsia="AR PL SungtiL GB" w:cs="Times New Roman" w:ascii="Palatino Linotype" w:hAnsi="Palatino Linotype"/>
          <w:color w:val="000000"/>
          <w:lang w:val="en-GB" w:eastAsia="de-DE" w:bidi="en-US"/>
        </w:rPr>
        <w:t xml:space="preserve">.  </w:t>
      </w:r>
    </w:p>
    <w:p>
      <w:pPr>
        <w:pStyle w:val="Text"/>
        <w:spacing w:lineRule="auto" w:line="480"/>
        <w:ind w:hanging="0"/>
        <w:jc w:val="both"/>
        <w:rPr/>
      </w:pPr>
      <w:r>
        <w:rPr>
          <w:rFonts w:eastAsia="AR PL SungtiL GB" w:cs="Times New Roman" w:ascii="Palatino Linotype" w:hAnsi="Palatino Linotype"/>
          <w:color w:val="000000"/>
          <w:lang w:val="en-GB" w:eastAsia="de-DE" w:bidi="en-US"/>
        </w:rPr>
        <w:t>After verifying that the IVT field corresponded with the control experiments, the E-P fields for the moisture sources and sinks were evaluated (see Sup. Fig. 3, 4, 5). The statistics shown in Table 1 were used to evaluate the (E-P) patterns (see Sup. Fig. 6), where x</w:t>
      </w:r>
      <w:r>
        <w:rPr>
          <w:rFonts w:eastAsia="AR PL SungtiL GB" w:cs="Times New Roman" w:ascii="Palatino Linotype" w:hAnsi="Palatino Linotype"/>
          <w:color w:val="000000"/>
          <w:vertAlign w:val="subscript"/>
          <w:lang w:val="en-GB" w:eastAsia="de-DE" w:bidi="en-US"/>
        </w:rPr>
        <w:t>i</w:t>
      </w:r>
      <w:r>
        <w:rPr>
          <w:rFonts w:eastAsia="AR PL SungtiL GB" w:cs="Times New Roman" w:ascii="Palatino Linotype" w:hAnsi="Palatino Linotype"/>
          <w:color w:val="000000"/>
          <w:lang w:val="en-GB" w:eastAsia="de-DE" w:bidi="en-US"/>
        </w:rPr>
        <w:t xml:space="preserve"> and y</w:t>
      </w:r>
      <w:r>
        <w:rPr>
          <w:rFonts w:eastAsia="AR PL SungtiL GB" w:cs="Times New Roman" w:ascii="Palatino Linotype" w:hAnsi="Palatino Linotype"/>
          <w:color w:val="000000"/>
          <w:vertAlign w:val="subscript"/>
          <w:lang w:val="en-GB" w:eastAsia="de-DE" w:bidi="en-US"/>
        </w:rPr>
        <w:t>i</w:t>
      </w:r>
      <w:r>
        <w:rPr>
          <w:rFonts w:eastAsia="AR PL SungtiL GB" w:cs="Times New Roman" w:ascii="Palatino Linotype" w:hAnsi="Palatino Linotype"/>
          <w:color w:val="000000"/>
          <w:lang w:val="en-GB" w:eastAsia="de-DE" w:bidi="en-US"/>
        </w:rPr>
        <w:t xml:space="preserve"> are the simulated (FLEX-WRF) and control (FLEX-ERA5) values</w:t>
      </w:r>
      <w:r>
        <w:rPr>
          <w:rFonts w:eastAsia="AR PL SungtiL GB" w:cs="Times New Roman" w:ascii="Palatino Linotype" w:hAnsi="Palatino Linotype"/>
          <w:color w:val="000000"/>
          <w:lang w:val="en-GB" w:eastAsia="de-DE"/>
        </w:rPr>
        <w:t>, respectively</w:t>
      </w:r>
      <w:r>
        <w:rPr>
          <w:rFonts w:eastAsia="AR PL SungtiL GB" w:cs="Times New Roman" w:ascii="Palatino Linotype" w:hAnsi="Palatino Linotype"/>
          <w:color w:val="000000"/>
          <w:lang w:val="en-GB" w:eastAsia="de-DE" w:bidi="en-US"/>
        </w:rPr>
        <w:t xml:space="preserve">, </w:t>
      </w:r>
      <w:r>
        <w:rPr>
          <w:rFonts w:eastAsia="AR PL SungtiL GB" w:cs="Times New Roman" w:ascii="Palatino Linotype" w:hAnsi="Palatino Linotype"/>
          <w:i/>
          <w:iCs/>
          <w:color w:val="000000"/>
          <w:lang w:val="en-GB" w:eastAsia="de-DE" w:bidi="en-US"/>
        </w:rPr>
        <w:t>n</w:t>
      </w:r>
      <w:r>
        <w:rPr>
          <w:rFonts w:eastAsia="AR PL SungtiL GB" w:cs="Times New Roman" w:ascii="Palatino Linotype" w:hAnsi="Palatino Linotype"/>
          <w:color w:val="000000"/>
          <w:lang w:val="en-GB" w:eastAsia="de-DE" w:bidi="en-US"/>
        </w:rPr>
        <w:t xml:space="preserve"> </w:t>
      </w:r>
      <w:r>
        <w:rPr>
          <w:rFonts w:eastAsia="AR PL SungtiL GB" w:cs="Times New Roman" w:ascii="Palatino Linotype" w:hAnsi="Palatino Linotype"/>
          <w:color w:val="000000"/>
          <w:lang w:val="en-GB" w:eastAsia="de-DE"/>
        </w:rPr>
        <w:t xml:space="preserve">is the number of points and </w:t>
      </w:r>
      <w:r>
        <w:rPr/>
      </w:r>
      <m:oMath xmlns:m="http://schemas.openxmlformats.org/officeDocument/2006/math">
        <m:bar>
          <m:barPr>
            <m:pos m:val="top"/>
          </m:barPr>
          <m:e>
            <m:sSub>
              <m:e>
                <m:r>
                  <w:rPr>
                    <w:rFonts w:ascii="Cambria Math" w:hAnsi="Cambria Math"/>
                  </w:rPr>
                  <m:t xml:space="preserve">x</m:t>
                </m:r>
              </m:e>
              <m:sub>
                <m:r>
                  <w:rPr>
                    <w:rFonts w:ascii="Cambria Math" w:hAnsi="Cambria Math"/>
                  </w:rPr>
                  <m:t xml:space="preserve">i</m:t>
                </m:r>
              </m:sub>
            </m:sSub>
          </m:e>
        </m:bar>
      </m:oMath>
      <w:r>
        <w:rPr>
          <w:rFonts w:eastAsia="AR PL SungtiL GB" w:cs="Times New Roman" w:ascii="Palatino Linotype" w:hAnsi="Palatino Linotype"/>
          <w:color w:val="000000"/>
          <w:lang w:val="en-GB" w:eastAsia="de-DE" w:bidi="en-US"/>
        </w:rPr>
        <w:t xml:space="preserve"> and </w:t>
      </w:r>
      <w:r>
        <w:rPr/>
      </w:r>
      <m:oMath xmlns:m="http://schemas.openxmlformats.org/officeDocument/2006/math">
        <m:bar>
          <m:barPr>
            <m:pos m:val="top"/>
          </m:barPr>
          <m:e>
            <m:sSub>
              <m:e>
                <m:r>
                  <w:rPr>
                    <w:rFonts w:ascii="Cambria Math" w:hAnsi="Cambria Math"/>
                  </w:rPr>
                  <m:t xml:space="preserve">y</m:t>
                </m:r>
              </m:e>
              <m:sub>
                <m:r>
                  <w:rPr>
                    <w:rFonts w:ascii="Cambria Math" w:hAnsi="Cambria Math"/>
                  </w:rPr>
                  <m:t xml:space="preserve">i</m:t>
                </m:r>
              </m:sub>
            </m:sSub>
          </m:e>
        </m:bar>
      </m:oMath>
      <w:r>
        <w:rPr>
          <w:rFonts w:eastAsia="AR PL SungtiL GB" w:cs="Times New Roman" w:ascii="Palatino Linotype" w:hAnsi="Palatino Linotype"/>
          <w:color w:val="000000"/>
          <w:lang w:val="en-GB" w:eastAsia="de-DE" w:bidi="en-US"/>
        </w:rPr>
        <w:t xml:space="preserve"> are the mean values</w:t>
      </w:r>
      <w:r>
        <w:rPr>
          <w:rFonts w:eastAsia="AR PL SungtiL GB" w:cs="Times New Roman" w:ascii="Palatino Linotype" w:hAnsi="Palatino Linotype"/>
          <w:color w:val="000000"/>
          <w:vertAlign w:val="superscript"/>
          <w:lang w:val="en-GB" w:eastAsia="de-DE" w:bidi="en-US"/>
        </w:rPr>
        <w:t>25</w:t>
      </w:r>
      <w:r>
        <w:rPr>
          <w:rFonts w:eastAsia="AR PL SungtiL GB" w:cs="Times New Roman" w:ascii="Palatino Linotype" w:hAnsi="Palatino Linotype"/>
          <w:color w:val="000000"/>
          <w:lang w:val="en-GB" w:eastAsia="de-DE" w:bidi="en-US"/>
        </w:rPr>
        <w:t>.</w:t>
      </w:r>
    </w:p>
    <w:p>
      <w:pPr>
        <w:pStyle w:val="Text"/>
        <w:spacing w:lineRule="auto" w:line="480"/>
        <w:ind w:hanging="0"/>
        <w:jc w:val="both"/>
        <w:rPr/>
      </w:pPr>
      <w:r>
        <w:rPr>
          <w:rFonts w:eastAsia="AR PL SungtiL GB" w:cs="Times New Roman" w:ascii="Palatino Linotype" w:hAnsi="Palatino Linotype"/>
          <w:b/>
          <w:color w:val="000000"/>
          <w:lang w:val="en-GB" w:eastAsia="de-DE" w:bidi="en-US"/>
        </w:rPr>
        <w:t>Table 1. Equations for the used statigraphs</w:t>
      </w:r>
    </w:p>
    <w:tbl>
      <w:tblPr>
        <w:tblW w:w="7380" w:type="dxa"/>
        <w:jc w:val="left"/>
        <w:tblInd w:w="1035" w:type="dxa"/>
        <w:tblBorders>
          <w:top w:val="single" w:sz="2" w:space="0" w:color="000000"/>
          <w:left w:val="single" w:sz="2" w:space="0" w:color="000000"/>
          <w:bottom w:val="single" w:sz="2" w:space="0" w:color="000000"/>
          <w:insideH w:val="single" w:sz="2" w:space="0" w:color="000000"/>
        </w:tblBorders>
        <w:tblCellMar>
          <w:top w:w="55" w:type="dxa"/>
          <w:left w:w="0" w:type="dxa"/>
          <w:bottom w:w="55" w:type="dxa"/>
          <w:right w:w="46" w:type="dxa"/>
        </w:tblCellMar>
        <w:tblLook w:noVBand="1" w:val="04a0" w:noHBand="0" w:lastColumn="0" w:firstColumn="1" w:lastRow="0" w:firstRow="1"/>
      </w:tblPr>
      <w:tblGrid>
        <w:gridCol w:w="4050"/>
        <w:gridCol w:w="3329"/>
      </w:tblGrid>
      <w:tr>
        <w:trPr/>
        <w:tc>
          <w:tcPr>
            <w:tcW w:w="4050" w:type="dxa"/>
            <w:tcBorders>
              <w:top w:val="single" w:sz="2" w:space="0" w:color="000000"/>
              <w:left w:val="single" w:sz="2" w:space="0" w:color="000000"/>
              <w:bottom w:val="single" w:sz="2" w:space="0" w:color="000000"/>
              <w:insideH w:val="single" w:sz="2" w:space="0" w:color="000000"/>
            </w:tcBorders>
            <w:shd w:fill="auto" w:val="clear"/>
          </w:tcPr>
          <w:p>
            <w:pPr>
              <w:pStyle w:val="FigureorTableCaption"/>
              <w:spacing w:lineRule="auto" w:line="480" w:before="240" w:after="0"/>
              <w:jc w:val="both"/>
              <w:rPr/>
            </w:pPr>
            <w:r>
              <w:rPr>
                <w:rFonts w:eastAsia="AR PL SungtiL GB" w:cs="Times New Roman" w:ascii="Palatino Linotype" w:hAnsi="Palatino Linotype"/>
                <w:b/>
                <w:bCs/>
                <w:color w:val="000000"/>
                <w:lang w:val="en-GB" w:eastAsia="de-DE" w:bidi="en-US"/>
              </w:rPr>
              <w:t>Statigraphs</w:t>
            </w:r>
          </w:p>
        </w:tc>
        <w:tc>
          <w:tcPr>
            <w:tcW w:w="332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pacing w:lineRule="auto" w:line="480"/>
              <w:jc w:val="both"/>
              <w:rPr>
                <w:rFonts w:ascii="Palatino Linotype" w:hAnsi="Palatino Linotype" w:eastAsia="AR PL SungtiL GB"/>
                <w:b/>
                <w:b/>
                <w:bCs/>
                <w:color w:val="000000"/>
                <w:kern w:val="2"/>
                <w:szCs w:val="24"/>
                <w:lang w:val="en-GB" w:eastAsia="de-DE" w:bidi="en-US"/>
              </w:rPr>
            </w:pPr>
            <w:r>
              <w:rPr>
                <w:rFonts w:eastAsia="AR PL SungtiL GB" w:ascii="Palatino Linotype" w:hAnsi="Palatino Linotype"/>
                <w:b/>
                <w:bCs/>
                <w:color w:val="000000"/>
                <w:kern w:val="2"/>
                <w:szCs w:val="24"/>
                <w:lang w:val="en-GB" w:eastAsia="de-DE" w:bidi="en-US"/>
              </w:rPr>
            </w:r>
          </w:p>
          <w:p>
            <w:pPr>
              <w:pStyle w:val="TableContents"/>
              <w:spacing w:lineRule="auto" w:line="480"/>
              <w:jc w:val="both"/>
              <w:rPr/>
            </w:pPr>
            <w:r>
              <w:rPr>
                <w:rFonts w:eastAsia="AR PL SungtiL GB" w:ascii="Palatino Linotype" w:hAnsi="Palatino Linotype"/>
                <w:b/>
                <w:bCs/>
                <w:color w:val="000000"/>
                <w:kern w:val="2"/>
                <w:szCs w:val="24"/>
                <w:lang w:val="en-GB" w:eastAsia="de-DE" w:bidi="en-US"/>
              </w:rPr>
              <w:t>Equation</w:t>
            </w:r>
          </w:p>
        </w:tc>
      </w:tr>
      <w:tr>
        <w:trPr>
          <w:trHeight w:val="719" w:hRule="atLeast"/>
        </w:trPr>
        <w:tc>
          <w:tcPr>
            <w:tcW w:w="4050" w:type="dxa"/>
            <w:tcBorders>
              <w:top w:val="single" w:sz="2" w:space="0" w:color="000000"/>
              <w:left w:val="single" w:sz="2" w:space="0" w:color="000000"/>
              <w:bottom w:val="single" w:sz="2" w:space="0" w:color="000000"/>
              <w:insideH w:val="single" w:sz="2" w:space="0" w:color="000000"/>
            </w:tcBorders>
            <w:shd w:fill="auto" w:val="clear"/>
          </w:tcPr>
          <w:p>
            <w:pPr>
              <w:pStyle w:val="Text"/>
              <w:spacing w:lineRule="auto" w:line="480" w:before="120" w:after="0"/>
              <w:ind w:hanging="0"/>
              <w:jc w:val="both"/>
              <w:rPr/>
            </w:pPr>
            <w:r>
              <w:rPr>
                <w:rFonts w:eastAsia="AR PL SungtiL GB" w:cs="Times New Roman" w:ascii="Palatino Linotype" w:hAnsi="Palatino Linotype"/>
                <w:color w:val="000000"/>
                <w:highlight w:val="white"/>
                <w:lang w:val="en-GB" w:eastAsia="de-DE" w:bidi="en-US"/>
              </w:rPr>
              <w:t>Absolute error (MAE)</w:t>
            </w:r>
          </w:p>
        </w:tc>
        <w:tc>
          <w:tcPr>
            <w:tcW w:w="332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pacing w:lineRule="auto" w:line="480"/>
              <w:jc w:val="both"/>
              <w:rPr/>
            </w:pPr>
            <w:r>
              <w:rPr/>
            </w:r>
            <m:oMath xmlns:m="http://schemas.openxmlformats.org/officeDocument/2006/math">
              <m:r>
                <w:rPr>
                  <w:rFonts w:ascii="Cambria Math" w:hAnsi="Cambria Math"/>
                </w:rPr>
                <m:t xml:space="preserve">MAE</m:t>
              </m:r>
              <m:r>
                <w:rPr>
                  <w:rFonts w:ascii="Cambria Math" w:hAnsi="Cambria Math"/>
                </w:rPr>
                <m:t xml:space="preserve">=</m:t>
              </m:r>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d>
                        <m:dPr>
                          <m:begChr m:val="|"/>
                          <m:endChr m:val="|"/>
                        </m:dPr>
                        <m:e>
                          <m:sSub>
                            <m:e>
                              <m:r>
                                <w:rPr>
                                  <w:rFonts w:ascii="Cambria Math" w:hAnsi="Cambria Math"/>
                                </w:rPr>
                                <m:t xml:space="preserve">x</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i</m:t>
                              </m:r>
                            </m:sub>
                          </m:sSub>
                        </m:e>
                      </m:d>
                    </m:e>
                  </m:nary>
                </m:num>
                <m:den>
                  <m:r>
                    <w:rPr>
                      <w:rFonts w:ascii="Cambria Math" w:hAnsi="Cambria Math"/>
                    </w:rPr>
                    <m:t xml:space="preserve">n</m:t>
                  </m:r>
                </m:den>
              </m:f>
            </m:oMath>
          </w:p>
        </w:tc>
      </w:tr>
      <w:tr>
        <w:trPr/>
        <w:tc>
          <w:tcPr>
            <w:tcW w:w="4050" w:type="dxa"/>
            <w:tcBorders>
              <w:top w:val="single" w:sz="2" w:space="0" w:color="000000"/>
              <w:left w:val="single" w:sz="2" w:space="0" w:color="000000"/>
              <w:bottom w:val="single" w:sz="2" w:space="0" w:color="000000"/>
              <w:insideH w:val="single" w:sz="2" w:space="0" w:color="000000"/>
            </w:tcBorders>
            <w:shd w:fill="auto" w:val="clear"/>
          </w:tcPr>
          <w:p>
            <w:pPr>
              <w:pStyle w:val="Text"/>
              <w:spacing w:lineRule="auto" w:line="480" w:before="120" w:after="0"/>
              <w:ind w:hanging="0"/>
              <w:jc w:val="both"/>
              <w:rPr/>
            </w:pPr>
            <w:r>
              <w:rPr>
                <w:rFonts w:eastAsia="AR PL SungtiL GB" w:cs="Times New Roman" w:ascii="Palatino Linotype" w:hAnsi="Palatino Linotype"/>
                <w:color w:val="000000"/>
                <w:highlight w:val="white"/>
                <w:lang w:val="en-GB" w:eastAsia="de-DE" w:bidi="en-US"/>
              </w:rPr>
              <w:t>Root mean square error (RMSE)</w:t>
            </w:r>
          </w:p>
        </w:tc>
        <w:tc>
          <w:tcPr>
            <w:tcW w:w="332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pacing w:lineRule="auto" w:line="480"/>
              <w:jc w:val="both"/>
              <w:rPr/>
            </w:pPr>
            <w:r>
              <w:rPr/>
            </w:r>
            <m:oMath xmlns:m="http://schemas.openxmlformats.org/officeDocument/2006/math">
              <m:r>
                <w:rPr>
                  <w:rFonts w:ascii="Cambria Math" w:hAnsi="Cambria Math"/>
                </w:rPr>
                <m:t xml:space="preserve">RMSE</m:t>
              </m:r>
              <m:r>
                <w:rPr>
                  <w:rFonts w:ascii="Cambria Math" w:hAnsi="Cambria Math"/>
                </w:rPr>
                <m:t xml:space="preserve">=</m:t>
              </m:r>
              <m:rad>
                <m:radPr>
                  <m:degHide m:val="1"/>
                </m:radPr>
                <m:deg/>
                <m:e>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p>
                            <m:e>
                              <m:d>
                                <m:dPr>
                                  <m:begChr m:val="("/>
                                  <m:endChr m:val=")"/>
                                </m:dPr>
                                <m:e>
                                  <m:sSub>
                                    <m:e>
                                      <m:r>
                                        <w:rPr>
                                          <w:rFonts w:ascii="Cambria Math" w:hAnsi="Cambria Math"/>
                                        </w:rPr>
                                        <m:t xml:space="preserve">x</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i</m:t>
                                      </m:r>
                                    </m:sub>
                                  </m:sSub>
                                </m:e>
                              </m:d>
                            </m:e>
                            <m:sup>
                              <m:r>
                                <w:rPr>
                                  <w:rFonts w:ascii="Cambria Math" w:hAnsi="Cambria Math"/>
                                </w:rPr>
                                <m:t xml:space="preserve">2</m:t>
                              </m:r>
                            </m:sup>
                          </m:sSup>
                        </m:e>
                      </m:nary>
                    </m:num>
                    <m:den>
                      <m:r>
                        <w:rPr>
                          <w:rFonts w:ascii="Cambria Math" w:hAnsi="Cambria Math"/>
                        </w:rPr>
                        <m:t xml:space="preserve">n</m:t>
                      </m:r>
                    </m:den>
                  </m:f>
                </m:e>
              </m:rad>
            </m:oMath>
          </w:p>
        </w:tc>
      </w:tr>
      <w:tr>
        <w:trPr/>
        <w:tc>
          <w:tcPr>
            <w:tcW w:w="4050" w:type="dxa"/>
            <w:tcBorders>
              <w:top w:val="single" w:sz="2" w:space="0" w:color="000000"/>
              <w:left w:val="single" w:sz="2" w:space="0" w:color="000000"/>
              <w:bottom w:val="single" w:sz="2" w:space="0" w:color="000000"/>
              <w:insideH w:val="single" w:sz="2" w:space="0" w:color="000000"/>
            </w:tcBorders>
            <w:shd w:fill="auto" w:val="clear"/>
          </w:tcPr>
          <w:p>
            <w:pPr>
              <w:pStyle w:val="Text"/>
              <w:spacing w:lineRule="auto" w:line="480" w:before="120" w:after="0"/>
              <w:ind w:hanging="0"/>
              <w:jc w:val="both"/>
              <w:rPr/>
            </w:pPr>
            <w:r>
              <w:rPr>
                <w:rFonts w:eastAsia="AR PL SungtiL GB" w:cs="Times New Roman" w:ascii="Palatino Linotype" w:hAnsi="Palatino Linotype"/>
                <w:color w:val="000000"/>
                <w:highlight w:val="white"/>
                <w:lang w:val="en-GB" w:eastAsia="de-DE" w:bidi="en-US"/>
              </w:rPr>
              <w:t>Pearson's correlation (R)</w:t>
            </w:r>
          </w:p>
        </w:tc>
        <w:tc>
          <w:tcPr>
            <w:tcW w:w="332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pacing w:lineRule="auto" w:line="480"/>
              <w:jc w:val="both"/>
              <w:rPr/>
            </w:pPr>
            <w:r>
              <w:rPr/>
            </w:r>
            <m:oMath xmlns:m="http://schemas.openxmlformats.org/officeDocument/2006/math">
              <m:r>
                <w:rPr>
                  <w:rFonts w:ascii="Cambria Math" w:hAnsi="Cambria Math"/>
                </w:rPr>
                <m:t xml:space="preserve">R</m:t>
              </m:r>
              <m:r>
                <w:rPr>
                  <w:rFonts w:ascii="Cambria Math" w:hAnsi="Cambria Math"/>
                </w:rPr>
                <m:t xml:space="preserve">=</m:t>
              </m:r>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d>
                        <m:dPr>
                          <m:begChr m:val="("/>
                          <m:endChr m:val=")"/>
                        </m:dPr>
                        <m:e>
                          <m:sSub>
                            <m:e>
                              <m:r>
                                <w:rPr>
                                  <w:rFonts w:ascii="Cambria Math" w:hAnsi="Cambria Math"/>
                                </w:rPr>
                                <m:t xml:space="preserve">x</m:t>
                              </m:r>
                            </m:e>
                            <m:sub>
                              <m:r>
                                <w:rPr>
                                  <w:rFonts w:ascii="Cambria Math" w:hAnsi="Cambria Math"/>
                                </w:rPr>
                                <m:t xml:space="preserve">i</m:t>
                              </m:r>
                            </m:sub>
                          </m:sSub>
                          <m:r>
                            <w:rPr>
                              <w:rFonts w:ascii="Cambria Math" w:hAnsi="Cambria Math"/>
                            </w:rPr>
                            <m:t xml:space="preserve">−</m:t>
                          </m:r>
                          <m:bar>
                            <m:barPr>
                              <m:pos m:val="top"/>
                            </m:barPr>
                            <m:e>
                              <m:sSub>
                                <m:e>
                                  <m:r>
                                    <w:rPr>
                                      <w:rFonts w:ascii="Cambria Math" w:hAnsi="Cambria Math"/>
                                    </w:rPr>
                                    <m:t xml:space="preserve">x</m:t>
                                  </m:r>
                                </m:e>
                                <m:sub>
                                  <m:r>
                                    <w:rPr>
                                      <w:rFonts w:ascii="Cambria Math" w:hAnsi="Cambria Math"/>
                                    </w:rPr>
                                    <m:t xml:space="preserve">i</m:t>
                                  </m:r>
                                </m:sub>
                              </m:sSub>
                            </m:e>
                          </m:bar>
                        </m:e>
                      </m:d>
                      <m:d>
                        <m:dPr>
                          <m:begChr m:val="("/>
                          <m:endChr m:val=")"/>
                        </m:dPr>
                        <m:e>
                          <m:sSub>
                            <m:e>
                              <m:r>
                                <w:rPr>
                                  <w:rFonts w:ascii="Cambria Math" w:hAnsi="Cambria Math"/>
                                </w:rPr>
                                <m:t xml:space="preserve">y</m:t>
                              </m:r>
                            </m:e>
                            <m:sub>
                              <m:r>
                                <w:rPr>
                                  <w:rFonts w:ascii="Cambria Math" w:hAnsi="Cambria Math"/>
                                </w:rPr>
                                <m:t xml:space="preserve">i</m:t>
                              </m:r>
                            </m:sub>
                          </m:sSub>
                          <m:r>
                            <w:rPr>
                              <w:rFonts w:ascii="Cambria Math" w:hAnsi="Cambria Math"/>
                            </w:rPr>
                            <m:t xml:space="preserve">−</m:t>
                          </m:r>
                          <m:bar>
                            <m:barPr>
                              <m:pos m:val="top"/>
                            </m:barPr>
                            <m:e>
                              <m:sSub>
                                <m:e>
                                  <m:r>
                                    <w:rPr>
                                      <w:rFonts w:ascii="Cambria Math" w:hAnsi="Cambria Math"/>
                                    </w:rPr>
                                    <m:t xml:space="preserve">y</m:t>
                                  </m:r>
                                </m:e>
                                <m:sub>
                                  <m:r>
                                    <w:rPr>
                                      <w:rFonts w:ascii="Cambria Math" w:hAnsi="Cambria Math"/>
                                    </w:rPr>
                                    <m:t xml:space="preserve">i</m:t>
                                  </m:r>
                                </m:sub>
                              </m:sSub>
                            </m:e>
                          </m:bar>
                        </m:e>
                      </m:d>
                    </m:e>
                  </m:nary>
                </m:num>
                <m:den>
                  <m:rad>
                    <m:radPr>
                      <m:degHide m:val="1"/>
                    </m:radPr>
                    <m:deg/>
                    <m:e>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sSup>
                            <m:e>
                              <m:d>
                                <m:dPr>
                                  <m:begChr m:val="("/>
                                  <m:endChr m:val=")"/>
                                </m:dPr>
                                <m:e>
                                  <m:sSub>
                                    <m:e>
                                      <m:r>
                                        <w:rPr>
                                          <w:rFonts w:ascii="Cambria Math" w:hAnsi="Cambria Math"/>
                                        </w:rPr>
                                        <m:t xml:space="preserve">x</m:t>
                                      </m:r>
                                    </m:e>
                                    <m:sub>
                                      <m:r>
                                        <w:rPr>
                                          <w:rFonts w:ascii="Cambria Math" w:hAnsi="Cambria Math"/>
                                        </w:rPr>
                                        <m:t xml:space="preserve">i</m:t>
                                      </m:r>
                                    </m:sub>
                                  </m:sSub>
                                  <m:r>
                                    <w:rPr>
                                      <w:rFonts w:ascii="Cambria Math" w:hAnsi="Cambria Math"/>
                                    </w:rPr>
                                    <m:t xml:space="preserve">−</m:t>
                                  </m:r>
                                  <m:bar>
                                    <m:barPr>
                                      <m:pos m:val="top"/>
                                    </m:barPr>
                                    <m:e>
                                      <m:sSub>
                                        <m:e>
                                          <m:r>
                                            <w:rPr>
                                              <w:rFonts w:ascii="Cambria Math" w:hAnsi="Cambria Math"/>
                                            </w:rPr>
                                            <m:t xml:space="preserve">x</m:t>
                                          </m:r>
                                        </m:e>
                                        <m:sub>
                                          <m:r>
                                            <w:rPr>
                                              <w:rFonts w:ascii="Cambria Math" w:hAnsi="Cambria Math"/>
                                            </w:rPr>
                                            <m:t xml:space="preserve">i</m:t>
                                          </m:r>
                                        </m:sub>
                                      </m:sSub>
                                    </m:e>
                                  </m:bar>
                                </m:e>
                              </m:d>
                            </m:e>
                            <m:sup>
                              <m:r>
                                <w:rPr>
                                  <w:rFonts w:ascii="Cambria Math" w:hAnsi="Cambria Math"/>
                                </w:rPr>
                                <m:t xml:space="preserve">2</m:t>
                              </m:r>
                            </m:sup>
                          </m:sSup>
                          <m:sSup>
                            <m:e>
                              <m:d>
                                <m:dPr>
                                  <m:begChr m:val="("/>
                                  <m:endChr m:val=")"/>
                                </m:dPr>
                                <m:e>
                                  <m:sSub>
                                    <m:e>
                                      <m:r>
                                        <w:rPr>
                                          <w:rFonts w:ascii="Cambria Math" w:hAnsi="Cambria Math"/>
                                        </w:rPr>
                                        <m:t xml:space="preserve">y</m:t>
                                      </m:r>
                                    </m:e>
                                    <m:sub>
                                      <m:r>
                                        <w:rPr>
                                          <w:rFonts w:ascii="Cambria Math" w:hAnsi="Cambria Math"/>
                                        </w:rPr>
                                        <m:t xml:space="preserve">i</m:t>
                                      </m:r>
                                    </m:sub>
                                  </m:sSub>
                                  <m:r>
                                    <w:rPr>
                                      <w:rFonts w:ascii="Cambria Math" w:hAnsi="Cambria Math"/>
                                    </w:rPr>
                                    <m:t xml:space="preserve">−</m:t>
                                  </m:r>
                                  <m:bar>
                                    <m:barPr>
                                      <m:pos m:val="top"/>
                                    </m:barPr>
                                    <m:e>
                                      <m:sSub>
                                        <m:e>
                                          <m:r>
                                            <w:rPr>
                                              <w:rFonts w:ascii="Cambria Math" w:hAnsi="Cambria Math"/>
                                            </w:rPr>
                                            <m:t xml:space="preserve">y</m:t>
                                          </m:r>
                                        </m:e>
                                        <m:sub>
                                          <m:r>
                                            <w:rPr>
                                              <w:rFonts w:ascii="Cambria Math" w:hAnsi="Cambria Math"/>
                                            </w:rPr>
                                            <m:t xml:space="preserve">i</m:t>
                                          </m:r>
                                        </m:sub>
                                      </m:sSub>
                                    </m:e>
                                  </m:bar>
                                </m:e>
                              </m:d>
                            </m:e>
                            <m:sup>
                              <m:r>
                                <w:rPr>
                                  <w:rFonts w:ascii="Cambria Math" w:hAnsi="Cambria Math"/>
                                </w:rPr>
                                <m:t xml:space="preserve">2</m:t>
                              </m:r>
                            </m:sup>
                          </m:sSup>
                        </m:e>
                      </m:nary>
                    </m:e>
                  </m:rad>
                </m:den>
              </m:f>
            </m:oMath>
          </w:p>
        </w:tc>
      </w:tr>
      <w:tr>
        <w:trPr/>
        <w:tc>
          <w:tcPr>
            <w:tcW w:w="4050" w:type="dxa"/>
            <w:tcBorders>
              <w:top w:val="single" w:sz="2" w:space="0" w:color="000000"/>
              <w:left w:val="single" w:sz="2" w:space="0" w:color="000000"/>
              <w:bottom w:val="single" w:sz="2" w:space="0" w:color="000000"/>
              <w:insideH w:val="single" w:sz="2" w:space="0" w:color="000000"/>
            </w:tcBorders>
            <w:shd w:fill="auto" w:val="clear"/>
          </w:tcPr>
          <w:p>
            <w:pPr>
              <w:pStyle w:val="Text"/>
              <w:spacing w:lineRule="auto" w:line="480" w:before="120" w:after="0"/>
              <w:ind w:hanging="0"/>
              <w:jc w:val="both"/>
              <w:rPr/>
            </w:pPr>
            <w:r>
              <w:rPr>
                <w:rFonts w:eastAsia="AR PL SungtiL GB" w:cs="Times New Roman" w:ascii="Palatino Linotype" w:hAnsi="Palatino Linotype"/>
                <w:color w:val="000000"/>
                <w:highlight w:val="white"/>
                <w:lang w:val="en-GB" w:eastAsia="de-DE" w:bidi="en-US"/>
              </w:rPr>
              <w:t>Bias (B)</w:t>
            </w:r>
          </w:p>
        </w:tc>
        <w:tc>
          <w:tcPr>
            <w:tcW w:w="3329"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spacing w:lineRule="auto" w:line="480"/>
              <w:jc w:val="both"/>
              <w:rPr/>
            </w:pPr>
            <w:r>
              <w:rPr/>
            </w:r>
            <m:oMath xmlns:m="http://schemas.openxmlformats.org/officeDocument/2006/math">
              <m:r>
                <w:rPr>
                  <w:rFonts w:ascii="Cambria Math" w:hAnsi="Cambria Math"/>
                </w:rPr>
                <m:t xml:space="preserve">B</m:t>
              </m:r>
              <m:r>
                <w:rPr>
                  <w:rFonts w:ascii="Cambria Math" w:hAnsi="Cambria Math"/>
                </w:rPr>
                <m:t xml:space="preserve">=</m:t>
              </m:r>
              <m:f>
                <m:num>
                  <m:nary>
                    <m:naryPr>
                      <m:chr m:val="∑"/>
                    </m:naryPr>
                    <m:sub>
                      <m:r>
                        <w:rPr>
                          <w:rFonts w:ascii="Cambria Math" w:hAnsi="Cambria Math"/>
                        </w:rPr>
                        <m:t xml:space="preserve">i</m:t>
                      </m:r>
                      <m:r>
                        <w:rPr>
                          <w:rFonts w:ascii="Cambria Math" w:hAnsi="Cambria Math"/>
                        </w:rPr>
                        <m:t xml:space="preserve">=</m:t>
                      </m:r>
                      <m:r>
                        <w:rPr>
                          <w:rFonts w:ascii="Cambria Math" w:hAnsi="Cambria Math"/>
                        </w:rPr>
                        <m:t xml:space="preserve">1</m:t>
                      </m:r>
                    </m:sub>
                    <m:sup>
                      <m:r>
                        <w:rPr>
                          <w:rFonts w:ascii="Cambria Math" w:hAnsi="Cambria Math"/>
                        </w:rPr>
                        <m:t xml:space="preserve">n</m:t>
                      </m:r>
                    </m:sup>
                    <m:e>
                      <m:d>
                        <m:dPr>
                          <m:begChr m:val="("/>
                          <m:endChr m:val=")"/>
                        </m:dPr>
                        <m:e>
                          <m:sSub>
                            <m:e>
                              <m:r>
                                <w:rPr>
                                  <w:rFonts w:ascii="Cambria Math" w:hAnsi="Cambria Math"/>
                                </w:rPr>
                                <m:t xml:space="preserve">x</m:t>
                              </m:r>
                            </m:e>
                            <m:sub>
                              <m:r>
                                <w:rPr>
                                  <w:rFonts w:ascii="Cambria Math" w:hAnsi="Cambria Math"/>
                                </w:rPr>
                                <m:t xml:space="preserve">i</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i</m:t>
                              </m:r>
                            </m:sub>
                          </m:sSub>
                        </m:e>
                      </m:d>
                    </m:e>
                  </m:nary>
                </m:num>
                <m:den>
                  <m:r>
                    <w:rPr>
                      <w:rFonts w:ascii="Cambria Math" w:hAnsi="Cambria Math"/>
                    </w:rPr>
                    <m:t xml:space="preserve">n</m:t>
                  </m:r>
                </m:den>
              </m:f>
            </m:oMath>
          </w:p>
        </w:tc>
      </w:tr>
    </w:tbl>
    <w:p>
      <w:pPr>
        <w:pStyle w:val="Normal"/>
        <w:spacing w:lineRule="auto" w:line="480" w:beforeAutospacing="1" w:afterAutospacing="1"/>
        <w:jc w:val="both"/>
        <w:rPr>
          <w:rFonts w:ascii="Palatino Linotype" w:hAnsi="Palatino Linotype" w:eastAsia="Times New Roman" w:cs="Times New Roman"/>
          <w:b/>
          <w:b/>
          <w:bCs/>
          <w:color w:val="000000"/>
          <w:lang w:val="en-GB" w:eastAsia="de-DE" w:bidi="en-US"/>
        </w:rPr>
      </w:pPr>
      <w:r>
        <w:rPr>
          <w:rFonts w:eastAsia="Times New Roman" w:cs="Times New Roman" w:ascii="Palatino Linotype" w:hAnsi="Palatino Linotype"/>
          <w:b/>
          <w:bCs/>
          <w:color w:val="000000"/>
          <w:lang w:val="en-GB" w:eastAsia="de-DE" w:bidi="en-US"/>
        </w:rPr>
      </w:r>
    </w:p>
    <w:p>
      <w:pPr>
        <w:pStyle w:val="Normal"/>
        <w:spacing w:lineRule="auto" w:line="480" w:beforeAutospacing="1" w:afterAutospacing="1"/>
        <w:jc w:val="both"/>
        <w:rPr/>
      </w:pPr>
      <w:r>
        <w:rPr>
          <w:rFonts w:eastAsia="Times New Roman" w:cs="Times New Roman" w:ascii="Palatino Linotype" w:hAnsi="Palatino Linotype"/>
          <w:b/>
          <w:bCs/>
          <w:color w:val="000000"/>
          <w:sz w:val="20"/>
          <w:szCs w:val="20"/>
          <w:lang w:val="en-GB" w:eastAsia="de-DE" w:bidi="en-US"/>
        </w:rPr>
        <w:t xml:space="preserve">Supplementary </w:t>
      </w:r>
      <w:r>
        <w:rPr>
          <w:rFonts w:eastAsia="Times New Roman" w:cs="Times New Roman" w:ascii="Palatino Linotype" w:hAnsi="Palatino Linotype"/>
          <w:b/>
          <w:bCs/>
          <w:sz w:val="20"/>
          <w:szCs w:val="20"/>
          <w:lang w:val="en-GB" w:eastAsia="de-DE" w:bidi="en-US"/>
        </w:rPr>
        <w:t xml:space="preserve">Figure 2. Comparison of IVT field between WRF-CESM2 and WRF-ERA5 | </w:t>
      </w:r>
      <w:r>
        <w:rPr>
          <w:rFonts w:eastAsia="Times New Roman" w:cs="Times New Roman" w:ascii="Palatino Linotype" w:hAnsi="Palatino Linotype"/>
          <w:sz w:val="20"/>
          <w:szCs w:val="20"/>
          <w:lang w:val="en-GB" w:eastAsia="de-DE" w:bidi="en-US"/>
        </w:rPr>
        <w:t>IVT module (contours) and direction (arrows) for WRF-CESM2 (left column), WRF-ERA5 (central) and ERA5 (right) in the period 2010–2014 (kg m</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xml:space="preserve"> s</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3. Moisture source fields for the Iberian </w:t>
      </w:r>
      <w:r>
        <w:rPr>
          <w:rFonts w:eastAsia="Batang" w:cs="Times New Roman" w:ascii="Palatino Linotype" w:hAnsi="Palatino Linotype"/>
          <w:b/>
          <w:bCs/>
          <w:kern w:val="0"/>
          <w:sz w:val="20"/>
          <w:szCs w:val="20"/>
          <w:lang w:val="en-GB" w:eastAsia="en-US" w:bidi="ar-SA"/>
        </w:rPr>
        <w:t>Peninsula</w:t>
      </w:r>
      <w:r>
        <w:rPr>
          <w:rFonts w:cs="Times New Roman" w:ascii="Palatino Linotype" w:hAnsi="Palatino Linotype"/>
          <w:b/>
          <w:bCs/>
          <w:sz w:val="20"/>
          <w:szCs w:val="20"/>
          <w:lang w:val="en-GB"/>
        </w:rPr>
        <w:t xml:space="preserve"> </w:t>
      </w:r>
      <w:r>
        <w:rPr>
          <w:rFonts w:eastAsia="Batang" w:cs="Times New Roman" w:ascii="Palatino Linotype" w:hAnsi="Palatino Linotype"/>
          <w:b/>
          <w:bCs/>
          <w:kern w:val="0"/>
          <w:sz w:val="20"/>
          <w:szCs w:val="20"/>
          <w:lang w:val="en-GB" w:eastAsia="en-US" w:bidi="ar-SA"/>
        </w:rPr>
        <w:t>in</w:t>
      </w:r>
      <w:r>
        <w:rPr>
          <w:rFonts w:cs="Times New Roman" w:ascii="Palatino Linotype" w:hAnsi="Palatino Linotype"/>
          <w:b/>
          <w:bCs/>
          <w:sz w:val="20"/>
          <w:szCs w:val="20"/>
          <w:lang w:val="en-GB"/>
        </w:rPr>
        <w:t xml:space="preserve"> the historical period | </w:t>
      </w:r>
      <w:r>
        <w:rPr>
          <w:rFonts w:cs="Times New Roman" w:ascii="Palatino Linotype" w:hAnsi="Palatino Linotype"/>
          <w:sz w:val="20"/>
          <w:szCs w:val="20"/>
          <w:lang w:val="en-GB"/>
        </w:rPr>
        <w:t>Moisture sources fields for the Iberian Peninsula (in mm day</w:t>
      </w:r>
      <w:r>
        <w:rPr>
          <w:rFonts w:cs="Times New Roman" w:ascii="Palatino Linotype" w:hAnsi="Palatino Linotype"/>
          <w:sz w:val="20"/>
          <w:szCs w:val="20"/>
          <w:vertAlign w:val="superscript"/>
          <w:lang w:val="en-GB"/>
        </w:rPr>
        <w:t>-1</w:t>
      </w:r>
      <w:r>
        <w:rPr>
          <w:rFonts w:cs="Times New Roman" w:ascii="Palatino Linotype" w:hAnsi="Palatino Linotype"/>
          <w:sz w:val="20"/>
          <w:szCs w:val="20"/>
          <w:lang w:val="en-GB"/>
        </w:rPr>
        <w:t>) for FLEX-CESM2 (left) and FLEX-ERA5 (right), and the IVT field and its divergence from ERA5 (right, vectors in vectors in kg m</w:t>
      </w:r>
      <w:r>
        <w:rPr>
          <w:rFonts w:cs="Times New Roman" w:ascii="Palatino Linotype" w:hAnsi="Palatino Linotype"/>
          <w:sz w:val="20"/>
          <w:szCs w:val="20"/>
          <w:vertAlign w:val="superscript"/>
          <w:lang w:val="en-GB"/>
        </w:rPr>
        <w:t>-1</w:t>
      </w:r>
      <w:r>
        <w:rPr>
          <w:rFonts w:cs="Times New Roman" w:ascii="Palatino Linotype" w:hAnsi="Palatino Linotype"/>
          <w:sz w:val="20"/>
          <w:szCs w:val="20"/>
          <w:lang w:val="en-GB"/>
        </w:rPr>
        <w:t xml:space="preserve"> s</w:t>
      </w:r>
      <w:r>
        <w:rPr>
          <w:rFonts w:cs="Times New Roman" w:ascii="Palatino Linotype" w:hAnsi="Palatino Linotype"/>
          <w:sz w:val="20"/>
          <w:szCs w:val="20"/>
          <w:vertAlign w:val="superscript"/>
          <w:lang w:val="en-GB"/>
        </w:rPr>
        <w:t>-1</w:t>
      </w:r>
      <w:r>
        <w:rPr>
          <w:rFonts w:cs="Times New Roman" w:ascii="Palatino Linotype" w:hAnsi="Palatino Linotype"/>
          <w:sz w:val="20"/>
          <w:szCs w:val="20"/>
          <w:lang w:val="en-GB"/>
        </w:rPr>
        <w:t xml:space="preserve"> and coloured field in mm day</w:t>
      </w:r>
      <w:r>
        <w:rPr>
          <w:rFonts w:cs="Times New Roman" w:ascii="Palatino Linotype" w:hAnsi="Palatino Linotype"/>
          <w:sz w:val="20"/>
          <w:szCs w:val="20"/>
          <w:vertAlign w:val="superscript"/>
          <w:lang w:val="en-GB"/>
        </w:rPr>
        <w:t>-1</w:t>
      </w:r>
      <w:r>
        <w:rPr>
          <w:rFonts w:cs="Times New Roman" w:ascii="Palatino Linotype" w:hAnsi="Palatino Linotype"/>
          <w:sz w:val="20"/>
          <w:szCs w:val="20"/>
          <w:lang w:val="en-GB"/>
        </w:rPr>
        <w:t xml:space="preserve">, respectively) during the historical period (2010-2014).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4. </w:t>
      </w:r>
      <w:r>
        <w:rPr>
          <w:rFonts w:eastAsia="Batang" w:cs="Times New Roman" w:ascii="Palatino Linotype" w:hAnsi="Palatino Linotype"/>
          <w:b/>
          <w:bCs/>
          <w:kern w:val="0"/>
          <w:sz w:val="20"/>
          <w:szCs w:val="20"/>
          <w:lang w:val="en-GB" w:eastAsia="en-US" w:bidi="ar-SA"/>
        </w:rPr>
        <w:t>Moisture sink fields for the Mediterranean source in the historical period |</w:t>
      </w:r>
      <w:r>
        <w:rPr>
          <w:rFonts w:eastAsia="Batang" w:cs="Times New Roman" w:ascii="Palatino Linotype" w:hAnsi="Palatino Linotype"/>
          <w:kern w:val="0"/>
          <w:sz w:val="20"/>
          <w:szCs w:val="20"/>
          <w:lang w:val="en-GB" w:eastAsia="en-US" w:bidi="ar-SA"/>
        </w:rPr>
        <w:t xml:space="preserve"> Moisture sink fields for the Mediterranean Sea (in mm day</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for FLEX-CESM2 (left) and FLEX-ERA5 (right), and the IVT field and its divergence from ERA5 (right, vectors in vectors in kg m</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xml:space="preserve"> s</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xml:space="preserve"> and coloured field in mm day</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respectively) during the historical period</w:t>
      </w:r>
      <w:r>
        <w:rPr>
          <w:rFonts w:cs="Times New Roman" w:ascii="Palatino Linotype" w:hAnsi="Palatino Linotype"/>
          <w:sz w:val="20"/>
          <w:szCs w:val="20"/>
          <w:lang w:val="en-GB"/>
        </w:rPr>
        <w:t xml:space="preserve"> (2010-2014).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 xml:space="preserve">. </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5. </w:t>
      </w:r>
      <w:r>
        <w:rPr>
          <w:rFonts w:eastAsia="Batang" w:cs="Times New Roman" w:ascii="Palatino Linotype" w:hAnsi="Palatino Linotype"/>
          <w:b/>
          <w:bCs/>
          <w:kern w:val="0"/>
          <w:sz w:val="20"/>
          <w:szCs w:val="20"/>
          <w:lang w:val="en-GB" w:eastAsia="en-US" w:bidi="ar-SA"/>
        </w:rPr>
        <w:t>Moisture sink fields for the North Atlantic source in the historical period. |</w:t>
      </w:r>
      <w:r>
        <w:rPr>
          <w:rFonts w:cs="Times New Roman" w:ascii="Palatino Linotype" w:hAnsi="Palatino Linotype"/>
          <w:b/>
          <w:bCs/>
          <w:sz w:val="20"/>
          <w:szCs w:val="20"/>
          <w:lang w:val="en-GB"/>
        </w:rPr>
        <w:t xml:space="preserve"> </w:t>
      </w:r>
      <w:r>
        <w:rPr>
          <w:rFonts w:eastAsia="Batang" w:cs="Times New Roman" w:ascii="Palatino Linotype" w:hAnsi="Palatino Linotype"/>
          <w:kern w:val="0"/>
          <w:sz w:val="20"/>
          <w:szCs w:val="20"/>
          <w:lang w:val="en-GB" w:eastAsia="en-US" w:bidi="ar-SA"/>
        </w:rPr>
        <w:t>Moisture sink fields for the North Atlantic (in mm day</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for FLEX-CESM2 (left) and FLEX-ERA5 (right), and the IVT field and its divergence from ERA5 (right, vectors in vectors in kg m</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xml:space="preserve"> s</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xml:space="preserve"> and coloured field in mm day</w:t>
      </w:r>
      <w:r>
        <w:rPr>
          <w:rFonts w:eastAsia="Batang" w:cs="Times New Roman" w:ascii="Palatino Linotype" w:hAnsi="Palatino Linotype"/>
          <w:kern w:val="0"/>
          <w:sz w:val="20"/>
          <w:szCs w:val="20"/>
          <w:vertAlign w:val="superscript"/>
          <w:lang w:val="en-GB" w:eastAsia="en-US" w:bidi="ar-SA"/>
        </w:rPr>
        <w:t>-1</w:t>
      </w:r>
      <w:r>
        <w:rPr>
          <w:rFonts w:eastAsia="Batang" w:cs="Times New Roman" w:ascii="Palatino Linotype" w:hAnsi="Palatino Linotype"/>
          <w:kern w:val="0"/>
          <w:sz w:val="20"/>
          <w:szCs w:val="20"/>
          <w:lang w:val="en-GB" w:eastAsia="en-US" w:bidi="ar-SA"/>
        </w:rPr>
        <w:t>, respectively) during the historical period</w:t>
      </w:r>
      <w:r>
        <w:rPr>
          <w:rFonts w:cs="Times New Roman" w:ascii="Palatino Linotype" w:hAnsi="Palatino Linotype"/>
          <w:sz w:val="20"/>
          <w:szCs w:val="20"/>
          <w:lang w:val="en-GB"/>
        </w:rPr>
        <w:t xml:space="preserve"> (2010-2014).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cs="Times New Roman" w:ascii="Palatino Linotype" w:hAnsi="Palatino Linotype"/>
          <w:b/>
          <w:bCs/>
          <w:sz w:val="20"/>
          <w:szCs w:val="20"/>
          <w:lang w:val="en-GB"/>
        </w:rPr>
        <w:t>Supplementary Figure 6. Evaluation of FLEX-CESM2 configuration in the historical period. |</w:t>
      </w:r>
      <w:r>
        <w:rPr>
          <w:rFonts w:cs="Times New Roman" w:ascii="Palatino Linotype" w:hAnsi="Palatino Linotype"/>
          <w:sz w:val="20"/>
          <w:szCs w:val="20"/>
          <w:lang w:val="en-GB"/>
        </w:rPr>
        <w:t xml:space="preserve"> Statigraphs used for evaluating moisture sources and sinks for target regions: IP (red), MED (blue) and NATL (green). The graphs shown correspond to: R (a), MAE (b), BIAS (c), and RSME (d). Period: 2010–2014.</w:t>
      </w:r>
    </w:p>
    <w:p>
      <w:pPr>
        <w:pStyle w:val="Normal"/>
        <w:spacing w:lineRule="auto" w:line="480" w:beforeAutospacing="1" w:afterAutospacing="1"/>
        <w:jc w:val="both"/>
        <w:rPr>
          <w:color w:val="000000"/>
        </w:rPr>
      </w:pPr>
      <w:r>
        <w:rPr>
          <w:rFonts w:eastAsia="Times New Roman" w:cs="Times New Roman" w:ascii="Palatino Linotype" w:hAnsi="Palatino Linotype"/>
          <w:b/>
          <w:bCs/>
          <w:color w:val="000000"/>
          <w:lang w:val="en-GB" w:eastAsia="de-DE" w:bidi="en-US"/>
        </w:rPr>
        <w:t>Section 2. Supplementary figures for the manuscript</w:t>
      </w:r>
    </w:p>
    <w:p>
      <w:pPr>
        <w:pStyle w:val="Text"/>
        <w:spacing w:lineRule="auto" w:line="480" w:beforeAutospacing="1" w:afterAutospacing="1"/>
        <w:ind w:hanging="0"/>
        <w:jc w:val="both"/>
        <w:rPr/>
      </w:pPr>
      <w:r>
        <w:rPr>
          <w:rFonts w:cs="Times New Roman" w:ascii="Palatino Linotype" w:hAnsi="Palatino Linotype"/>
          <w:b/>
          <w:bCs/>
          <w:color w:val="000000"/>
          <w:lang w:val="en-GB" w:eastAsia="de-DE" w:bidi="en-US"/>
        </w:rPr>
        <w:t xml:space="preserve">Supplementary figures and table for: </w:t>
      </w:r>
      <w:r>
        <w:rPr>
          <w:rFonts w:cs="Times New Roman" w:ascii="Palatino Linotype" w:hAnsi="Palatino Linotype"/>
          <w:b/>
          <w:bCs/>
          <w:color w:val="000000"/>
          <w:lang w:val="en-GB"/>
        </w:rPr>
        <w:t>Future projections for integrated water vapour transport (IVT) in the North Atlantic Ocean</w:t>
      </w:r>
    </w:p>
    <w:p>
      <w:pPr>
        <w:pStyle w:val="Normal"/>
        <w:spacing w:lineRule="auto" w:line="480" w:beforeAutospacing="1" w:afterAutospacing="1"/>
        <w:jc w:val="both"/>
        <w:rPr/>
      </w:pPr>
      <w:r>
        <w:rPr>
          <w:rFonts w:eastAsia="Times New Roman" w:cs="Times New Roman" w:ascii="Palatino Linotype" w:hAnsi="Palatino Linotype"/>
          <w:b/>
          <w:bCs/>
          <w:sz w:val="20"/>
          <w:szCs w:val="20"/>
          <w:lang w:val="en-GB" w:eastAsia="de-DE" w:bidi="en-US"/>
        </w:rPr>
        <w:t>Supplementary Figure 7.</w:t>
      </w:r>
      <w:r>
        <w:rPr>
          <w:rFonts w:eastAsia="Times New Roman" w:cs="Times New Roman" w:ascii="Palatino Linotype" w:hAnsi="Palatino Linotype"/>
          <w:b/>
          <w:bCs/>
          <w:kern w:val="0"/>
          <w:sz w:val="20"/>
          <w:szCs w:val="20"/>
          <w:lang w:val="en-GB" w:eastAsia="de-DE" w:bidi="en-US"/>
        </w:rPr>
        <w:t xml:space="preserve"> Comparison of IVT field between historical period and SSP5-8.5 scenario |</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eastAsia="de-DE" w:bidi="en-US"/>
        </w:rPr>
        <w:t>IVT module (coloured filled, in mm day</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and direction (arrows, in kg m</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xml:space="preserve"> s</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for the historical reference period (left column, 2010–2014) and differences for the SSP5-8.5 scenario for the mid- and end 21</w:t>
      </w:r>
      <w:r>
        <w:rPr>
          <w:rFonts w:eastAsia="Times New Roman" w:cs="Times New Roman" w:ascii="Palatino Linotype" w:hAnsi="Palatino Linotype"/>
          <w:sz w:val="20"/>
          <w:szCs w:val="20"/>
          <w:vertAlign w:val="superscript"/>
          <w:lang w:val="en-GB" w:eastAsia="de-DE" w:bidi="en-US"/>
        </w:rPr>
        <w:t>st</w:t>
      </w:r>
      <w:r>
        <w:rPr>
          <w:rFonts w:eastAsia="Times New Roman" w:cs="Times New Roman" w:ascii="Palatino Linotype" w:hAnsi="Palatino Linotype"/>
          <w:sz w:val="20"/>
          <w:szCs w:val="20"/>
          <w:lang w:val="en-GB" w:eastAsia="de-DE" w:bidi="en-US"/>
        </w:rPr>
        <w:t xml:space="preserve"> century (central, MC 2049–2053, and right, EC 2096–2100, respectively).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r>
        <w:rPr>
          <w:rFonts w:eastAsia="Times New Roman" w:cs="Times New Roman" w:ascii="Palatino Linotype" w:hAnsi="Palatino Linotype"/>
          <w:sz w:val="20"/>
          <w:szCs w:val="20"/>
          <w:lang w:val="en-GB" w:eastAsia="de-DE" w:bidi="en-US"/>
        </w:rPr>
        <w:t xml:space="preserve"> </w:t>
      </w:r>
    </w:p>
    <w:p>
      <w:pPr>
        <w:pStyle w:val="Normal"/>
        <w:spacing w:lineRule="auto" w:line="480" w:beforeAutospacing="1" w:afterAutospacing="1"/>
        <w:jc w:val="both"/>
        <w:rPr/>
      </w:pPr>
      <w:r>
        <w:rPr>
          <w:rFonts w:cs="Times New Roman" w:ascii="Palatino Linotype" w:hAnsi="Palatino Linotype"/>
          <w:b/>
          <w:bCs/>
          <w:sz w:val="20"/>
          <w:szCs w:val="20"/>
          <w:lang w:val="en-GB"/>
        </w:rPr>
        <w:t>Supplementary Figure 8.</w:t>
      </w:r>
      <w:r>
        <w:rPr>
          <w:rFonts w:cs="Times New Roman" w:ascii="Palatino Linotype" w:hAnsi="Palatino Linotype"/>
          <w:sz w:val="20"/>
          <w:szCs w:val="20"/>
          <w:lang w:val="en-GB"/>
        </w:rPr>
        <w:t xml:space="preserve"> </w:t>
      </w:r>
      <w:r>
        <w:rPr>
          <w:rFonts w:eastAsia="Times New Roman" w:cs="Times New Roman" w:ascii="Palatino Linotype" w:hAnsi="Palatino Linotype"/>
          <w:b/>
          <w:bCs/>
          <w:kern w:val="0"/>
          <w:sz w:val="20"/>
          <w:szCs w:val="20"/>
          <w:lang w:val="en-GB" w:eastAsia="de-DE" w:bidi="en-US"/>
        </w:rPr>
        <w:t xml:space="preserve">Comparison of IVT field between historical period and </w:t>
      </w:r>
      <w:r>
        <w:rPr>
          <w:rFonts w:eastAsia="Times New Roman" w:cs="Times New Roman" w:ascii="Palatino Linotype" w:hAnsi="Palatino Linotype"/>
          <w:b/>
          <w:bCs/>
          <w:sz w:val="20"/>
          <w:szCs w:val="20"/>
          <w:lang w:val="en-GB" w:eastAsia="de-DE" w:bidi="en-US"/>
        </w:rPr>
        <w:t xml:space="preserve">middle century </w:t>
      </w:r>
      <w:r>
        <w:rPr>
          <w:rFonts w:cs="Times New Roman" w:ascii="Palatino Linotype" w:hAnsi="Palatino Linotype"/>
          <w:b/>
          <w:bCs/>
          <w:sz w:val="20"/>
          <w:szCs w:val="20"/>
          <w:lang w:val="en-GB"/>
        </w:rPr>
        <w:t xml:space="preserve">SSP2-4.5 and SSP3-7.0 scenarios </w:t>
      </w:r>
      <w:r>
        <w:rPr>
          <w:rFonts w:eastAsia="Times New Roman" w:cs="Times New Roman" w:ascii="Palatino Linotype" w:hAnsi="Palatino Linotype"/>
          <w:b/>
          <w:bCs/>
          <w:kern w:val="0"/>
          <w:sz w:val="20"/>
          <w:szCs w:val="20"/>
          <w:lang w:val="en-GB" w:eastAsia="de-DE" w:bidi="en-US"/>
        </w:rPr>
        <w:t>|</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eastAsia="de-DE" w:bidi="en-US"/>
        </w:rPr>
        <w:t>IVT module (coloured filled, in mm day</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and direction (arrows, in kg m</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xml:space="preserve"> s</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for the historical reference period (left column, 2010–2014) and differences for SSP2-4.5 (central column), and SSP3-7.0 (</w:t>
      </w:r>
      <w:r>
        <w:rPr>
          <w:rFonts w:eastAsia="Times New Roman" w:cs="Times New Roman" w:ascii="Palatino Linotype" w:hAnsi="Palatino Linotype"/>
          <w:kern w:val="0"/>
          <w:sz w:val="20"/>
          <w:szCs w:val="20"/>
          <w:lang w:val="en-GB" w:eastAsia="de-DE" w:bidi="en-US"/>
        </w:rPr>
        <w:t>right</w:t>
      </w:r>
      <w:r>
        <w:rPr>
          <w:rFonts w:eastAsia="Times New Roman" w:cs="Times New Roman" w:ascii="Palatino Linotype" w:hAnsi="Palatino Linotype"/>
          <w:sz w:val="20"/>
          <w:szCs w:val="20"/>
          <w:lang w:val="en-GB" w:eastAsia="de-DE" w:bidi="en-US"/>
        </w:rPr>
        <w:t xml:space="preserve"> column) for the middle 21</w:t>
      </w:r>
      <w:r>
        <w:rPr>
          <w:rFonts w:eastAsia="Times New Roman" w:cs="Times New Roman" w:ascii="Palatino Linotype" w:hAnsi="Palatino Linotype"/>
          <w:sz w:val="20"/>
          <w:szCs w:val="20"/>
          <w:vertAlign w:val="superscript"/>
          <w:lang w:val="en-GB" w:eastAsia="de-DE" w:bidi="en-US"/>
        </w:rPr>
        <w:t>st</w:t>
      </w:r>
      <w:r>
        <w:rPr>
          <w:rFonts w:eastAsia="Times New Roman" w:cs="Times New Roman" w:ascii="Palatino Linotype" w:hAnsi="Palatino Linotype"/>
          <w:sz w:val="20"/>
          <w:szCs w:val="20"/>
          <w:lang w:val="en-GB" w:eastAsia="de-DE" w:bidi="en-US"/>
        </w:rPr>
        <w:t xml:space="preserve"> century (2049–2053, MC).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cs="Times New Roman" w:ascii="Palatino Linotype" w:hAnsi="Palatino Linotype"/>
          <w:b/>
          <w:bCs/>
          <w:sz w:val="20"/>
          <w:szCs w:val="20"/>
          <w:lang w:val="en-GB"/>
        </w:rPr>
        <w:t>Supplementary Figure 9.</w:t>
      </w:r>
      <w:r>
        <w:rPr>
          <w:rFonts w:cs="Times New Roman" w:ascii="Palatino Linotype" w:hAnsi="Palatino Linotype"/>
          <w:sz w:val="20"/>
          <w:szCs w:val="20"/>
          <w:lang w:val="en-GB"/>
        </w:rPr>
        <w:t xml:space="preserve"> </w:t>
      </w:r>
      <w:r>
        <w:rPr>
          <w:rFonts w:eastAsia="Times New Roman" w:cs="Times New Roman" w:ascii="Palatino Linotype" w:hAnsi="Palatino Linotype"/>
          <w:b/>
          <w:bCs/>
          <w:kern w:val="0"/>
          <w:sz w:val="20"/>
          <w:szCs w:val="20"/>
          <w:lang w:val="en-GB" w:eastAsia="de-DE" w:bidi="en-US"/>
        </w:rPr>
        <w:t xml:space="preserve">Comparison of IVT field between historical period and the </w:t>
      </w:r>
      <w:r>
        <w:rPr>
          <w:rFonts w:eastAsia="Batang" w:cs="Times New Roman" w:ascii="Palatino Linotype" w:hAnsi="Palatino Linotype"/>
          <w:b/>
          <w:bCs/>
          <w:kern w:val="0"/>
          <w:sz w:val="20"/>
          <w:szCs w:val="20"/>
          <w:lang w:val="en-GB" w:eastAsia="en-US" w:bidi="ar-SA"/>
        </w:rPr>
        <w:t>end of the century</w:t>
      </w:r>
      <w:r>
        <w:rPr>
          <w:rFonts w:eastAsia="Times New Roman" w:cs="Times New Roman" w:ascii="Palatino Linotype" w:hAnsi="Palatino Linotype"/>
          <w:b/>
          <w:bCs/>
          <w:kern w:val="0"/>
          <w:sz w:val="20"/>
          <w:szCs w:val="20"/>
          <w:lang w:val="en-GB" w:eastAsia="de-DE" w:bidi="en-US"/>
        </w:rPr>
        <w:t xml:space="preserve"> SSP2-4.5 and SSP3-7.0 scenarios | </w:t>
      </w:r>
      <w:r>
        <w:rPr>
          <w:rFonts w:eastAsia="Times New Roman" w:cs="Times New Roman" w:ascii="Palatino Linotype" w:hAnsi="Palatino Linotype"/>
          <w:sz w:val="20"/>
          <w:szCs w:val="20"/>
          <w:lang w:val="en-GB" w:eastAsia="de-DE" w:bidi="en-US"/>
        </w:rPr>
        <w:t>IVT module (coloured filled, in mm day</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and direction (arrows, in kg m</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xml:space="preserve"> s</w:t>
      </w:r>
      <w:r>
        <w:rPr>
          <w:rFonts w:eastAsia="Times New Roman" w:cs="Times New Roman" w:ascii="Palatino Linotype" w:hAnsi="Palatino Linotype"/>
          <w:sz w:val="20"/>
          <w:szCs w:val="20"/>
          <w:vertAlign w:val="superscript"/>
          <w:lang w:val="en-GB" w:eastAsia="de-DE" w:bidi="en-US"/>
        </w:rPr>
        <w:t>-1</w:t>
      </w:r>
      <w:r>
        <w:rPr>
          <w:rFonts w:eastAsia="Times New Roman" w:cs="Times New Roman" w:ascii="Palatino Linotype" w:hAnsi="Palatino Linotype"/>
          <w:sz w:val="20"/>
          <w:szCs w:val="20"/>
          <w:lang w:val="en-GB" w:eastAsia="de-DE" w:bidi="en-US"/>
        </w:rPr>
        <w:t>) for the historical reference period (left column, 2010–2014) and differences for SSP2-4.5 (central column), and SSP3-7.0 (</w:t>
      </w:r>
      <w:r>
        <w:rPr>
          <w:rFonts w:eastAsia="Times New Roman" w:cs="Times New Roman" w:ascii="Palatino Linotype" w:hAnsi="Palatino Linotype"/>
          <w:kern w:val="0"/>
          <w:sz w:val="20"/>
          <w:szCs w:val="20"/>
          <w:lang w:val="en-GB" w:eastAsia="de-DE" w:bidi="en-US"/>
        </w:rPr>
        <w:t>right</w:t>
      </w:r>
      <w:r>
        <w:rPr>
          <w:rFonts w:eastAsia="Times New Roman" w:cs="Times New Roman" w:ascii="Palatino Linotype" w:hAnsi="Palatino Linotype"/>
          <w:sz w:val="20"/>
          <w:szCs w:val="20"/>
          <w:lang w:val="en-GB" w:eastAsia="de-DE" w:bidi="en-US"/>
        </w:rPr>
        <w:t xml:space="preserve"> column) for the end of the 21</w:t>
      </w:r>
      <w:r>
        <w:rPr>
          <w:rFonts w:eastAsia="Times New Roman" w:cs="Times New Roman" w:ascii="Palatino Linotype" w:hAnsi="Palatino Linotype"/>
          <w:sz w:val="20"/>
          <w:szCs w:val="20"/>
          <w:vertAlign w:val="superscript"/>
          <w:lang w:val="en-GB" w:eastAsia="de-DE" w:bidi="en-US"/>
        </w:rPr>
        <w:t>st</w:t>
      </w:r>
      <w:r>
        <w:rPr>
          <w:rFonts w:eastAsia="Times New Roman" w:cs="Times New Roman" w:ascii="Palatino Linotype" w:hAnsi="Palatino Linotype"/>
          <w:sz w:val="20"/>
          <w:szCs w:val="20"/>
          <w:lang w:val="en-GB" w:eastAsia="de-DE" w:bidi="en-US"/>
        </w:rPr>
        <w:t xml:space="preserve"> century (2096–2100, EC). </w:t>
      </w:r>
      <w:r>
        <w:rPr>
          <w:rFonts w:eastAsia="Times New Roman" w:cs="Times New Roman" w:ascii="Palatino Linotype" w:hAnsi="Palatino Linotype"/>
          <w:sz w:val="20"/>
          <w:szCs w:val="20"/>
          <w:lang w:val="en-GB"/>
        </w:rPr>
        <w:t xml:space="preserve">The fields displayed from top to bottom correspond to </w:t>
      </w:r>
      <w:bookmarkStart w:id="4" w:name="__DdeLink__1340_4137357758"/>
      <w:r>
        <w:rPr>
          <w:rFonts w:eastAsia="Times New Roman" w:cs="Times New Roman" w:ascii="Palatino Linotype" w:hAnsi="Palatino Linotype"/>
          <w:sz w:val="20"/>
          <w:szCs w:val="20"/>
          <w:lang w:val="en-GB"/>
        </w:rPr>
        <w:t>winter, spring, summer, autumn and annual</w:t>
      </w:r>
      <w:bookmarkEnd w:id="4"/>
      <w:r>
        <w:rPr>
          <w:rFonts w:eastAsia="Times New Roman" w:cs="Times New Roman" w:ascii="Palatino Linotype" w:hAnsi="Palatino Linotype"/>
          <w:sz w:val="20"/>
          <w:szCs w:val="20"/>
          <w:lang w:val="en-GB"/>
        </w:rPr>
        <w:t xml:space="preserve">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eastAsia="Batang" w:cs="Times New Roman" w:ascii="Palatino Linotype" w:hAnsi="Palatino Linotype"/>
          <w:b/>
          <w:bCs/>
          <w:color w:val="000000"/>
          <w:kern w:val="0"/>
          <w:sz w:val="20"/>
          <w:szCs w:val="20"/>
          <w:lang w:val="en-GB" w:eastAsia="en-US" w:bidi="ar-SA"/>
        </w:rPr>
        <w:t xml:space="preserve">Supplementary Table 1: Mean percentage differences (%) for IVT with respect to the historical period considering SSP2-4.5, SSP3-7.0 and SSP5-8.5 </w:t>
      </w:r>
      <w:r>
        <w:rPr>
          <w:rFonts w:eastAsia="Times New Roman" w:cs="Times New Roman" w:ascii="Palatino Linotype" w:hAnsi="Palatino Linotype"/>
          <w:b/>
          <w:bCs/>
          <w:color w:val="000000"/>
          <w:kern w:val="0"/>
          <w:sz w:val="20"/>
          <w:szCs w:val="20"/>
          <w:lang w:val="en-GB" w:eastAsia="de-DE" w:bidi="en-US"/>
        </w:rPr>
        <w:t xml:space="preserve">scenarios </w:t>
      </w:r>
      <w:r>
        <w:rPr>
          <w:rFonts w:eastAsia="Batang" w:cs="Times New Roman" w:ascii="Palatino Linotype" w:hAnsi="Palatino Linotype"/>
          <w:b/>
          <w:bCs/>
          <w:color w:val="000000"/>
          <w:kern w:val="0"/>
          <w:sz w:val="20"/>
          <w:szCs w:val="20"/>
          <w:lang w:val="en-GB" w:eastAsia="en-US" w:bidi="ar-SA"/>
        </w:rPr>
        <w:t>|</w:t>
      </w:r>
      <w:r>
        <w:rPr>
          <w:rFonts w:eastAsia="Batang" w:cs="Times New Roman" w:ascii="Palatino Linotype" w:hAnsi="Palatino Linotype"/>
          <w:color w:val="000000"/>
          <w:kern w:val="0"/>
          <w:sz w:val="20"/>
          <w:szCs w:val="20"/>
          <w:lang w:val="en-GB" w:eastAsia="en-US" w:bidi="ar-SA"/>
        </w:rPr>
        <w:t xml:space="preserve"> </w:t>
      </w:r>
      <w:r>
        <w:rPr>
          <w:rFonts w:eastAsia="Times New Roman" w:cs="Times New Roman" w:ascii="Palatino Linotype" w:hAnsi="Palatino Linotype"/>
          <w:color w:val="000000"/>
          <w:kern w:val="0"/>
          <w:sz w:val="20"/>
          <w:szCs w:val="20"/>
          <w:lang w:val="en-GB" w:eastAsia="en-US" w:bidi="ar-SA"/>
        </w:rPr>
        <w:t>The analyzed periods correspond to the middle (2049–2053, MC) and end of the century (2096–2100, E</w:t>
      </w:r>
      <w:r>
        <w:rPr>
          <w:rFonts w:eastAsia="Times New Roman" w:cs="Times New Roman" w:ascii="Palatino Linotype" w:hAnsi="Palatino Linotype"/>
          <w:color w:val="000000"/>
          <w:kern w:val="0"/>
          <w:sz w:val="20"/>
          <w:szCs w:val="20"/>
          <w:lang w:val="en-GB" w:eastAsia="en-US" w:bidi="ar-SA"/>
        </w:rPr>
        <w:t>C</w:t>
      </w:r>
      <w:r>
        <w:rPr>
          <w:rFonts w:eastAsia="Times New Roman" w:cs="Times New Roman" w:ascii="Palatino Linotype" w:hAnsi="Palatino Linotype"/>
          <w:color w:val="000000"/>
          <w:kern w:val="0"/>
          <w:sz w:val="20"/>
          <w:szCs w:val="20"/>
          <w:lang w:val="en-GB" w:eastAsia="en-US" w:bidi="ar-SA"/>
        </w:rPr>
        <w:t>). The analyzed seasons were winter, spring, summer, autumn and the annual period.</w:t>
      </w:r>
    </w:p>
    <w:tbl>
      <w:tblPr>
        <w:tblW w:w="7300" w:type="dxa"/>
        <w:jc w:val="left"/>
        <w:tblInd w:w="1333"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Pr>
      <w:tblGrid>
        <w:gridCol w:w="1449"/>
        <w:gridCol w:w="900"/>
        <w:gridCol w:w="1000"/>
        <w:gridCol w:w="901"/>
        <w:gridCol w:w="900"/>
        <w:gridCol w:w="983"/>
        <w:gridCol w:w="1166"/>
      </w:tblGrid>
      <w:tr>
        <w:trPr/>
        <w:tc>
          <w:tcPr>
            <w:tcW w:w="1449" w:type="dxa"/>
            <w:vMerge w:val="restart"/>
            <w:tcBorders>
              <w:top w:val="single" w:sz="2" w:space="0" w:color="000000"/>
              <w:left w:val="single" w:sz="2" w:space="0" w:color="000000"/>
              <w:bottom w:val="single" w:sz="2" w:space="0" w:color="000000"/>
              <w:insideH w:val="single" w:sz="2" w:space="0" w:color="000000"/>
            </w:tcBorders>
            <w:shd w:fill="auto" w:val="clear"/>
          </w:tcPr>
          <w:p>
            <w:pPr>
              <w:pStyle w:val="TableContents"/>
              <w:rPr>
                <w:rFonts w:ascii="Palatino Linotype" w:hAnsi="Palatino Linotype" w:eastAsia="Batang" w:cs="Times New Roman"/>
                <w:color w:val="000000"/>
                <w:kern w:val="0"/>
                <w:sz w:val="20"/>
                <w:szCs w:val="20"/>
                <w:lang w:val="en-GB" w:eastAsia="en-US" w:bidi="ar-SA"/>
              </w:rPr>
            </w:pPr>
            <w:r>
              <w:rPr>
                <w:rFonts w:eastAsia="Batang" w:cs="Times New Roman" w:ascii="Palatino Linotype" w:hAnsi="Palatino Linotype"/>
                <w:color w:val="000000"/>
                <w:kern w:val="0"/>
                <w:sz w:val="20"/>
                <w:szCs w:val="20"/>
                <w:lang w:val="en-GB" w:eastAsia="en-US" w:bidi="ar-SA"/>
              </w:rPr>
            </w:r>
          </w:p>
        </w:tc>
        <w:tc>
          <w:tcPr>
            <w:tcW w:w="2801" w:type="dxa"/>
            <w:gridSpan w:val="3"/>
            <w:tcBorders>
              <w:top w:val="single" w:sz="2" w:space="0" w:color="000000"/>
              <w:left w:val="single" w:sz="2" w:space="0" w:color="000000"/>
              <w:bottom w:val="single" w:sz="2" w:space="0" w:color="000000"/>
              <w:insideH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 xml:space="preserve">            </w:t>
            </w:r>
            <w:r>
              <w:rPr>
                <w:rFonts w:eastAsia="Batang" w:cs="Times New Roman" w:ascii="Palatino Linotype" w:hAnsi="Palatino Linotype"/>
                <w:color w:val="000000"/>
                <w:kern w:val="0"/>
                <w:sz w:val="20"/>
                <w:szCs w:val="20"/>
                <w:lang w:val="en-GB" w:eastAsia="en-US" w:bidi="ar-SA"/>
              </w:rPr>
              <w:t>Mid-century</w:t>
            </w:r>
          </w:p>
        </w:tc>
        <w:tc>
          <w:tcPr>
            <w:tcW w:w="3049"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 xml:space="preserve">               </w:t>
            </w:r>
            <w:r>
              <w:rPr>
                <w:rFonts w:eastAsia="Batang" w:cs="Times New Roman" w:ascii="Palatino Linotype" w:hAnsi="Palatino Linotype"/>
                <w:color w:val="000000"/>
                <w:kern w:val="0"/>
                <w:sz w:val="20"/>
                <w:szCs w:val="20"/>
                <w:lang w:val="en-GB" w:eastAsia="en-US" w:bidi="ar-SA"/>
              </w:rPr>
              <w:t>End-century</w:t>
            </w:r>
          </w:p>
        </w:tc>
      </w:tr>
      <w:tr>
        <w:trPr/>
        <w:tc>
          <w:tcPr>
            <w:tcW w:w="1449" w:type="dxa"/>
            <w:vMerge w:val="continue"/>
            <w:tcBorders>
              <w:top w:val="single" w:sz="2" w:space="0" w:color="000000"/>
              <w:left w:val="single" w:sz="2" w:space="0" w:color="000000"/>
              <w:bottom w:val="single" w:sz="2" w:space="0" w:color="000000"/>
              <w:insideH w:val="single" w:sz="2" w:space="0" w:color="000000"/>
            </w:tcBorders>
            <w:shd w:fill="auto" w:val="clear"/>
          </w:tcPr>
          <w:p>
            <w:pPr>
              <w:pStyle w:val="TableContents"/>
              <w:rPr>
                <w:rFonts w:ascii="Palatino Linotype" w:hAnsi="Palatino Linotype" w:eastAsia="Batang" w:cs="Times New Roman"/>
                <w:color w:val="000000"/>
                <w:kern w:val="0"/>
                <w:sz w:val="20"/>
                <w:szCs w:val="20"/>
                <w:lang w:val="en-GB" w:eastAsia="en-US" w:bidi="ar-SA"/>
              </w:rPr>
            </w:pPr>
            <w:r>
              <w:rPr>
                <w:rFonts w:eastAsia="Batang" w:cs="Times New Roman" w:ascii="Palatino Linotype" w:hAnsi="Palatino Linotype"/>
                <w:color w:val="000000"/>
                <w:kern w:val="0"/>
                <w:sz w:val="20"/>
                <w:szCs w:val="20"/>
                <w:lang w:val="en-GB" w:eastAsia="en-US" w:bidi="ar-SA"/>
              </w:rPr>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SSP2-4.5</w:t>
            </w:r>
          </w:p>
        </w:tc>
        <w:tc>
          <w:tcPr>
            <w:tcW w:w="1000" w:type="dxa"/>
            <w:tcBorders>
              <w:top w:val="single" w:sz="2" w:space="0" w:color="000000"/>
              <w:left w:val="single" w:sz="2" w:space="0" w:color="000000"/>
              <w:bottom w:val="single" w:sz="2" w:space="0" w:color="000000"/>
              <w:insideH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SSP3-7.0</w:t>
            </w:r>
          </w:p>
        </w:tc>
        <w:tc>
          <w:tcPr>
            <w:tcW w:w="901" w:type="dxa"/>
            <w:tcBorders>
              <w:top w:val="single" w:sz="2" w:space="0" w:color="000000"/>
              <w:left w:val="single" w:sz="2" w:space="0" w:color="000000"/>
              <w:bottom w:val="single" w:sz="2" w:space="0" w:color="000000"/>
              <w:insideH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SSP5-8.5</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SSP2-4.5</w:t>
            </w:r>
          </w:p>
        </w:tc>
        <w:tc>
          <w:tcPr>
            <w:tcW w:w="983" w:type="dxa"/>
            <w:tcBorders>
              <w:top w:val="single" w:sz="2" w:space="0" w:color="000000"/>
              <w:left w:val="single" w:sz="2" w:space="0" w:color="000000"/>
              <w:bottom w:val="single" w:sz="2" w:space="0" w:color="000000"/>
              <w:insideH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SSP3-7.0</w:t>
            </w:r>
          </w:p>
        </w:tc>
        <w:tc>
          <w:tcPr>
            <w:tcW w:w="11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Normal"/>
              <w:rPr>
                <w:color w:val="000000"/>
              </w:rPr>
            </w:pPr>
            <w:r>
              <w:rPr>
                <w:rFonts w:eastAsia="Batang" w:cs="Times New Roman" w:ascii="Palatino Linotype" w:hAnsi="Palatino Linotype"/>
                <w:color w:val="000000"/>
                <w:kern w:val="0"/>
                <w:sz w:val="20"/>
                <w:szCs w:val="20"/>
                <w:lang w:val="en-GB" w:eastAsia="en-US" w:bidi="ar-SA"/>
              </w:rPr>
              <w:t>SSP5-8.5</w:t>
            </w:r>
          </w:p>
        </w:tc>
      </w:tr>
      <w:tr>
        <w:trPr/>
        <w:tc>
          <w:tcPr>
            <w:tcW w:w="1449"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Winter</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4.0</w:t>
            </w:r>
          </w:p>
        </w:tc>
        <w:tc>
          <w:tcPr>
            <w:tcW w:w="10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9.1</w:t>
            </w:r>
          </w:p>
        </w:tc>
        <w:tc>
          <w:tcPr>
            <w:tcW w:w="901"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7.3</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16.2</w:t>
            </w:r>
          </w:p>
        </w:tc>
        <w:tc>
          <w:tcPr>
            <w:tcW w:w="983"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18.5</w:t>
            </w:r>
          </w:p>
        </w:tc>
        <w:tc>
          <w:tcPr>
            <w:tcW w:w="11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28.3</w:t>
            </w:r>
          </w:p>
        </w:tc>
      </w:tr>
      <w:tr>
        <w:trPr/>
        <w:tc>
          <w:tcPr>
            <w:tcW w:w="1449"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Spring</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2.2</w:t>
            </w:r>
          </w:p>
        </w:tc>
        <w:tc>
          <w:tcPr>
            <w:tcW w:w="10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1.1</w:t>
            </w:r>
          </w:p>
        </w:tc>
        <w:tc>
          <w:tcPr>
            <w:tcW w:w="901"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4.1</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12.7</w:t>
            </w:r>
          </w:p>
        </w:tc>
        <w:tc>
          <w:tcPr>
            <w:tcW w:w="983"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10.0</w:t>
            </w:r>
          </w:p>
        </w:tc>
        <w:tc>
          <w:tcPr>
            <w:tcW w:w="11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23.8</w:t>
            </w:r>
          </w:p>
        </w:tc>
      </w:tr>
      <w:tr>
        <w:trPr/>
        <w:tc>
          <w:tcPr>
            <w:tcW w:w="1449"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Summer</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13.4</w:t>
            </w:r>
          </w:p>
        </w:tc>
        <w:tc>
          <w:tcPr>
            <w:tcW w:w="10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6.5</w:t>
            </w:r>
          </w:p>
        </w:tc>
        <w:tc>
          <w:tcPr>
            <w:tcW w:w="901"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5.9</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14.8</w:t>
            </w:r>
          </w:p>
        </w:tc>
        <w:tc>
          <w:tcPr>
            <w:tcW w:w="983"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21.4</w:t>
            </w:r>
          </w:p>
        </w:tc>
        <w:tc>
          <w:tcPr>
            <w:tcW w:w="11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33.9</w:t>
            </w:r>
          </w:p>
        </w:tc>
      </w:tr>
      <w:tr>
        <w:trPr/>
        <w:tc>
          <w:tcPr>
            <w:tcW w:w="1449"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Autumn</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11.4</w:t>
            </w:r>
          </w:p>
        </w:tc>
        <w:tc>
          <w:tcPr>
            <w:tcW w:w="10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11.4</w:t>
            </w:r>
          </w:p>
        </w:tc>
        <w:tc>
          <w:tcPr>
            <w:tcW w:w="901"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11.9</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18.2</w:t>
            </w:r>
          </w:p>
        </w:tc>
        <w:tc>
          <w:tcPr>
            <w:tcW w:w="983"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28.4</w:t>
            </w:r>
          </w:p>
        </w:tc>
        <w:tc>
          <w:tcPr>
            <w:tcW w:w="11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38.4</w:t>
            </w:r>
          </w:p>
        </w:tc>
      </w:tr>
      <w:tr>
        <w:trPr/>
        <w:tc>
          <w:tcPr>
            <w:tcW w:w="1449"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Annual</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11.0</w:t>
            </w:r>
          </w:p>
        </w:tc>
        <w:tc>
          <w:tcPr>
            <w:tcW w:w="10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10.0</w:t>
            </w:r>
          </w:p>
        </w:tc>
        <w:tc>
          <w:tcPr>
            <w:tcW w:w="901"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10.4</w:t>
            </w:r>
          </w:p>
        </w:tc>
        <w:tc>
          <w:tcPr>
            <w:tcW w:w="900"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18.0</w:t>
            </w:r>
          </w:p>
        </w:tc>
        <w:tc>
          <w:tcPr>
            <w:tcW w:w="983" w:type="dxa"/>
            <w:tcBorders>
              <w:top w:val="single" w:sz="2" w:space="0" w:color="000000"/>
              <w:left w:val="single" w:sz="2" w:space="0" w:color="000000"/>
              <w:bottom w:val="single" w:sz="2" w:space="0" w:color="000000"/>
              <w:insideH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22.9</w:t>
            </w:r>
          </w:p>
        </w:tc>
        <w:tc>
          <w:tcPr>
            <w:tcW w:w="11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TableContents"/>
              <w:rPr>
                <w:color w:val="000000"/>
              </w:rPr>
            </w:pPr>
            <w:r>
              <w:rPr>
                <w:rFonts w:eastAsia="Batang" w:cs="Times New Roman" w:ascii="Palatino Linotype" w:hAnsi="Palatino Linotype"/>
                <w:color w:val="000000"/>
                <w:kern w:val="0"/>
                <w:sz w:val="20"/>
                <w:szCs w:val="20"/>
                <w:lang w:val="en-GB" w:eastAsia="en-US" w:bidi="ar-SA"/>
              </w:rPr>
              <w:t>36.2</w:t>
            </w:r>
          </w:p>
        </w:tc>
      </w:tr>
    </w:tbl>
    <w:p>
      <w:pPr>
        <w:pStyle w:val="Text"/>
        <w:spacing w:lineRule="auto" w:line="480" w:beforeAutospacing="1" w:afterAutospacing="1"/>
        <w:ind w:hanging="0"/>
        <w:jc w:val="both"/>
        <w:rPr/>
      </w:pPr>
      <w:r>
        <w:rPr>
          <w:rFonts w:cs="Times New Roman" w:ascii="Palatino Linotype" w:hAnsi="Palatino Linotype"/>
          <w:b/>
          <w:bCs/>
          <w:color w:val="000000"/>
          <w:kern w:val="0"/>
          <w:lang w:val="en-GB" w:eastAsia="de-DE" w:bidi="en-US"/>
        </w:rPr>
        <w:t xml:space="preserve">Supplementary figures for : </w:t>
      </w:r>
      <w:r>
        <w:rPr>
          <w:rFonts w:cs="Times New Roman" w:ascii="Palatino Linotype" w:hAnsi="Palatino Linotype"/>
          <w:b/>
          <w:color w:val="000000"/>
          <w:kern w:val="0"/>
          <w:lang w:val="en-GB" w:eastAsia="de-DE" w:bidi="en-US"/>
        </w:rPr>
        <w:t>Changes in moisture sources for the Iberian Peninsula</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10. </w:t>
      </w:r>
      <w:r>
        <w:rPr>
          <w:rFonts w:eastAsia="Batang" w:cs="Times New Roman" w:ascii="Palatino Linotype" w:hAnsi="Palatino Linotype"/>
          <w:b/>
          <w:bCs/>
          <w:kern w:val="0"/>
          <w:sz w:val="20"/>
          <w:szCs w:val="20"/>
          <w:lang w:val="en-GB" w:eastAsia="en-US" w:bidi="ar-SA"/>
        </w:rPr>
        <w:t xml:space="preserve">Future changes in moisture source fields for the Iberian Peninsula to the </w:t>
      </w:r>
      <w:r>
        <w:rPr>
          <w:rFonts w:eastAsia="Times New Roman" w:cs="Times New Roman" w:ascii="Palatino Linotype" w:hAnsi="Palatino Linotype"/>
          <w:b/>
          <w:bCs/>
          <w:sz w:val="20"/>
          <w:szCs w:val="20"/>
          <w:lang w:val="en-GB" w:eastAsia="de-DE" w:bidi="en-US"/>
        </w:rPr>
        <w:t>middle of the 21</w:t>
      </w:r>
      <w:r>
        <w:rPr>
          <w:rFonts w:eastAsia="Times New Roman" w:cs="Times New Roman" w:ascii="Palatino Linotype" w:hAnsi="Palatino Linotype"/>
          <w:b/>
          <w:bCs/>
          <w:sz w:val="20"/>
          <w:szCs w:val="20"/>
          <w:vertAlign w:val="superscript"/>
          <w:lang w:val="en-GB" w:eastAsia="de-DE" w:bidi="en-US"/>
        </w:rPr>
        <w:t>st</w:t>
      </w:r>
      <w:r>
        <w:rPr>
          <w:rFonts w:eastAsia="Times New Roman" w:cs="Times New Roman" w:ascii="Palatino Linotype" w:hAnsi="Palatino Linotype"/>
          <w:b/>
          <w:bCs/>
          <w:sz w:val="20"/>
          <w:szCs w:val="20"/>
          <w:lang w:val="en-GB" w:eastAsia="de-DE" w:bidi="en-US"/>
        </w:rPr>
        <w:t xml:space="preserve"> century compared to the historical period</w:t>
      </w:r>
      <w:r>
        <w:rPr>
          <w:rFonts w:eastAsia="Batang" w:cs="Times New Roman" w:ascii="Palatino Linotype" w:hAnsi="Palatino Linotype"/>
          <w:b/>
          <w:bCs/>
          <w:kern w:val="0"/>
          <w:sz w:val="20"/>
          <w:szCs w:val="20"/>
          <w:lang w:val="en-GB" w:eastAsia="en-US" w:bidi="ar-SA"/>
        </w:rPr>
        <w:t xml:space="preserve"> |</w:t>
      </w:r>
      <w:r>
        <w:rPr>
          <w:rFonts w:eastAsia="Batang" w:cs="Times New Roman" w:ascii="Palatino Linotype" w:hAnsi="Palatino Linotype"/>
          <w:kern w:val="0"/>
          <w:sz w:val="20"/>
          <w:szCs w:val="20"/>
          <w:lang w:val="en-GB" w:eastAsia="en-US" w:bidi="ar-SA"/>
        </w:rPr>
        <w:t xml:space="preserve"> </w:t>
      </w:r>
      <w:r>
        <w:rPr>
          <w:rFonts w:eastAsia="Times New Roman" w:cs="Times New Roman" w:ascii="Palatino Linotype" w:hAnsi="Palatino Linotype"/>
          <w:kern w:val="0"/>
          <w:sz w:val="20"/>
          <w:szCs w:val="20"/>
          <w:lang w:val="en-GB" w:eastAsia="de-DE" w:bidi="en-US"/>
        </w:rPr>
        <w:t>Moisture sources fields for the IP for the historical reference period (2010–2014) and the differences under SSP2-4.5 and SSP3-7.0 scenarios for the middle 21</w:t>
      </w:r>
      <w:r>
        <w:rPr>
          <w:rFonts w:eastAsia="Times New Roman" w:cs="Times New Roman" w:ascii="Palatino Linotype" w:hAnsi="Palatino Linotype"/>
          <w:kern w:val="0"/>
          <w:sz w:val="20"/>
          <w:szCs w:val="20"/>
          <w:vertAlign w:val="superscript"/>
          <w:lang w:val="en-GB" w:eastAsia="de-DE" w:bidi="en-US"/>
        </w:rPr>
        <w:t>st</w:t>
      </w:r>
      <w:r>
        <w:rPr>
          <w:rFonts w:eastAsia="Times New Roman" w:cs="Times New Roman" w:ascii="Palatino Linotype" w:hAnsi="Palatino Linotype"/>
          <w:kern w:val="0"/>
          <w:sz w:val="20"/>
          <w:szCs w:val="20"/>
          <w:lang w:val="en-GB" w:eastAsia="de-DE" w:bidi="en-US"/>
        </w:rPr>
        <w:t xml:space="preserve"> century (2049–2053, MC) expressed in mm day</w:t>
      </w:r>
      <w:r>
        <w:rPr>
          <w:rFonts w:eastAsia="Times New Roman" w:cs="Times New Roman" w:ascii="Palatino Linotype" w:hAnsi="Palatino Linotype"/>
          <w:kern w:val="0"/>
          <w:sz w:val="20"/>
          <w:szCs w:val="20"/>
          <w:vertAlign w:val="superscript"/>
          <w:lang w:val="en-GB" w:eastAsia="de-DE" w:bidi="en-US"/>
        </w:rPr>
        <w:t>-1</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11. </w:t>
      </w:r>
      <w:r>
        <w:rPr>
          <w:rFonts w:eastAsia="Batang" w:cs="Times New Roman" w:ascii="Palatino Linotype" w:hAnsi="Palatino Linotype"/>
          <w:b/>
          <w:bCs/>
          <w:kern w:val="0"/>
          <w:sz w:val="20"/>
          <w:szCs w:val="20"/>
          <w:lang w:val="en-GB" w:eastAsia="en-US" w:bidi="ar-SA"/>
        </w:rPr>
        <w:t xml:space="preserve">Future changes in moisture source fields for the IP to the end of century </w:t>
      </w:r>
      <w:r>
        <w:rPr>
          <w:rFonts w:eastAsia="Times New Roman" w:cs="Times New Roman" w:ascii="Palatino Linotype" w:hAnsi="Palatino Linotype"/>
          <w:b/>
          <w:bCs/>
          <w:sz w:val="20"/>
          <w:szCs w:val="20"/>
          <w:lang w:val="en-GB" w:eastAsia="de-DE" w:bidi="en-US"/>
        </w:rPr>
        <w:t>compared to the historical period</w:t>
      </w:r>
      <w:r>
        <w:rPr>
          <w:rFonts w:eastAsia="Batang" w:cs="Times New Roman" w:ascii="Palatino Linotype" w:hAnsi="Palatino Linotype"/>
          <w:b/>
          <w:bCs/>
          <w:kern w:val="0"/>
          <w:sz w:val="20"/>
          <w:szCs w:val="20"/>
          <w:lang w:val="en-GB" w:eastAsia="en-US" w:bidi="ar-SA"/>
        </w:rPr>
        <w:t xml:space="preserve"> |</w:t>
      </w:r>
      <w:r>
        <w:rPr>
          <w:rFonts w:eastAsia="Batang" w:cs="Times New Roman" w:ascii="Palatino Linotype" w:hAnsi="Palatino Linotype"/>
          <w:kern w:val="0"/>
          <w:sz w:val="20"/>
          <w:szCs w:val="20"/>
          <w:lang w:val="en-GB" w:eastAsia="en-US" w:bidi="ar-SA"/>
        </w:rPr>
        <w:t xml:space="preserve"> </w:t>
      </w:r>
      <w:r>
        <w:rPr>
          <w:rFonts w:eastAsia="Times New Roman" w:cs="Times New Roman" w:ascii="Palatino Linotype" w:hAnsi="Palatino Linotype"/>
          <w:kern w:val="0"/>
          <w:sz w:val="20"/>
          <w:szCs w:val="20"/>
          <w:lang w:val="en-GB" w:eastAsia="de-DE" w:bidi="en-US"/>
        </w:rPr>
        <w:t>Moisture sources fields for the IP for the historical reference period (2010–2014) and the differences under SSP2-4.5 and SSP3-7.0 scenarios for the end of the 21</w:t>
      </w:r>
      <w:r>
        <w:rPr>
          <w:rFonts w:eastAsia="Times New Roman" w:cs="Times New Roman" w:ascii="Palatino Linotype" w:hAnsi="Palatino Linotype"/>
          <w:kern w:val="0"/>
          <w:sz w:val="20"/>
          <w:szCs w:val="20"/>
          <w:vertAlign w:val="superscript"/>
          <w:lang w:val="en-GB" w:eastAsia="de-DE" w:bidi="en-US"/>
        </w:rPr>
        <w:t>st</w:t>
      </w:r>
      <w:r>
        <w:rPr>
          <w:rFonts w:eastAsia="Times New Roman" w:cs="Times New Roman" w:ascii="Palatino Linotype" w:hAnsi="Palatino Linotype"/>
          <w:kern w:val="0"/>
          <w:sz w:val="20"/>
          <w:szCs w:val="20"/>
          <w:lang w:val="en-GB" w:eastAsia="de-DE" w:bidi="en-US"/>
        </w:rPr>
        <w:t xml:space="preserve"> century (2096–2100, EC) expressed in mm day</w:t>
      </w:r>
      <w:r>
        <w:rPr>
          <w:rFonts w:eastAsia="Times New Roman" w:cs="Times New Roman" w:ascii="Palatino Linotype" w:hAnsi="Palatino Linotype"/>
          <w:kern w:val="0"/>
          <w:sz w:val="20"/>
          <w:szCs w:val="20"/>
          <w:vertAlign w:val="superscript"/>
          <w:lang w:val="en-GB" w:eastAsia="de-DE" w:bidi="en-US"/>
        </w:rPr>
        <w:t>-1</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HeadingSecondary"/>
        <w:spacing w:lineRule="auto" w:line="480" w:beforeAutospacing="1" w:afterAutospacing="1"/>
        <w:ind w:left="0" w:hanging="0"/>
        <w:jc w:val="both"/>
        <w:rPr>
          <w:color w:val="000000"/>
        </w:rPr>
      </w:pPr>
      <w:r>
        <w:rPr>
          <w:rFonts w:cs="Times New Roman" w:ascii="Palatino Linotype" w:hAnsi="Palatino Linotype"/>
          <w:b/>
          <w:color w:val="000000"/>
          <w:kern w:val="0"/>
          <w:lang w:val="en-GB" w:eastAsia="de-DE" w:bidi="en-US"/>
        </w:rPr>
        <w:t xml:space="preserve">Supplementary figures for </w:t>
      </w:r>
      <w:r>
        <w:rPr>
          <w:rFonts w:eastAsia="Calibri" w:cs="Times New Roman" w:ascii="Palatino Linotype" w:hAnsi="Palatino Linotype" w:eastAsiaTheme="minorHAnsi"/>
          <w:b/>
          <w:bCs w:val="false"/>
          <w:color w:val="000000"/>
          <w:kern w:val="0"/>
          <w:lang w:val="en-GB" w:eastAsia="de-DE" w:bidi="en-US"/>
        </w:rPr>
        <w:t xml:space="preserve">Changes in precipitation contribution from </w:t>
      </w:r>
      <w:r>
        <w:rPr>
          <w:rFonts w:eastAsia="Calibri" w:cs="Times New Roman" w:ascii="Palatino Linotype" w:hAnsi="Palatino Linotype" w:eastAsiaTheme="minorHAnsi"/>
          <w:b/>
          <w:color w:val="000000"/>
          <w:kern w:val="0"/>
          <w:lang w:val="en-GB" w:eastAsia="de-DE" w:bidi="en-US"/>
        </w:rPr>
        <w:t>oceanic moisture sources</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12. </w:t>
      </w:r>
      <w:r>
        <w:rPr>
          <w:rFonts w:eastAsia="Batang" w:cs="Times New Roman" w:ascii="Palatino Linotype" w:hAnsi="Palatino Linotype"/>
          <w:b/>
          <w:bCs/>
          <w:kern w:val="0"/>
          <w:sz w:val="20"/>
          <w:szCs w:val="20"/>
          <w:lang w:val="en-GB" w:eastAsia="en-US" w:bidi="ar-SA"/>
        </w:rPr>
        <w:t xml:space="preserve">Future changes in moisture sink fields for the Mediterranean source to the </w:t>
      </w:r>
      <w:r>
        <w:rPr>
          <w:rFonts w:eastAsia="Times New Roman" w:cs="Times New Roman" w:ascii="Palatino Linotype" w:hAnsi="Palatino Linotype"/>
          <w:b/>
          <w:bCs/>
          <w:sz w:val="20"/>
          <w:szCs w:val="20"/>
          <w:lang w:val="en-GB" w:eastAsia="de-DE" w:bidi="en-US"/>
        </w:rPr>
        <w:t>middle 21</w:t>
      </w:r>
      <w:r>
        <w:rPr>
          <w:rFonts w:eastAsia="Times New Roman" w:cs="Times New Roman" w:ascii="Palatino Linotype" w:hAnsi="Palatino Linotype"/>
          <w:b/>
          <w:bCs/>
          <w:sz w:val="20"/>
          <w:szCs w:val="20"/>
          <w:vertAlign w:val="superscript"/>
          <w:lang w:val="en-GB" w:eastAsia="de-DE" w:bidi="en-US"/>
        </w:rPr>
        <w:t>st</w:t>
      </w:r>
      <w:r>
        <w:rPr>
          <w:rFonts w:eastAsia="Times New Roman" w:cs="Times New Roman" w:ascii="Palatino Linotype" w:hAnsi="Palatino Linotype"/>
          <w:b/>
          <w:bCs/>
          <w:sz w:val="20"/>
          <w:szCs w:val="20"/>
          <w:lang w:val="en-GB" w:eastAsia="de-DE" w:bidi="en-US"/>
        </w:rPr>
        <w:t xml:space="preserve"> century</w:t>
      </w:r>
      <w:r>
        <w:rPr>
          <w:rFonts w:eastAsia="Batang" w:cs="Times New Roman" w:ascii="Palatino Linotype" w:hAnsi="Palatino Linotype"/>
          <w:b/>
          <w:bCs/>
          <w:kern w:val="0"/>
          <w:sz w:val="20"/>
          <w:szCs w:val="20"/>
          <w:lang w:val="en-GB" w:eastAsia="en-US" w:bidi="ar-SA"/>
        </w:rPr>
        <w:t xml:space="preserve"> compared to the historical period | </w:t>
      </w:r>
      <w:r>
        <w:rPr>
          <w:rFonts w:eastAsia="Times New Roman" w:cs="Times New Roman" w:ascii="Palatino Linotype" w:hAnsi="Palatino Linotype"/>
          <w:kern w:val="0"/>
          <w:sz w:val="20"/>
          <w:szCs w:val="20"/>
          <w:lang w:val="en-GB" w:eastAsia="de-DE" w:bidi="en-US"/>
        </w:rPr>
        <w:t>Moisture sink fields for the MED source for historical reference period (2010–2014) and differences under SSP2-4.5 and SSP3-7.0 scenarios for the middle 21</w:t>
      </w:r>
      <w:r>
        <w:rPr>
          <w:rFonts w:eastAsia="Times New Roman" w:cs="Times New Roman" w:ascii="Palatino Linotype" w:hAnsi="Palatino Linotype"/>
          <w:kern w:val="0"/>
          <w:sz w:val="20"/>
          <w:szCs w:val="20"/>
          <w:vertAlign w:val="superscript"/>
          <w:lang w:val="en-GB" w:eastAsia="de-DE" w:bidi="en-US"/>
        </w:rPr>
        <w:t>st</w:t>
      </w:r>
      <w:r>
        <w:rPr>
          <w:rFonts w:eastAsia="Times New Roman" w:cs="Times New Roman" w:ascii="Palatino Linotype" w:hAnsi="Palatino Linotype"/>
          <w:kern w:val="0"/>
          <w:sz w:val="20"/>
          <w:szCs w:val="20"/>
          <w:lang w:val="en-GB" w:eastAsia="de-DE" w:bidi="en-US"/>
        </w:rPr>
        <w:t xml:space="preserve"> century (2049–2053, MC) expressed in mm day</w:t>
      </w:r>
      <w:r>
        <w:rPr>
          <w:rFonts w:eastAsia="Times New Roman" w:cs="Times New Roman" w:ascii="Palatino Linotype" w:hAnsi="Palatino Linotype"/>
          <w:kern w:val="0"/>
          <w:sz w:val="20"/>
          <w:szCs w:val="20"/>
          <w:vertAlign w:val="superscript"/>
          <w:lang w:val="en-GB" w:eastAsia="de-DE" w:bidi="en-US"/>
        </w:rPr>
        <w:t>-1</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13. </w:t>
      </w:r>
      <w:r>
        <w:rPr>
          <w:rFonts w:eastAsia="Batang" w:cs="Times New Roman" w:ascii="Palatino Linotype" w:hAnsi="Palatino Linotype"/>
          <w:b/>
          <w:bCs/>
          <w:kern w:val="0"/>
          <w:sz w:val="20"/>
          <w:szCs w:val="20"/>
          <w:lang w:val="en-GB" w:eastAsia="en-US" w:bidi="ar-SA"/>
        </w:rPr>
        <w:t xml:space="preserve">Future changes in moisture sink fields for the Mediterranean source to the end of the </w:t>
      </w:r>
      <w:r>
        <w:rPr>
          <w:rFonts w:eastAsia="Times New Roman" w:cs="Times New Roman" w:ascii="Palatino Linotype" w:hAnsi="Palatino Linotype"/>
          <w:b/>
          <w:bCs/>
          <w:sz w:val="20"/>
          <w:szCs w:val="20"/>
          <w:lang w:val="en-GB" w:eastAsia="de-DE" w:bidi="en-US"/>
        </w:rPr>
        <w:t>21</w:t>
      </w:r>
      <w:r>
        <w:rPr>
          <w:rFonts w:eastAsia="Times New Roman" w:cs="Times New Roman" w:ascii="Palatino Linotype" w:hAnsi="Palatino Linotype"/>
          <w:b/>
          <w:bCs/>
          <w:sz w:val="20"/>
          <w:szCs w:val="20"/>
          <w:vertAlign w:val="superscript"/>
          <w:lang w:val="en-GB" w:eastAsia="de-DE" w:bidi="en-US"/>
        </w:rPr>
        <w:t>st</w:t>
      </w:r>
      <w:r>
        <w:rPr>
          <w:rFonts w:eastAsia="Times New Roman" w:cs="Times New Roman" w:ascii="Palatino Linotype" w:hAnsi="Palatino Linotype"/>
          <w:b/>
          <w:bCs/>
          <w:sz w:val="20"/>
          <w:szCs w:val="20"/>
          <w:lang w:val="en-GB" w:eastAsia="de-DE" w:bidi="en-US"/>
        </w:rPr>
        <w:t xml:space="preserve"> century</w:t>
      </w:r>
      <w:r>
        <w:rPr>
          <w:rFonts w:eastAsia="Batang" w:cs="Times New Roman" w:ascii="Palatino Linotype" w:hAnsi="Palatino Linotype"/>
          <w:b/>
          <w:bCs/>
          <w:kern w:val="0"/>
          <w:sz w:val="20"/>
          <w:szCs w:val="20"/>
          <w:lang w:val="en-GB" w:eastAsia="en-US" w:bidi="ar-SA"/>
        </w:rPr>
        <w:t xml:space="preserve"> compared to the historical period | </w:t>
      </w:r>
      <w:r>
        <w:rPr>
          <w:rFonts w:eastAsia="Times New Roman" w:cs="Times New Roman" w:ascii="Palatino Linotype" w:hAnsi="Palatino Linotype"/>
          <w:kern w:val="0"/>
          <w:sz w:val="20"/>
          <w:szCs w:val="20"/>
          <w:lang w:val="en-GB" w:eastAsia="de-DE" w:bidi="en-US"/>
        </w:rPr>
        <w:t>Moisture sink fields for the MED source for historical reference period (2010–2014) and differences under SSP2-4.5 and SSP3-7.0 scenarios for the end of 21</w:t>
      </w:r>
      <w:r>
        <w:rPr>
          <w:rFonts w:eastAsia="Times New Roman" w:cs="Times New Roman" w:ascii="Palatino Linotype" w:hAnsi="Palatino Linotype"/>
          <w:kern w:val="0"/>
          <w:sz w:val="20"/>
          <w:szCs w:val="20"/>
          <w:vertAlign w:val="superscript"/>
          <w:lang w:val="en-GB" w:eastAsia="de-DE" w:bidi="en-US"/>
        </w:rPr>
        <w:t>st</w:t>
      </w:r>
      <w:r>
        <w:rPr>
          <w:rFonts w:eastAsia="Times New Roman" w:cs="Times New Roman" w:ascii="Palatino Linotype" w:hAnsi="Palatino Linotype"/>
          <w:kern w:val="0"/>
          <w:sz w:val="20"/>
          <w:szCs w:val="20"/>
          <w:lang w:val="en-GB" w:eastAsia="de-DE" w:bidi="en-US"/>
        </w:rPr>
        <w:t xml:space="preserve"> century (2096–2100, EC) expressed in mm day</w:t>
      </w:r>
      <w:r>
        <w:rPr>
          <w:rFonts w:eastAsia="Times New Roman" w:cs="Times New Roman" w:ascii="Palatino Linotype" w:hAnsi="Palatino Linotype"/>
          <w:kern w:val="0"/>
          <w:sz w:val="20"/>
          <w:szCs w:val="20"/>
          <w:vertAlign w:val="superscript"/>
          <w:lang w:val="en-GB" w:eastAsia="de-DE" w:bidi="en-US"/>
        </w:rPr>
        <w:t>-1</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14. </w:t>
      </w:r>
      <w:r>
        <w:rPr>
          <w:rFonts w:eastAsia="Batang" w:cs="Times New Roman" w:ascii="Palatino Linotype" w:hAnsi="Palatino Linotype"/>
          <w:b/>
          <w:bCs/>
          <w:kern w:val="0"/>
          <w:sz w:val="20"/>
          <w:szCs w:val="20"/>
          <w:lang w:val="en-GB" w:eastAsia="en-US" w:bidi="ar-SA"/>
        </w:rPr>
        <w:t xml:space="preserve">Future changes in moisture sink fields for the North Atlantic source to the </w:t>
      </w:r>
      <w:r>
        <w:rPr>
          <w:rFonts w:eastAsia="Times New Roman" w:cs="Times New Roman" w:ascii="Palatino Linotype" w:hAnsi="Palatino Linotype"/>
          <w:b/>
          <w:bCs/>
          <w:sz w:val="20"/>
          <w:szCs w:val="20"/>
          <w:lang w:val="en-GB" w:eastAsia="de-DE" w:bidi="en-US"/>
        </w:rPr>
        <w:t>middle 21</w:t>
      </w:r>
      <w:r>
        <w:rPr>
          <w:rFonts w:eastAsia="Times New Roman" w:cs="Times New Roman" w:ascii="Palatino Linotype" w:hAnsi="Palatino Linotype"/>
          <w:b/>
          <w:bCs/>
          <w:sz w:val="20"/>
          <w:szCs w:val="20"/>
          <w:vertAlign w:val="superscript"/>
          <w:lang w:val="en-GB" w:eastAsia="de-DE" w:bidi="en-US"/>
        </w:rPr>
        <w:t>st</w:t>
      </w:r>
      <w:r>
        <w:rPr>
          <w:rFonts w:eastAsia="Times New Roman" w:cs="Times New Roman" w:ascii="Palatino Linotype" w:hAnsi="Palatino Linotype"/>
          <w:b/>
          <w:bCs/>
          <w:sz w:val="20"/>
          <w:szCs w:val="20"/>
          <w:lang w:val="en-GB" w:eastAsia="de-DE" w:bidi="en-US"/>
        </w:rPr>
        <w:t xml:space="preserve"> century</w:t>
      </w:r>
      <w:r>
        <w:rPr>
          <w:rFonts w:eastAsia="Batang" w:cs="Times New Roman" w:ascii="Palatino Linotype" w:hAnsi="Palatino Linotype"/>
          <w:b/>
          <w:bCs/>
          <w:kern w:val="0"/>
          <w:sz w:val="20"/>
          <w:szCs w:val="20"/>
          <w:lang w:val="en-GB" w:eastAsia="en-US" w:bidi="ar-SA"/>
        </w:rPr>
        <w:t xml:space="preserve"> compared to the historical period | </w:t>
      </w:r>
      <w:r>
        <w:rPr>
          <w:rFonts w:eastAsia="Times New Roman" w:cs="Times New Roman" w:ascii="Palatino Linotype" w:hAnsi="Palatino Linotype"/>
          <w:kern w:val="0"/>
          <w:sz w:val="20"/>
          <w:szCs w:val="20"/>
          <w:lang w:val="en-GB" w:eastAsia="de-DE" w:bidi="en-US"/>
        </w:rPr>
        <w:t>Moisture sink fields for the NATL source for historical reference period (2010–2014) and differences under SSP2-4.5 and SSP3-7.0 scenarios for the middle 21</w:t>
      </w:r>
      <w:r>
        <w:rPr>
          <w:rFonts w:eastAsia="Times New Roman" w:cs="Times New Roman" w:ascii="Palatino Linotype" w:hAnsi="Palatino Linotype"/>
          <w:kern w:val="0"/>
          <w:sz w:val="20"/>
          <w:szCs w:val="20"/>
          <w:vertAlign w:val="superscript"/>
          <w:lang w:val="en-GB" w:eastAsia="de-DE" w:bidi="en-US"/>
        </w:rPr>
        <w:t>st</w:t>
      </w:r>
      <w:r>
        <w:rPr>
          <w:rFonts w:eastAsia="Times New Roman" w:cs="Times New Roman" w:ascii="Palatino Linotype" w:hAnsi="Palatino Linotype"/>
          <w:kern w:val="0"/>
          <w:sz w:val="20"/>
          <w:szCs w:val="20"/>
          <w:lang w:val="en-GB" w:eastAsia="de-DE" w:bidi="en-US"/>
        </w:rPr>
        <w:t xml:space="preserve"> century (2049–2053, MC) expressed in mm day</w:t>
      </w:r>
      <w:r>
        <w:rPr>
          <w:rFonts w:eastAsia="Times New Roman" w:cs="Times New Roman" w:ascii="Palatino Linotype" w:hAnsi="Palatino Linotype"/>
          <w:kern w:val="0"/>
          <w:sz w:val="20"/>
          <w:szCs w:val="20"/>
          <w:vertAlign w:val="superscript"/>
          <w:lang w:val="en-GB" w:eastAsia="de-DE" w:bidi="en-US"/>
        </w:rPr>
        <w:t>-1</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cs="Times New Roman" w:ascii="Palatino Linotype" w:hAnsi="Palatino Linotype"/>
          <w:b/>
          <w:bCs/>
          <w:sz w:val="20"/>
          <w:szCs w:val="20"/>
          <w:lang w:val="en-GB"/>
        </w:rPr>
        <w:t xml:space="preserve">Supplementary Figure 15. </w:t>
      </w:r>
      <w:r>
        <w:rPr>
          <w:rFonts w:eastAsia="Batang" w:cs="Times New Roman" w:ascii="Palatino Linotype" w:hAnsi="Palatino Linotype"/>
          <w:b/>
          <w:bCs/>
          <w:kern w:val="0"/>
          <w:sz w:val="20"/>
          <w:szCs w:val="20"/>
          <w:lang w:val="en-GB" w:eastAsia="en-US" w:bidi="ar-SA"/>
        </w:rPr>
        <w:t xml:space="preserve">Future changes in moisture sink fields for the North Atlantic source to the end of the </w:t>
      </w:r>
      <w:r>
        <w:rPr>
          <w:rFonts w:eastAsia="Times New Roman" w:cs="Times New Roman" w:ascii="Palatino Linotype" w:hAnsi="Palatino Linotype"/>
          <w:b/>
          <w:bCs/>
          <w:sz w:val="20"/>
          <w:szCs w:val="20"/>
          <w:lang w:val="en-GB" w:eastAsia="de-DE" w:bidi="en-US"/>
        </w:rPr>
        <w:t>21</w:t>
      </w:r>
      <w:r>
        <w:rPr>
          <w:rFonts w:eastAsia="Times New Roman" w:cs="Times New Roman" w:ascii="Palatino Linotype" w:hAnsi="Palatino Linotype"/>
          <w:b/>
          <w:bCs/>
          <w:sz w:val="20"/>
          <w:szCs w:val="20"/>
          <w:vertAlign w:val="superscript"/>
          <w:lang w:val="en-GB" w:eastAsia="de-DE" w:bidi="en-US"/>
        </w:rPr>
        <w:t>st</w:t>
      </w:r>
      <w:r>
        <w:rPr>
          <w:rFonts w:eastAsia="Times New Roman" w:cs="Times New Roman" w:ascii="Palatino Linotype" w:hAnsi="Palatino Linotype"/>
          <w:b/>
          <w:bCs/>
          <w:sz w:val="20"/>
          <w:szCs w:val="20"/>
          <w:lang w:val="en-GB" w:eastAsia="de-DE" w:bidi="en-US"/>
        </w:rPr>
        <w:t xml:space="preserve"> century</w:t>
      </w:r>
      <w:r>
        <w:rPr>
          <w:rFonts w:eastAsia="Batang" w:cs="Times New Roman" w:ascii="Palatino Linotype" w:hAnsi="Palatino Linotype"/>
          <w:b/>
          <w:bCs/>
          <w:kern w:val="0"/>
          <w:sz w:val="20"/>
          <w:szCs w:val="20"/>
          <w:lang w:val="en-GB" w:eastAsia="en-US" w:bidi="ar-SA"/>
        </w:rPr>
        <w:t xml:space="preserve"> compared to the historical period | </w:t>
      </w:r>
      <w:r>
        <w:rPr>
          <w:rFonts w:eastAsia="Times New Roman" w:cs="Times New Roman" w:ascii="Palatino Linotype" w:hAnsi="Palatino Linotype"/>
          <w:kern w:val="0"/>
          <w:sz w:val="20"/>
          <w:szCs w:val="20"/>
          <w:lang w:val="en-GB" w:eastAsia="de-DE" w:bidi="en-US"/>
        </w:rPr>
        <w:t>Moisture sink fields for the NATL source for historical reference period (2010–2014) and differences under SSP2-4.5 and SSP3-7.0 scenarios for the end of 21</w:t>
      </w:r>
      <w:r>
        <w:rPr>
          <w:rFonts w:eastAsia="Times New Roman" w:cs="Times New Roman" w:ascii="Palatino Linotype" w:hAnsi="Palatino Linotype"/>
          <w:kern w:val="0"/>
          <w:sz w:val="20"/>
          <w:szCs w:val="20"/>
          <w:vertAlign w:val="superscript"/>
          <w:lang w:val="en-GB" w:eastAsia="de-DE" w:bidi="en-US"/>
        </w:rPr>
        <w:t>st</w:t>
      </w:r>
      <w:r>
        <w:rPr>
          <w:rFonts w:eastAsia="Times New Roman" w:cs="Times New Roman" w:ascii="Palatino Linotype" w:hAnsi="Palatino Linotype"/>
          <w:kern w:val="0"/>
          <w:sz w:val="20"/>
          <w:szCs w:val="20"/>
          <w:lang w:val="en-GB" w:eastAsia="de-DE" w:bidi="en-US"/>
        </w:rPr>
        <w:t xml:space="preserve"> century (2096–2100, EC) expressed in mm day</w:t>
      </w:r>
      <w:r>
        <w:rPr>
          <w:rFonts w:eastAsia="Times New Roman" w:cs="Times New Roman" w:ascii="Palatino Linotype" w:hAnsi="Palatino Linotype"/>
          <w:kern w:val="0"/>
          <w:sz w:val="20"/>
          <w:szCs w:val="20"/>
          <w:vertAlign w:val="superscript"/>
          <w:lang w:val="en-GB" w:eastAsia="de-DE" w:bidi="en-US"/>
        </w:rPr>
        <w:t>-1</w:t>
      </w:r>
      <w:r>
        <w:rPr>
          <w:rFonts w:eastAsia="Times New Roman" w:cs="Times New Roman" w:ascii="Palatino Linotype" w:hAnsi="Palatino Linotype"/>
          <w:kern w:val="0"/>
          <w:sz w:val="20"/>
          <w:szCs w:val="20"/>
          <w:lang w:val="en-GB" w:eastAsia="de-DE" w:bidi="en-US"/>
        </w:rPr>
        <w:t xml:space="preserve">. </w:t>
      </w:r>
      <w:r>
        <w:rPr>
          <w:rFonts w:eastAsia="Times New Roman" w:cs="Times New Roman" w:ascii="Palatino Linotype" w:hAnsi="Palatino Linotype"/>
          <w:sz w:val="20"/>
          <w:szCs w:val="20"/>
          <w:lang w:val="en-GB"/>
        </w:rPr>
        <w:t>The fields displayed from top to bottom correspond to winter, spring, summer, autumn and annual periods (JFM, AMJ, JAS, OND, and ANNUAL)</w:t>
      </w:r>
      <w:r>
        <w:rPr>
          <w:rFonts w:eastAsia="Batang" w:cs="Times New Roman" w:ascii="Palatino Linotype" w:hAnsi="Palatino Linotype"/>
          <w:kern w:val="0"/>
          <w:sz w:val="20"/>
          <w:szCs w:val="20"/>
          <w:lang w:val="en-GB" w:eastAsia="en-US" w:bidi="ar-SA"/>
        </w:rPr>
        <w:t>.</w:t>
      </w:r>
    </w:p>
    <w:p>
      <w:pPr>
        <w:pStyle w:val="Normal"/>
        <w:spacing w:lineRule="auto" w:line="480" w:beforeAutospacing="1" w:afterAutospacing="1"/>
        <w:jc w:val="both"/>
        <w:rPr/>
      </w:pPr>
      <w:r>
        <w:rPr>
          <w:rFonts w:eastAsia="AR PL SungtiL GB" w:cs="Times New Roman" w:ascii="Palatino Linotype" w:hAnsi="Palatino Linotype"/>
          <w:b/>
          <w:bCs/>
          <w:color w:val="000000"/>
          <w:lang w:val="es-ES" w:eastAsia="de-DE" w:bidi="en-US"/>
        </w:rPr>
        <w:t>References</w:t>
      </w:r>
    </w:p>
    <w:p>
      <w:pPr>
        <w:pStyle w:val="Normal"/>
        <w:spacing w:lineRule="auto" w:line="480" w:beforeAutospacing="1" w:afterAutospacing="1"/>
        <w:jc w:val="both"/>
        <w:rPr/>
      </w:pPr>
      <w:r>
        <w:rPr>
          <w:rFonts w:eastAsia="AR PL SungtiL GB" w:cs="Times New Roman" w:ascii="Palatino Linotype" w:hAnsi="Palatino Linotype"/>
          <w:color w:val="000000"/>
          <w:lang w:val="es-ES" w:eastAsia="de-DE" w:bidi="en-US"/>
        </w:rPr>
        <w:t xml:space="preserve">1- </w:t>
      </w:r>
      <w:r>
        <w:rPr>
          <w:rStyle w:val="Hipervnculo1"/>
          <w:rFonts w:eastAsia="AR PL SungtiL GB" w:cs="Times New Roman" w:ascii="Palatino Linotype" w:hAnsi="Palatino Linotype"/>
          <w:iCs/>
          <w:color w:val="000000"/>
          <w:highlight w:val="white"/>
          <w:u w:val="none"/>
          <w:lang w:val="es-ES" w:eastAsia="de-DE" w:bidi="en-US"/>
        </w:rPr>
        <w:t xml:space="preserve">Danabasoglu, G., Lamarque, J.‐F., Bacmeister, J., Bailey, D. A., DuVivier, A. K., Edwards, J., et al. </w:t>
      </w:r>
      <w:r>
        <w:rPr>
          <w:rStyle w:val="Hipervnculo1"/>
          <w:rFonts w:eastAsia="AR PL SungtiL GB" w:cs="Times New Roman" w:ascii="Palatino Linotype" w:hAnsi="Palatino Linotype"/>
          <w:iCs/>
          <w:color w:val="000000"/>
          <w:highlight w:val="white"/>
          <w:u w:val="none"/>
          <w:lang w:val="en-GB" w:eastAsia="de-DE" w:bidi="en-US"/>
        </w:rPr>
        <w:t xml:space="preserve">The Community Earth System Model Version 2 (CESM2). </w:t>
      </w:r>
      <w:r>
        <w:rPr>
          <w:rStyle w:val="Hipervnculo1"/>
          <w:rFonts w:eastAsia="AR PL SungtiL GB" w:cs="Times New Roman" w:ascii="Palatino Linotype" w:hAnsi="Palatino Linotype"/>
          <w:i/>
          <w:iCs/>
          <w:color w:val="000000"/>
          <w:highlight w:val="white"/>
          <w:u w:val="none"/>
          <w:lang w:val="en-GB" w:eastAsia="de-DE" w:bidi="en-US"/>
        </w:rPr>
        <w:t>J. Adv. Model. Earth Syst.</w:t>
      </w:r>
      <w:r>
        <w:rPr>
          <w:rStyle w:val="Hipervnculo1"/>
          <w:rFonts w:eastAsia="AR PL SungtiL GB" w:cs="Times New Roman" w:ascii="Palatino Linotype" w:hAnsi="Palatino Linotype"/>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12,</w:t>
      </w:r>
      <w:r>
        <w:rPr>
          <w:rStyle w:val="Hipervnculo1"/>
          <w:rFonts w:eastAsia="AR PL SungtiL GB" w:cs="Times New Roman" w:ascii="Palatino Linotype" w:hAnsi="Palatino Linotype"/>
          <w:iCs/>
          <w:color w:val="000000"/>
          <w:highlight w:val="white"/>
          <w:u w:val="none"/>
          <w:lang w:val="en-GB" w:eastAsia="de-DE" w:bidi="en-US"/>
        </w:rPr>
        <w:t xml:space="preserve"> e2019MS001916 (2020).</w:t>
      </w:r>
    </w:p>
    <w:p>
      <w:pPr>
        <w:pStyle w:val="Normal"/>
        <w:spacing w:lineRule="auto" w:line="480" w:beforeAutospacing="1" w:afterAutospacing="1"/>
        <w:jc w:val="both"/>
        <w:rPr/>
      </w:pPr>
      <w:r>
        <w:rPr>
          <w:rFonts w:eastAsia="AR PL SungtiL GB" w:cs="Times New Roman" w:ascii="Palatino Linotype" w:hAnsi="Palatino Linotype"/>
          <w:color w:val="000000"/>
          <w:lang w:val="en-GB" w:eastAsia="de-DE" w:bidi="en-US"/>
        </w:rPr>
        <w:t xml:space="preserve">2- </w:t>
      </w:r>
      <w:r>
        <w:rPr>
          <w:rFonts w:eastAsia="AR PL SungtiL GB" w:cs="Times New Roman" w:ascii="Palatino Linotype" w:hAnsi="Palatino Linotype"/>
          <w:bCs/>
          <w:iCs/>
          <w:color w:val="000000"/>
          <w:highlight w:val="white"/>
          <w:lang w:val="en-GB" w:eastAsia="de-DE" w:bidi="en-US"/>
        </w:rPr>
        <w:t xml:space="preserve">Simpson, I. R., Bacmeister, J., Neale, R. B., Hannay, C., Gettelman, A., Garcia, R. R., et al. An evaluation of the large‐scale atmospheric circulation and its variability in CESM2 and other CMIP models. </w:t>
      </w:r>
      <w:r>
        <w:rPr>
          <w:rFonts w:eastAsia="AR PL SungtiL GB" w:cs="Times New Roman" w:ascii="Palatino Linotype" w:hAnsi="Palatino Linotype"/>
          <w:bCs/>
          <w:i/>
          <w:iCs/>
          <w:color w:val="000000"/>
          <w:highlight w:val="white"/>
          <w:lang w:val="en-GB" w:eastAsia="de-DE" w:bidi="en-US"/>
        </w:rPr>
        <w:t>J. Geophys. Res.</w:t>
      </w:r>
      <w:r>
        <w:rPr>
          <w:rFonts w:eastAsia="AR PL SungtiL GB" w:cs="Times New Roman" w:ascii="Palatino Linotype" w:hAnsi="Palatino Linotype"/>
          <w:bCs/>
          <w:iCs/>
          <w:color w:val="000000"/>
          <w:highlight w:val="white"/>
          <w:lang w:val="en-GB" w:eastAsia="de-DE" w:bidi="en-US"/>
        </w:rPr>
        <w:t xml:space="preserve"> </w:t>
      </w:r>
      <w:r>
        <w:rPr>
          <w:rFonts w:eastAsia="AR PL SungtiL GB" w:cs="Times New Roman" w:ascii="Palatino Linotype" w:hAnsi="Palatino Linotype"/>
          <w:b/>
          <w:bCs/>
          <w:iCs/>
          <w:color w:val="000000"/>
          <w:highlight w:val="white"/>
          <w:lang w:val="en-GB" w:eastAsia="de-DE" w:bidi="en-US"/>
        </w:rPr>
        <w:t>125,</w:t>
      </w:r>
      <w:r>
        <w:rPr>
          <w:rFonts w:eastAsia="AR PL SungtiL GB" w:cs="Times New Roman" w:ascii="Palatino Linotype" w:hAnsi="Palatino Linotype"/>
          <w:bCs/>
          <w:iCs/>
          <w:color w:val="000000"/>
          <w:highlight w:val="white"/>
          <w:lang w:val="en-GB" w:eastAsia="de-DE" w:bidi="en-US"/>
        </w:rPr>
        <w:t xml:space="preserve"> e2020JD032835 (2020).</w:t>
      </w:r>
    </w:p>
    <w:p>
      <w:pPr>
        <w:pStyle w:val="Normal"/>
        <w:spacing w:lineRule="auto" w:line="480" w:beforeAutospacing="1" w:afterAutospacing="1"/>
        <w:jc w:val="both"/>
        <w:rPr/>
      </w:pPr>
      <w:r>
        <w:rPr>
          <w:rStyle w:val="Hipervnculo1"/>
          <w:rFonts w:eastAsia="AR PL SungtiL GB" w:cs="Times New Roman" w:ascii="Palatino Linotype" w:hAnsi="Palatino Linotype"/>
          <w:iCs/>
          <w:color w:val="000000"/>
          <w:highlight w:val="white"/>
          <w:u w:val="none"/>
          <w:lang w:val="en-GB" w:eastAsia="de-DE" w:bidi="en-US"/>
        </w:rPr>
        <w:t xml:space="preserve">3- O’Neill B. C. et al. The scenario model intercomparison project (ScenarioMIP) for CMIP6. </w:t>
      </w:r>
      <w:r>
        <w:rPr>
          <w:rStyle w:val="Hipervnculo1"/>
          <w:rFonts w:eastAsia="AR PL SungtiL GB" w:cs="Times New Roman" w:ascii="Palatino Linotype" w:hAnsi="Palatino Linotype"/>
          <w:i/>
          <w:iCs/>
          <w:color w:val="000000"/>
          <w:highlight w:val="white"/>
          <w:u w:val="none"/>
          <w:lang w:val="en-GB" w:eastAsia="de-DE" w:bidi="en-US"/>
        </w:rPr>
        <w:t>Geosci.  Model Dev.</w:t>
      </w:r>
      <w:r>
        <w:rPr>
          <w:rStyle w:val="Hipervnculo1"/>
          <w:rFonts w:eastAsia="AR PL SungtiL GB" w:cs="Times New Roman" w:ascii="Palatino Linotype" w:hAnsi="Palatino Linotype"/>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9</w:t>
      </w:r>
      <w:r>
        <w:rPr>
          <w:rStyle w:val="Hipervnculo1"/>
          <w:rFonts w:eastAsia="AR PL SungtiL GB" w:cs="Times New Roman" w:ascii="Palatino Linotype" w:hAnsi="Palatino Linotype"/>
          <w:iCs/>
          <w:color w:val="000000"/>
          <w:highlight w:val="white"/>
          <w:u w:val="none"/>
          <w:lang w:val="en-GB" w:eastAsia="de-DE" w:bidi="en-US"/>
        </w:rPr>
        <w:t>, 3461–3482 (2016)</w:t>
      </w:r>
    </w:p>
    <w:p>
      <w:pPr>
        <w:pStyle w:val="Normal"/>
        <w:spacing w:lineRule="auto" w:line="480" w:beforeAutospacing="1" w:afterAutospacing="1"/>
        <w:jc w:val="both"/>
        <w:rPr/>
      </w:pPr>
      <w:r>
        <w:rPr>
          <w:rStyle w:val="Hipervnculo1"/>
          <w:rFonts w:eastAsia="AR PL SungtiL GB" w:cs="Times New Roman" w:ascii="Palatino Linotype" w:hAnsi="Palatino Linotype"/>
          <w:iCs/>
          <w:color w:val="000000"/>
          <w:highlight w:val="white"/>
          <w:u w:val="none"/>
          <w:lang w:val="en-GB" w:eastAsia="de-DE" w:bidi="en-US"/>
        </w:rPr>
        <w:t xml:space="preserve">4- Riahi K.  et al. The shared socioeconomic pathways and their energy, land use, and greenhouse gas emissions implications: an overview. </w:t>
      </w:r>
      <w:r>
        <w:rPr>
          <w:rStyle w:val="Hipervnculo1"/>
          <w:rFonts w:eastAsia="AR PL SungtiL GB" w:cs="Times New Roman" w:ascii="Palatino Linotype" w:hAnsi="Palatino Linotype"/>
          <w:i/>
          <w:iCs/>
          <w:color w:val="000000"/>
          <w:highlight w:val="white"/>
          <w:u w:val="none"/>
          <w:lang w:val="en-GB" w:eastAsia="de-DE" w:bidi="en-US"/>
        </w:rPr>
        <w:t>Glob. Environ. Chang</w:t>
      </w:r>
      <w:r>
        <w:rPr>
          <w:rStyle w:val="Hipervnculo1"/>
          <w:rFonts w:eastAsia="AR PL SungtiL GB" w:cs="Times New Roman" w:ascii="Palatino Linotype" w:hAnsi="Palatino Linotype"/>
          <w:iCs/>
          <w:color w:val="000000"/>
          <w:highlight w:val="white"/>
          <w:u w:val="none"/>
          <w:lang w:val="en-GB" w:eastAsia="de-DE" w:bidi="en-US"/>
        </w:rPr>
        <w:t xml:space="preserve">e </w:t>
      </w:r>
      <w:r>
        <w:rPr>
          <w:rStyle w:val="Hipervnculo1"/>
          <w:rFonts w:eastAsia="AR PL SungtiL GB" w:cs="Times New Roman" w:ascii="Palatino Linotype" w:hAnsi="Palatino Linotype"/>
          <w:b/>
          <w:bCs/>
          <w:iCs/>
          <w:color w:val="000000"/>
          <w:highlight w:val="white"/>
          <w:u w:val="none"/>
          <w:lang w:val="en-GB" w:eastAsia="de-DE" w:bidi="en-US"/>
        </w:rPr>
        <w:t>42</w:t>
      </w:r>
      <w:r>
        <w:rPr>
          <w:rStyle w:val="Hipervnculo1"/>
          <w:rFonts w:eastAsia="AR PL SungtiL GB" w:cs="Times New Roman" w:ascii="Palatino Linotype" w:hAnsi="Palatino Linotype"/>
          <w:iCs/>
          <w:color w:val="000000"/>
          <w:highlight w:val="white"/>
          <w:u w:val="none"/>
          <w:lang w:val="en-GB" w:eastAsia="de-DE" w:bidi="en-US"/>
        </w:rPr>
        <w:t xml:space="preserve">, 153-168 (2017). </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5- Hersbach, H., Bell, B., Berrisford, P., Hirahara, S., Horányi, A., Muñoz-Sabater, J., et al.  The ERA5 global reanalysis. </w:t>
      </w:r>
      <w:r>
        <w:rPr>
          <w:rStyle w:val="Hipervnculo1"/>
          <w:rFonts w:eastAsia="AR PL SungtiL GB" w:cs="Times New Roman" w:ascii="Palatino Linotype" w:hAnsi="Palatino Linotype"/>
          <w:bCs/>
          <w:i/>
          <w:iCs/>
          <w:color w:val="000000"/>
          <w:highlight w:val="white"/>
          <w:u w:val="none"/>
          <w:lang w:val="en-GB" w:eastAsia="de-DE" w:bidi="en-US"/>
        </w:rPr>
        <w:t>Q. J. R. Meteorol. Soc.</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146,</w:t>
      </w:r>
      <w:r>
        <w:rPr>
          <w:rStyle w:val="Hipervnculo1"/>
          <w:rFonts w:eastAsia="AR PL SungtiL GB" w:cs="Times New Roman" w:ascii="Palatino Linotype" w:hAnsi="Palatino Linotype"/>
          <w:bCs/>
          <w:iCs/>
          <w:color w:val="000000"/>
          <w:highlight w:val="white"/>
          <w:u w:val="none"/>
          <w:lang w:val="en-GB" w:eastAsia="de-DE" w:bidi="en-US"/>
        </w:rPr>
        <w:t xml:space="preserve"> 1999–2049 (2020). </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6- Hong, S. Y., &amp; Lim, J. O. J. The WRF single-moment 6-class microphysics scheme (WSM6). </w:t>
      </w:r>
      <w:r>
        <w:rPr>
          <w:rStyle w:val="Hipervnculo1"/>
          <w:rFonts w:eastAsia="AR PL SungtiL GB" w:cs="Times New Roman" w:ascii="Palatino Linotype" w:hAnsi="Palatino Linotype"/>
          <w:bCs/>
          <w:i/>
          <w:iCs/>
          <w:color w:val="000000"/>
          <w:highlight w:val="white"/>
          <w:u w:val="none"/>
          <w:lang w:val="en-GB" w:eastAsia="de-DE" w:bidi="en-US"/>
        </w:rPr>
        <w:t>Journal of the Korean Meteorological Society</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42,</w:t>
      </w:r>
      <w:r>
        <w:rPr>
          <w:rStyle w:val="Hipervnculo1"/>
          <w:rFonts w:eastAsia="AR PL SungtiL GB" w:cs="Times New Roman" w:ascii="Palatino Linotype" w:hAnsi="Palatino Linotype"/>
          <w:bCs/>
          <w:iCs/>
          <w:color w:val="000000"/>
          <w:highlight w:val="white"/>
          <w:u w:val="none"/>
          <w:lang w:val="en-GB" w:eastAsia="de-DE" w:bidi="en-US"/>
        </w:rPr>
        <w:t xml:space="preserve"> 129–151 (2006).</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7- Hong, S. Y., Noh, Y., &amp; Dudhia, J. A new vertical diffusion package with an explicit treatment of entrainment processes. </w:t>
      </w:r>
      <w:r>
        <w:rPr>
          <w:rStyle w:val="Hipervnculo1"/>
          <w:rFonts w:eastAsia="AR PL SungtiL GB" w:cs="Times New Roman" w:ascii="Palatino Linotype" w:hAnsi="Palatino Linotype"/>
          <w:bCs/>
          <w:i/>
          <w:iCs/>
          <w:color w:val="000000"/>
          <w:highlight w:val="white"/>
          <w:u w:val="none"/>
          <w:lang w:val="en-GB" w:eastAsia="de-DE" w:bidi="en-US"/>
        </w:rPr>
        <w:t>Mon. Weather Rev.</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134,</w:t>
      </w:r>
      <w:r>
        <w:rPr>
          <w:rStyle w:val="Hipervnculo1"/>
          <w:rFonts w:eastAsia="AR PL SungtiL GB" w:cs="Times New Roman" w:ascii="Palatino Linotype" w:hAnsi="Palatino Linotype"/>
          <w:bCs/>
          <w:iCs/>
          <w:color w:val="000000"/>
          <w:highlight w:val="white"/>
          <w:u w:val="none"/>
          <w:lang w:val="en-GB" w:eastAsia="de-DE" w:bidi="en-US"/>
        </w:rPr>
        <w:t xml:space="preserve"> 2318–2341 (2006).</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8- Jimenez, P. A., Dudhia, J., Gonzalez-Rouco, J. F., Navarro, J., Montavez, J. P., &amp; Garcia–Bustamante, E. A revised scheme for the WRF surface layer formulation. </w:t>
      </w:r>
      <w:r>
        <w:rPr>
          <w:rStyle w:val="Hipervnculo1"/>
          <w:rFonts w:eastAsia="AR PL SungtiL GB" w:cs="Times New Roman" w:ascii="Palatino Linotype" w:hAnsi="Palatino Linotype"/>
          <w:bCs/>
          <w:i/>
          <w:iCs/>
          <w:color w:val="000000"/>
          <w:highlight w:val="white"/>
          <w:u w:val="none"/>
          <w:lang w:val="en-GB" w:eastAsia="de-DE" w:bidi="en-US"/>
        </w:rPr>
        <w:t>Mon. Weather Rev.</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140,</w:t>
      </w:r>
      <w:r>
        <w:rPr>
          <w:rStyle w:val="Hipervnculo1"/>
          <w:rFonts w:eastAsia="AR PL SungtiL GB" w:cs="Times New Roman" w:ascii="Palatino Linotype" w:hAnsi="Palatino Linotype"/>
          <w:bCs/>
          <w:iCs/>
          <w:color w:val="000000"/>
          <w:highlight w:val="white"/>
          <w:u w:val="none"/>
          <w:lang w:val="en-GB" w:eastAsia="de-DE" w:bidi="en-US"/>
        </w:rPr>
        <w:t xml:space="preserve"> 898–918 (2012).</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9- Tewari, M., Chen, F., Wang, W., Dudhia, J., LeMone, M., Mitchell, K., et al. Implementation and verification of the unified Noah land surface model in the WRF model, 20th Conference on Weather Analysis and Forecasting/16th Conference on Numerical Weather Prediction, Seattle, WA (2004). </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10- Iacono, M. J., Delamere, J. S., Mlawer, E. J., Shephard, M. W., Clough, S. A., &amp; Collins, W. D. Radiative forcing by long–lived greenhouse gases: Calculations with the AER radiative transfer models. </w:t>
      </w:r>
      <w:r>
        <w:rPr>
          <w:rStyle w:val="Hipervnculo1"/>
          <w:rFonts w:eastAsia="AR PL SungtiL GB" w:cs="Times New Roman" w:ascii="Palatino Linotype" w:hAnsi="Palatino Linotype"/>
          <w:i/>
          <w:iCs/>
          <w:color w:val="000000"/>
          <w:highlight w:val="white"/>
          <w:u w:val="none"/>
          <w:lang w:val="en-GB" w:eastAsia="de-DE" w:bidi="en-US"/>
        </w:rPr>
        <w:t xml:space="preserve">J. Geophys. Res. </w:t>
      </w:r>
      <w:r>
        <w:rPr>
          <w:rStyle w:val="Hipervnculo1"/>
          <w:rFonts w:eastAsia="AR PL SungtiL GB" w:cs="Times New Roman" w:ascii="Palatino Linotype" w:hAnsi="Palatino Linotype"/>
          <w:b/>
          <w:bCs/>
          <w:iCs/>
          <w:color w:val="000000"/>
          <w:highlight w:val="white"/>
          <w:u w:val="none"/>
          <w:lang w:val="en-GB" w:eastAsia="de-DE" w:bidi="en-US"/>
        </w:rPr>
        <w:t>113</w:t>
      </w:r>
      <w:r>
        <w:rPr>
          <w:rStyle w:val="Hipervnculo1"/>
          <w:rFonts w:eastAsia="AR PL SungtiL GB" w:cs="Times New Roman" w:ascii="Palatino Linotype" w:hAnsi="Palatino Linotype"/>
          <w:bCs/>
          <w:iCs/>
          <w:color w:val="000000"/>
          <w:highlight w:val="white"/>
          <w:u w:val="none"/>
          <w:lang w:val="en-GB" w:eastAsia="de-DE" w:bidi="en-US"/>
        </w:rPr>
        <w:t>, D13103 (2008).</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11- Kain, J. S. The Kain–Fritsch Convective Parameterization: An Update. </w:t>
      </w:r>
      <w:r>
        <w:rPr>
          <w:rStyle w:val="Hipervnculo1"/>
          <w:rFonts w:eastAsia="AR PL SungtiL GB" w:cs="Times New Roman" w:ascii="Palatino Linotype" w:hAnsi="Palatino Linotype"/>
          <w:i/>
          <w:iCs/>
          <w:color w:val="000000"/>
          <w:highlight w:val="white"/>
          <w:u w:val="none"/>
          <w:lang w:val="en-GB" w:eastAsia="de-DE" w:bidi="en-US"/>
        </w:rPr>
        <w:t xml:space="preserve">J. Appl. Meteorol. </w:t>
      </w:r>
      <w:r>
        <w:rPr>
          <w:rStyle w:val="Hipervnculo1"/>
          <w:rFonts w:eastAsia="AR PL SungtiL GB" w:cs="Times New Roman" w:ascii="Palatino Linotype" w:hAnsi="Palatino Linotype"/>
          <w:b/>
          <w:bCs/>
          <w:iCs/>
          <w:color w:val="000000"/>
          <w:highlight w:val="white"/>
          <w:u w:val="none"/>
          <w:lang w:val="en-GB" w:eastAsia="de-DE" w:bidi="en-US"/>
        </w:rPr>
        <w:t>43,</w:t>
      </w:r>
      <w:r>
        <w:rPr>
          <w:rStyle w:val="Hipervnculo1"/>
          <w:rFonts w:eastAsia="AR PL SungtiL GB" w:cs="Times New Roman" w:ascii="Palatino Linotype" w:hAnsi="Palatino Linotype"/>
          <w:bCs/>
          <w:iCs/>
          <w:color w:val="000000"/>
          <w:highlight w:val="white"/>
          <w:u w:val="none"/>
          <w:lang w:val="en-GB" w:eastAsia="de-DE" w:bidi="en-US"/>
        </w:rPr>
        <w:t xml:space="preserve"> 170-181 (2004).</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12- Miguez-Macho, G., Stenchikov, G. L., &amp; Robock, A. Spectral nudging to eliminate the effects of domain position and geometry in regional climate model simulations. </w:t>
      </w:r>
      <w:r>
        <w:rPr>
          <w:rStyle w:val="Hipervnculo1"/>
          <w:rFonts w:eastAsia="AR PL SungtiL GB" w:cs="Times New Roman" w:ascii="Palatino Linotype" w:hAnsi="Palatino Linotype"/>
          <w:bCs/>
          <w:i/>
          <w:iCs/>
          <w:color w:val="000000"/>
          <w:highlight w:val="white"/>
          <w:u w:val="none"/>
          <w:lang w:val="en-GB" w:eastAsia="de-DE" w:bidi="en-US"/>
        </w:rPr>
        <w:t>J. Geophys. Res. Atmos.</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109,</w:t>
      </w:r>
      <w:r>
        <w:rPr>
          <w:rStyle w:val="Hipervnculo1"/>
          <w:rFonts w:eastAsia="AR PL SungtiL GB" w:cs="Times New Roman" w:ascii="Palatino Linotype" w:hAnsi="Palatino Linotype"/>
          <w:bCs/>
          <w:iCs/>
          <w:color w:val="000000"/>
          <w:highlight w:val="white"/>
          <w:u w:val="none"/>
          <w:lang w:val="en-GB" w:eastAsia="de-DE" w:bidi="en-US"/>
        </w:rPr>
        <w:t xml:space="preserve"> 1–15 (2004).</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13- Insua-Castro, D. &amp; Miguez-Macho, G. A new moisture tagging capability in the Weather Research and Forecasting model: formulation, validation and application to the 2014 Great Lake-effect snowstorm. </w:t>
      </w:r>
      <w:r>
        <w:rPr>
          <w:rStyle w:val="Hipervnculo1"/>
          <w:rFonts w:eastAsia="AR PL SungtiL GB" w:cs="Times New Roman" w:ascii="Palatino Linotype" w:hAnsi="Palatino Linotype"/>
          <w:i/>
          <w:iCs/>
          <w:color w:val="000000"/>
          <w:highlight w:val="white"/>
          <w:u w:val="none"/>
          <w:lang w:val="en-GB" w:eastAsia="de-DE" w:bidi="en-US"/>
        </w:rPr>
        <w:t>Earth. Syst. Dyn.</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9,</w:t>
      </w:r>
      <w:r>
        <w:rPr>
          <w:rStyle w:val="Hipervnculo1"/>
          <w:rFonts w:eastAsia="AR PL SungtiL GB" w:cs="Times New Roman" w:ascii="Palatino Linotype" w:hAnsi="Palatino Linotype"/>
          <w:bCs/>
          <w:iCs/>
          <w:color w:val="000000"/>
          <w:highlight w:val="white"/>
          <w:u w:val="none"/>
          <w:lang w:val="en-GB" w:eastAsia="de-DE" w:bidi="en-US"/>
        </w:rPr>
        <w:t xml:space="preserve"> 167–185 (2018).</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14- Insua-Castro, D., Miguez-Macho, G. &amp; Llasat, M. C. Local and remote moisture sources for extreme precipitation: a study of the two catastrophic 1982 western Mediterranean episodes.  </w:t>
      </w:r>
      <w:r>
        <w:rPr>
          <w:rStyle w:val="Hipervnculo1"/>
          <w:rFonts w:eastAsia="AR PL SungtiL GB" w:cs="Times New Roman" w:ascii="Palatino Linotype" w:hAnsi="Palatino Linotype"/>
          <w:bCs/>
          <w:i/>
          <w:iCs/>
          <w:color w:val="000000"/>
          <w:highlight w:val="white"/>
          <w:u w:val="none"/>
          <w:lang w:val="en-GB" w:eastAsia="de-DE" w:bidi="en-US"/>
        </w:rPr>
        <w:t>Hydrol. Earth Syst. Sci.</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23</w:t>
      </w:r>
      <w:r>
        <w:rPr>
          <w:rStyle w:val="Hipervnculo1"/>
          <w:rFonts w:eastAsia="AR PL SungtiL GB" w:cs="Times New Roman" w:ascii="Palatino Linotype" w:hAnsi="Palatino Linotype"/>
          <w:bCs/>
          <w:iCs/>
          <w:color w:val="000000"/>
          <w:highlight w:val="white"/>
          <w:u w:val="none"/>
          <w:lang w:val="en-GB" w:eastAsia="de-DE" w:bidi="en-US"/>
        </w:rPr>
        <w:t>, 3885–3900 (2019).</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15- Brioude, J., et al. The Lagrangian particle dispersion model FLEXPART-WRF version 3.1. </w:t>
      </w:r>
      <w:r>
        <w:rPr>
          <w:rStyle w:val="Hipervnculo1"/>
          <w:rFonts w:eastAsia="AR PL SungtiL GB" w:cs="Times New Roman" w:ascii="Palatino Linotype" w:hAnsi="Palatino Linotype"/>
          <w:i/>
          <w:iCs/>
          <w:color w:val="000000"/>
          <w:highlight w:val="white"/>
          <w:u w:val="none"/>
          <w:lang w:val="en-GB" w:eastAsia="de-DE" w:bidi="en-US"/>
        </w:rPr>
        <w:t>Geosci. Model Dev.</w:t>
      </w:r>
      <w:r>
        <w:rPr>
          <w:rStyle w:val="Hipervnculo1"/>
          <w:rFonts w:eastAsia="AR PL SungtiL GB" w:cs="Times New Roman" w:ascii="Palatino Linotype" w:hAnsi="Palatino Linotype"/>
          <w:b/>
          <w:bCs/>
          <w:i/>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 xml:space="preserve">6, </w:t>
      </w:r>
      <w:r>
        <w:rPr>
          <w:rStyle w:val="Hipervnculo1"/>
          <w:rFonts w:eastAsia="AR PL SungtiL GB" w:cs="Times New Roman" w:ascii="Palatino Linotype" w:hAnsi="Palatino Linotype"/>
          <w:bCs/>
          <w:iCs/>
          <w:color w:val="000000"/>
          <w:highlight w:val="white"/>
          <w:u w:val="none"/>
          <w:lang w:val="en-GB" w:eastAsia="de-DE" w:bidi="en-US"/>
        </w:rPr>
        <w:t>1889–1904 (2013).</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16- Hanna, S. R. Applications in air pollution modeling, in: Atmospheric Turbulence and Air Pollution Modelling. Reidel Publishing Company, Dordrecht, Holland, 275–310 (1982).</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17- </w:t>
      </w:r>
      <w:r>
        <w:rPr>
          <w:rStyle w:val="Hipervnculo1"/>
          <w:rFonts w:eastAsia="AR PL SungtiL GB" w:cs="Times New Roman" w:ascii="Palatino Linotype" w:hAnsi="Palatino Linotype"/>
          <w:color w:val="000000"/>
          <w:highlight w:val="white"/>
          <w:u w:val="none"/>
          <w:lang w:val="en-GB" w:eastAsia="de-DE" w:bidi="en-US"/>
        </w:rPr>
        <w:t xml:space="preserve">Gimeno, L., Drumond, A., Nieto, R., Trigo, R. M. &amp; Stohl, A. On the origin of continental precipitation. </w:t>
      </w:r>
      <w:r>
        <w:rPr>
          <w:rStyle w:val="Hipervnculo1"/>
          <w:rFonts w:eastAsia="AR PL SungtiL GB" w:cs="Times New Roman" w:ascii="Palatino Linotype" w:hAnsi="Palatino Linotype"/>
          <w:i/>
          <w:iCs/>
          <w:color w:val="000000"/>
          <w:highlight w:val="white"/>
          <w:u w:val="none"/>
          <w:lang w:val="en-GB" w:eastAsia="de-DE" w:bidi="en-US"/>
        </w:rPr>
        <w:t>Geophys. Res. Lett.</w:t>
      </w:r>
      <w:r>
        <w:rPr>
          <w:rStyle w:val="Hipervnculo1"/>
          <w:rFonts w:eastAsia="AR PL SungtiL GB" w:cs="Times New Roman" w:ascii="Palatino Linotype" w:hAnsi="Palatino Linotype"/>
          <w:color w:val="000000"/>
          <w:highlight w:val="white"/>
          <w:u w:val="none"/>
          <w:lang w:val="en-GB" w:eastAsia="de-DE" w:bidi="en-US"/>
        </w:rPr>
        <w:t xml:space="preserve"> </w:t>
      </w:r>
      <w:r>
        <w:rPr>
          <w:rStyle w:val="Hipervnculo1"/>
          <w:rFonts w:eastAsia="AR PL SungtiL GB" w:cs="Times New Roman" w:ascii="Palatino Linotype" w:hAnsi="Palatino Linotype"/>
          <w:b/>
          <w:bCs/>
          <w:color w:val="000000"/>
          <w:highlight w:val="white"/>
          <w:u w:val="none"/>
          <w:lang w:val="en-GB" w:eastAsia="de-DE" w:bidi="en-US"/>
        </w:rPr>
        <w:t>37,</w:t>
      </w:r>
      <w:r>
        <w:rPr>
          <w:rStyle w:val="Hipervnculo1"/>
          <w:rFonts w:eastAsia="AR PL SungtiL GB" w:cs="Times New Roman" w:ascii="Palatino Linotype" w:hAnsi="Palatino Linotype"/>
          <w:color w:val="000000"/>
          <w:highlight w:val="white"/>
          <w:u w:val="none"/>
          <w:lang w:val="en-GB" w:eastAsia="de-DE" w:bidi="en-US"/>
        </w:rPr>
        <w:t xml:space="preserve"> L13804 (2010). </w:t>
      </w:r>
    </w:p>
    <w:p>
      <w:pPr>
        <w:pStyle w:val="Normal"/>
        <w:spacing w:lineRule="auto" w:line="480" w:beforeAutospacing="1" w:afterAutospacing="1"/>
        <w:jc w:val="both"/>
        <w:rPr/>
      </w:pPr>
      <w:r>
        <w:rPr>
          <w:rStyle w:val="Hipervnculo1"/>
          <w:rFonts w:eastAsia="AR PL SungtiL GB" w:cs="Times New Roman" w:ascii="Palatino Linotype" w:hAnsi="Palatino Linotype"/>
          <w:color w:val="000000"/>
          <w:highlight w:val="white"/>
          <w:u w:val="none"/>
          <w:lang w:val="en-GB" w:eastAsia="de-DE" w:bidi="en-US"/>
        </w:rPr>
        <w:t xml:space="preserve">18- Castillo, R., Nieto, R., Drumond, A. &amp; Gimeno, L. Estimating the Temporal Domain when the Discount of the Net Evaporation Term Affects the Resulting Net Precipitation Pattern in the Moisture Budget Using a 3-D Lagrangian Approach. </w:t>
      </w:r>
      <w:r>
        <w:rPr>
          <w:rStyle w:val="Hipervnculo1"/>
          <w:rFonts w:eastAsia="AR PL SungtiL GB" w:cs="Times New Roman" w:ascii="Palatino Linotype" w:hAnsi="Palatino Linotype"/>
          <w:i/>
          <w:iCs/>
          <w:color w:val="000000"/>
          <w:highlight w:val="white"/>
          <w:u w:val="none"/>
          <w:lang w:val="en-GB" w:eastAsia="de-DE" w:bidi="en-US"/>
        </w:rPr>
        <w:t>PLoS ONE</w:t>
      </w:r>
      <w:r>
        <w:rPr>
          <w:rStyle w:val="Hipervnculo1"/>
          <w:rFonts w:eastAsia="AR PL SungtiL GB" w:cs="Times New Roman" w:ascii="Palatino Linotype" w:hAnsi="Palatino Linotype"/>
          <w:color w:val="000000"/>
          <w:highlight w:val="white"/>
          <w:u w:val="none"/>
          <w:lang w:val="en-GB" w:eastAsia="de-DE" w:bidi="en-US"/>
        </w:rPr>
        <w:t xml:space="preserve"> </w:t>
      </w:r>
      <w:r>
        <w:rPr>
          <w:rStyle w:val="Hipervnculo1"/>
          <w:rFonts w:eastAsia="AR PL SungtiL GB" w:cs="Times New Roman" w:ascii="Palatino Linotype" w:hAnsi="Palatino Linotype"/>
          <w:b/>
          <w:bCs/>
          <w:color w:val="000000"/>
          <w:highlight w:val="white"/>
          <w:u w:val="none"/>
          <w:lang w:val="en-GB" w:eastAsia="de-DE" w:bidi="en-US"/>
        </w:rPr>
        <w:t xml:space="preserve">9, </w:t>
      </w:r>
      <w:r>
        <w:rPr>
          <w:rStyle w:val="Hipervnculo1"/>
          <w:rFonts w:eastAsia="AR PL SungtiL GB" w:cs="Times New Roman" w:ascii="Palatino Linotype" w:hAnsi="Palatino Linotype"/>
          <w:color w:val="000000"/>
          <w:highlight w:val="white"/>
          <w:u w:val="none"/>
          <w:lang w:val="en-GB" w:eastAsia="de-DE" w:bidi="en-US"/>
        </w:rPr>
        <w:t>e99046 (2014).</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19- Drumond, A., Nieto, R., &amp; Gimeno, L. On the contribution of the Tropical Western Hemisphere Warm Pool source of moisture to the Northern Hemisphere precipitation through a Lagrangian approach, </w:t>
      </w:r>
      <w:r>
        <w:rPr>
          <w:rStyle w:val="Hipervnculo1"/>
          <w:rFonts w:eastAsia="AR PL SungtiL GB" w:cs="Times New Roman" w:ascii="Palatino Linotype" w:hAnsi="Palatino Linotype"/>
          <w:i/>
          <w:iCs/>
          <w:color w:val="000000"/>
          <w:highlight w:val="white"/>
          <w:u w:val="none"/>
          <w:lang w:val="en-GB" w:eastAsia="de-DE" w:bidi="en-US"/>
        </w:rPr>
        <w:t>J. Geophys.</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116,</w:t>
      </w:r>
      <w:r>
        <w:rPr>
          <w:rStyle w:val="Hipervnculo1"/>
          <w:rFonts w:eastAsia="AR PL SungtiL GB" w:cs="Times New Roman" w:ascii="Palatino Linotype" w:hAnsi="Palatino Linotype"/>
          <w:bCs/>
          <w:iCs/>
          <w:color w:val="000000"/>
          <w:highlight w:val="white"/>
          <w:u w:val="none"/>
          <w:lang w:val="en-GB" w:eastAsia="de-DE" w:bidi="en-US"/>
        </w:rPr>
        <w:t xml:space="preserve"> D00Q04 (2011).</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20- </w:t>
      </w:r>
      <w:r>
        <w:rPr>
          <w:rStyle w:val="Hipervnculo1"/>
          <w:rFonts w:eastAsia="AR PL SungtiL GB" w:cs="Times New Roman" w:ascii="Palatino Linotype" w:hAnsi="Palatino Linotype"/>
          <w:color w:val="000000"/>
          <w:highlight w:val="white"/>
          <w:u w:val="none"/>
          <w:lang w:val="en-GB" w:eastAsia="de-DE" w:bidi="en-US"/>
        </w:rPr>
        <w:t xml:space="preserve">Nieto, R., Gimeno, L., Drumond, A. &amp; Hernandez, E. A Lagrangian identification of the main moisture sources and sinks affecting the Mediterranean area. </w:t>
      </w:r>
      <w:r>
        <w:rPr>
          <w:rStyle w:val="Hipervnculo1"/>
          <w:rFonts w:eastAsia="AR PL SungtiL GB" w:cs="Times New Roman" w:ascii="Palatino Linotype" w:hAnsi="Palatino Linotype"/>
          <w:i/>
          <w:iCs/>
          <w:color w:val="000000"/>
          <w:highlight w:val="white"/>
          <w:u w:val="none"/>
          <w:lang w:val="en-GB" w:eastAsia="de-DE" w:bidi="en-US"/>
        </w:rPr>
        <w:t xml:space="preserve">WSEAS Trans. Environ. Dev. </w:t>
      </w:r>
      <w:r>
        <w:rPr>
          <w:rStyle w:val="Hipervnculo1"/>
          <w:rFonts w:eastAsia="AR PL SungtiL GB" w:cs="Times New Roman" w:ascii="Palatino Linotype" w:hAnsi="Palatino Linotype"/>
          <w:b/>
          <w:bCs/>
          <w:i/>
          <w:iCs/>
          <w:color w:val="000000"/>
          <w:highlight w:val="white"/>
          <w:u w:val="none"/>
          <w:lang w:val="en-GB" w:eastAsia="de-DE" w:bidi="en-US"/>
        </w:rPr>
        <w:t xml:space="preserve">6, </w:t>
      </w:r>
      <w:r>
        <w:rPr>
          <w:rStyle w:val="Hipervnculo1"/>
          <w:rFonts w:eastAsia="AR PL SungtiL GB" w:cs="Times New Roman" w:ascii="Palatino Linotype" w:hAnsi="Palatino Linotype"/>
          <w:color w:val="000000"/>
          <w:highlight w:val="white"/>
          <w:u w:val="none"/>
          <w:lang w:val="en-GB" w:eastAsia="de-DE" w:bidi="en-US"/>
        </w:rPr>
        <w:t xml:space="preserve">365-374 (2010). </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21- Trigo, I. F., Davies, T. D. &amp; Bigg, G. R. Objective climatology of cyclones in the Mediterranean region. </w:t>
      </w:r>
      <w:r>
        <w:rPr>
          <w:rStyle w:val="Hipervnculo1"/>
          <w:rFonts w:eastAsia="AR PL SungtiL GB" w:cs="Times New Roman" w:ascii="Palatino Linotype" w:hAnsi="Palatino Linotype"/>
          <w:bCs/>
          <w:i/>
          <w:iCs/>
          <w:color w:val="000000"/>
          <w:highlight w:val="white"/>
          <w:u w:val="none"/>
          <w:lang w:val="es-ES" w:eastAsia="de-DE" w:bidi="en-US"/>
        </w:rPr>
        <w:t>J. Climate</w:t>
      </w:r>
      <w:r>
        <w:rPr>
          <w:rStyle w:val="Hipervnculo1"/>
          <w:rFonts w:eastAsia="AR PL SungtiL GB" w:cs="Times New Roman" w:ascii="Palatino Linotype" w:hAnsi="Palatino Linotype"/>
          <w:bCs/>
          <w:iCs/>
          <w:color w:val="000000"/>
          <w:highlight w:val="white"/>
          <w:u w:val="none"/>
          <w:lang w:val="es-ES" w:eastAsia="de-DE" w:bidi="en-US"/>
        </w:rPr>
        <w:t xml:space="preserve"> </w:t>
      </w:r>
      <w:r>
        <w:rPr>
          <w:rStyle w:val="Hipervnculo1"/>
          <w:rFonts w:eastAsia="AR PL SungtiL GB" w:cs="Times New Roman" w:ascii="Palatino Linotype" w:hAnsi="Palatino Linotype"/>
          <w:b/>
          <w:bCs/>
          <w:iCs/>
          <w:color w:val="000000"/>
          <w:highlight w:val="white"/>
          <w:u w:val="none"/>
          <w:lang w:val="es-ES" w:eastAsia="de-DE" w:bidi="en-US"/>
        </w:rPr>
        <w:t xml:space="preserve">12, </w:t>
      </w:r>
      <w:r>
        <w:rPr>
          <w:rStyle w:val="Hipervnculo1"/>
          <w:rFonts w:eastAsia="AR PL SungtiL GB" w:cs="Times New Roman" w:ascii="Palatino Linotype" w:hAnsi="Palatino Linotype"/>
          <w:bCs/>
          <w:iCs/>
          <w:color w:val="000000"/>
          <w:highlight w:val="white"/>
          <w:u w:val="none"/>
          <w:lang w:val="es-ES" w:eastAsia="de-DE" w:bidi="en-US"/>
        </w:rPr>
        <w:t>1685–1696 (1999).</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s-ES" w:eastAsia="de-DE" w:bidi="en-US"/>
        </w:rPr>
        <w:t xml:space="preserve">22- Gimeno, L., Nieto, R., Trigo, R., Vicente-Serrano, S.M. &amp; López-Moreno, J. I.  </w:t>
      </w:r>
      <w:r>
        <w:rPr>
          <w:rStyle w:val="Hipervnculo1"/>
          <w:rFonts w:eastAsia="AR PL SungtiL GB" w:cs="Times New Roman" w:ascii="Palatino Linotype" w:hAnsi="Palatino Linotype"/>
          <w:bCs/>
          <w:iCs/>
          <w:color w:val="000000"/>
          <w:highlight w:val="white"/>
          <w:u w:val="none"/>
          <w:lang w:val="en-GB" w:eastAsia="de-DE" w:bidi="en-US"/>
        </w:rPr>
        <w:t xml:space="preserve">Where does the Iberian Peninsula moisture comme from? An answer based on a Lagrangian approach. </w:t>
      </w:r>
      <w:r>
        <w:rPr>
          <w:rStyle w:val="Hipervnculo1"/>
          <w:rFonts w:eastAsia="AR PL SungtiL GB" w:cs="Times New Roman" w:ascii="Palatino Linotype" w:hAnsi="Palatino Linotype"/>
          <w:bCs/>
          <w:i/>
          <w:iCs/>
          <w:color w:val="000000"/>
          <w:highlight w:val="white"/>
          <w:u w:val="none"/>
          <w:lang w:val="en-GB" w:eastAsia="de-DE" w:bidi="en-US"/>
        </w:rPr>
        <w:t xml:space="preserve">J. Hydrometeorol. </w:t>
      </w:r>
      <w:r>
        <w:rPr>
          <w:rStyle w:val="Hipervnculo1"/>
          <w:rFonts w:eastAsia="AR PL SungtiL GB" w:cs="Times New Roman" w:ascii="Palatino Linotype" w:hAnsi="Palatino Linotype"/>
          <w:b/>
          <w:bCs/>
          <w:iCs/>
          <w:color w:val="000000"/>
          <w:highlight w:val="white"/>
          <w:u w:val="none"/>
          <w:lang w:val="en-GB" w:eastAsia="de-DE" w:bidi="en-US"/>
        </w:rPr>
        <w:t xml:space="preserve">11, </w:t>
      </w:r>
      <w:r>
        <w:rPr>
          <w:rStyle w:val="Hipervnculo1"/>
          <w:rFonts w:eastAsia="AR PL SungtiL GB" w:cs="Times New Roman" w:ascii="Palatino Linotype" w:hAnsi="Palatino Linotype"/>
          <w:bCs/>
          <w:iCs/>
          <w:color w:val="000000"/>
          <w:highlight w:val="white"/>
          <w:u w:val="none"/>
          <w:lang w:val="en-GB" w:eastAsia="de-DE" w:bidi="en-US"/>
        </w:rPr>
        <w:t>421-336 (2010).</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23- Lavers, D. A., Villarini, G., Allan, R. P., Wood, E. F., &amp; Wade, A. J. The detection of atmospheric rivers in atmospheric reanalyses and their links to British winter floods and the large-scale climatic circulation. </w:t>
      </w:r>
      <w:r>
        <w:rPr>
          <w:rStyle w:val="Hipervnculo1"/>
          <w:rFonts w:eastAsia="AR PL SungtiL GB" w:cs="Times New Roman" w:ascii="Palatino Linotype" w:hAnsi="Palatino Linotype"/>
          <w:i/>
          <w:iCs/>
          <w:color w:val="000000"/>
          <w:highlight w:val="white"/>
          <w:u w:val="none"/>
          <w:lang w:val="en-GB" w:eastAsia="de-DE" w:bidi="en-US"/>
        </w:rPr>
        <w:t>J. Geophys. Res.</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iCs/>
          <w:color w:val="000000"/>
          <w:highlight w:val="white"/>
          <w:u w:val="none"/>
          <w:lang w:val="en-GB" w:eastAsia="de-DE" w:bidi="en-US"/>
        </w:rPr>
        <w:t>117,</w:t>
      </w:r>
      <w:r>
        <w:rPr>
          <w:rStyle w:val="Hipervnculo1"/>
          <w:rFonts w:eastAsia="AR PL SungtiL GB" w:cs="Times New Roman" w:ascii="Palatino Linotype" w:hAnsi="Palatino Linotype"/>
          <w:bCs/>
          <w:iCs/>
          <w:color w:val="000000"/>
          <w:highlight w:val="white"/>
          <w:u w:val="none"/>
          <w:lang w:val="en-GB" w:eastAsia="de-DE" w:bidi="en-US"/>
        </w:rPr>
        <w:t xml:space="preserve"> D20106 (2012).</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 xml:space="preserve">24- Lavers, D. A., Villarini, G., Allan, R. P., Wood, E. F., &amp; Wade, A. J. The detection of atmospheric rivers in atmospheric reanalyses and their links to British winter floods and the large-scale climatic circulation. </w:t>
      </w:r>
      <w:r>
        <w:rPr>
          <w:rStyle w:val="Hipervnculo1"/>
          <w:rFonts w:eastAsia="AR PL SungtiL GB" w:cs="Times New Roman" w:ascii="Palatino Linotype" w:hAnsi="Palatino Linotype"/>
          <w:bCs/>
          <w:i/>
          <w:iCs/>
          <w:color w:val="000000"/>
          <w:highlight w:val="white"/>
          <w:u w:val="none"/>
          <w:lang w:val="en-GB" w:eastAsia="de-DE" w:bidi="en-US"/>
        </w:rPr>
        <w:t>J. Geophys. Res.</w:t>
      </w:r>
      <w:r>
        <w:rPr>
          <w:rStyle w:val="Hipervnculo1"/>
          <w:rFonts w:eastAsia="AR PL SungtiL GB" w:cs="Times New Roman" w:ascii="Palatino Linotype" w:hAnsi="Palatino Linotype"/>
          <w:bCs/>
          <w:iCs/>
          <w:color w:val="000000"/>
          <w:highlight w:val="white"/>
          <w:u w:val="none"/>
          <w:lang w:val="en-GB" w:eastAsia="de-DE" w:bidi="en-US"/>
        </w:rPr>
        <w:t xml:space="preserve"> </w:t>
      </w:r>
      <w:r>
        <w:rPr>
          <w:rStyle w:val="Hipervnculo1"/>
          <w:rFonts w:eastAsia="AR PL SungtiL GB" w:cs="Times New Roman" w:ascii="Palatino Linotype" w:hAnsi="Palatino Linotype"/>
          <w:b/>
          <w:bCs/>
          <w:color w:val="000000"/>
          <w:highlight w:val="white"/>
          <w:u w:val="none"/>
          <w:lang w:val="en-GB" w:eastAsia="de-DE" w:bidi="en-US"/>
        </w:rPr>
        <w:t>117</w:t>
      </w:r>
      <w:r>
        <w:rPr>
          <w:rStyle w:val="Hipervnculo1"/>
          <w:rFonts w:eastAsia="AR PL SungtiL GB" w:cs="Times New Roman" w:ascii="Palatino Linotype" w:hAnsi="Palatino Linotype"/>
          <w:bCs/>
          <w:iCs/>
          <w:color w:val="000000"/>
          <w:highlight w:val="white"/>
          <w:u w:val="none"/>
          <w:lang w:val="en-GB" w:eastAsia="de-DE" w:bidi="en-US"/>
        </w:rPr>
        <w:t>, D20106 (2012).</w:t>
      </w:r>
    </w:p>
    <w:p>
      <w:pPr>
        <w:pStyle w:val="Normal"/>
        <w:spacing w:lineRule="auto" w:line="480" w:beforeAutospacing="1" w:afterAutospacing="1"/>
        <w:jc w:val="both"/>
        <w:rPr/>
      </w:pPr>
      <w:r>
        <w:rPr>
          <w:rStyle w:val="Hipervnculo1"/>
          <w:rFonts w:eastAsia="AR PL SungtiL GB" w:cs="Times New Roman" w:ascii="Palatino Linotype" w:hAnsi="Palatino Linotype"/>
          <w:bCs/>
          <w:iCs/>
          <w:color w:val="000000"/>
          <w:highlight w:val="white"/>
          <w:u w:val="none"/>
          <w:lang w:val="en-GB" w:eastAsia="de-DE" w:bidi="en-US"/>
        </w:rPr>
        <w:t>25- Brown B, Ebert E, Fowler T, Gilleland E, Kucera P, Wilson L Verification methods for tropical cyclone forecasts. WMO Technical Document WWRP 2013-7, 7(November) (2013).</w:t>
      </w:r>
    </w:p>
    <w:p>
      <w:pPr>
        <w:pStyle w:val="Normal"/>
        <w:spacing w:lineRule="auto" w:line="480"/>
        <w:jc w:val="both"/>
        <w:rPr/>
      </w:pPr>
      <w:r>
        <w:rPr/>
      </w:r>
    </w:p>
    <w:sectPr>
      <w:headerReference w:type="default" r:id="rId2"/>
      <w:footerReference w:type="default" r:id="rId3"/>
      <w:type w:val="nextPage"/>
      <w:pgSz w:w="11906" w:h="16838"/>
      <w:pgMar w:left="1134" w:right="1134" w:header="0" w:top="1134" w:footer="1134" w:bottom="169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Times New Roman">
    <w:charset w:val="01"/>
    <w:family w:val="roman"/>
    <w:pitch w:val="variable"/>
  </w:font>
  <w:font w:name="Palatino Linotype">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GB"/>
      </w:rPr>
    </w:pPr>
    <w:r>
      <w:rPr>
        <w:lang w:val="en-GB"/>
      </w:rPr>
    </w:r>
  </w:p>
</w:hdr>
</file>

<file path=word/settings.xml><?xml version="1.0" encoding="utf-8"?>
<w:settings xmlns:w="http://schemas.openxmlformats.org/wordprocessingml/2006/main">
  <w:zoom w:percent="90"/>
  <w:defaultTabStop w:val="576"/>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IN"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30e6"/>
    <w:pPr>
      <w:widowControl/>
      <w:suppressAutoHyphens w:val="true"/>
      <w:bidi w:val="0"/>
      <w:spacing w:before="0" w:after="0"/>
      <w:jc w:val="left"/>
    </w:pPr>
    <w:rPr>
      <w:rFonts w:ascii="Liberation Serif" w:hAnsi="Liberation Serif" w:eastAsia="Noto Serif CJK SC" w:cs="Noto Sans Devanagari"/>
      <w:color w:val="auto"/>
      <w:kern w:val="2"/>
      <w:sz w:val="24"/>
      <w:szCs w:val="24"/>
      <w:lang w:val="pt-PT" w:eastAsia="zh-CN" w:bidi="hi-IN"/>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2330e6"/>
    <w:rPr>
      <w:sz w:val="16"/>
      <w:szCs w:val="16"/>
    </w:rPr>
  </w:style>
  <w:style w:type="character" w:styleId="TextocomentarioCar" w:customStyle="1">
    <w:name w:val="Texto comentario Car"/>
    <w:basedOn w:val="DefaultParagraphFont"/>
    <w:link w:val="Textocomentario"/>
    <w:uiPriority w:val="99"/>
    <w:qFormat/>
    <w:rsid w:val="002330e6"/>
    <w:rPr>
      <w:rFonts w:cs="Mangal"/>
      <w:szCs w:val="18"/>
    </w:rPr>
  </w:style>
  <w:style w:type="character" w:styleId="TtuloCar" w:customStyle="1">
    <w:name w:val="Título Car"/>
    <w:basedOn w:val="DefaultParagraphFont"/>
    <w:link w:val="Ttulo"/>
    <w:qFormat/>
    <w:rsid w:val="002330e6"/>
    <w:rPr>
      <w:rFonts w:ascii="Cambria" w:hAnsi="Cambria"/>
      <w:b/>
      <w:bCs/>
      <w:sz w:val="32"/>
      <w:szCs w:val="32"/>
    </w:rPr>
  </w:style>
  <w:style w:type="character" w:styleId="PiedepginaCar" w:customStyle="1">
    <w:name w:val="Pie de página Car"/>
    <w:basedOn w:val="DefaultParagraphFont"/>
    <w:link w:val="Piedepgina"/>
    <w:qFormat/>
    <w:rsid w:val="002330e6"/>
    <w:rPr>
      <w:rFonts w:ascii="Liberation Serif" w:hAnsi="Liberation Serif" w:eastAsia="Noto Serif CJK SC" w:cs="Noto Sans Devanagari"/>
      <w:kern w:val="2"/>
      <w:sz w:val="24"/>
      <w:szCs w:val="24"/>
      <w:lang w:val="pt-PT" w:eastAsia="zh-CN" w:bidi="hi-IN"/>
    </w:rPr>
  </w:style>
  <w:style w:type="character" w:styleId="TitleChar1" w:customStyle="1">
    <w:name w:val="Title Char1"/>
    <w:basedOn w:val="DefaultParagraphFont"/>
    <w:uiPriority w:val="10"/>
    <w:qFormat/>
    <w:rsid w:val="002330e6"/>
    <w:rPr>
      <w:rFonts w:ascii="Calibri Light" w:hAnsi="Calibri Light" w:eastAsia="" w:cs="Mangal" w:asciiTheme="majorHAnsi" w:eastAsiaTheme="majorEastAsia" w:hAnsiTheme="majorHAnsi"/>
      <w:spacing w:val="-10"/>
      <w:kern w:val="2"/>
      <w:sz w:val="56"/>
      <w:szCs w:val="50"/>
      <w:lang w:val="pt-PT" w:eastAsia="zh-CN" w:bidi="hi-IN"/>
    </w:rPr>
  </w:style>
  <w:style w:type="character" w:styleId="CommentTextChar1" w:customStyle="1">
    <w:name w:val="Comment Text Char1"/>
    <w:basedOn w:val="DefaultParagraphFont"/>
    <w:uiPriority w:val="99"/>
    <w:semiHidden/>
    <w:qFormat/>
    <w:rsid w:val="002330e6"/>
    <w:rPr>
      <w:rFonts w:ascii="Liberation Serif" w:hAnsi="Liberation Serif" w:eastAsia="Noto Serif CJK SC" w:cs="Mangal"/>
      <w:kern w:val="2"/>
      <w:sz w:val="20"/>
      <w:szCs w:val="18"/>
      <w:lang w:val="pt-PT" w:eastAsia="zh-CN" w:bidi="hi-IN"/>
    </w:rPr>
  </w:style>
  <w:style w:type="character" w:styleId="TextodegloboCar" w:customStyle="1">
    <w:name w:val="Texto de globo Car"/>
    <w:basedOn w:val="DefaultParagraphFont"/>
    <w:link w:val="Textodeglobo"/>
    <w:uiPriority w:val="99"/>
    <w:semiHidden/>
    <w:qFormat/>
    <w:rsid w:val="002330e6"/>
    <w:rPr>
      <w:rFonts w:ascii="Segoe UI" w:hAnsi="Segoe UI" w:eastAsia="Noto Serif CJK SC" w:cs="Mangal"/>
      <w:kern w:val="2"/>
      <w:sz w:val="18"/>
      <w:szCs w:val="16"/>
      <w:lang w:val="pt-PT" w:eastAsia="zh-CN" w:bidi="hi-IN"/>
    </w:rPr>
  </w:style>
  <w:style w:type="character" w:styleId="AsuntodelcomentarioCar" w:customStyle="1">
    <w:name w:val="Asunto del comentario Car"/>
    <w:basedOn w:val="TextocomentarioCar"/>
    <w:link w:val="Asuntodelcomentario"/>
    <w:uiPriority w:val="99"/>
    <w:semiHidden/>
    <w:qFormat/>
    <w:rsid w:val="002330e6"/>
    <w:rPr>
      <w:rFonts w:ascii="Liberation Serif" w:hAnsi="Liberation Serif" w:eastAsia="Noto Serif CJK SC" w:cs="Mangal"/>
      <w:b/>
      <w:bCs/>
      <w:kern w:val="2"/>
      <w:sz w:val="20"/>
      <w:szCs w:val="18"/>
      <w:lang w:val="pt-PT" w:eastAsia="zh-CN" w:bidi="hi-IN"/>
    </w:rPr>
  </w:style>
  <w:style w:type="character" w:styleId="EncabezadoCar" w:customStyle="1">
    <w:name w:val="Encabezado Car"/>
    <w:basedOn w:val="DefaultParagraphFont"/>
    <w:link w:val="Encabezado"/>
    <w:uiPriority w:val="99"/>
    <w:qFormat/>
    <w:rsid w:val="00ec7930"/>
    <w:rPr>
      <w:rFonts w:ascii="Liberation Serif" w:hAnsi="Liberation Serif" w:eastAsia="Noto Serif CJK SC" w:cs="Mangal"/>
      <w:kern w:val="2"/>
      <w:sz w:val="24"/>
      <w:szCs w:val="21"/>
      <w:lang w:val="pt-PT" w:eastAsia="zh-CN" w:bidi="hi-IN"/>
    </w:rPr>
  </w:style>
  <w:style w:type="character" w:styleId="Hipervnculo1" w:customStyle="1">
    <w:name w:val="Hipervínculo1"/>
    <w:qFormat/>
    <w:rPr>
      <w:color w:val="0000FF"/>
      <w:u w:val="single"/>
    </w:rPr>
  </w:style>
  <w:style w:type="paragraph" w:styleId="Heading" w:customStyle="1">
    <w:name w:val="Heading"/>
    <w:basedOn w:val="Normal"/>
    <w:next w:val="TextBody"/>
    <w:qFormat/>
    <w:pPr>
      <w:keepNext w:val="true"/>
      <w:spacing w:before="240" w:after="120"/>
    </w:pPr>
    <w:rPr>
      <w:rFonts w:ascii="Liberation Sans" w:hAnsi="Liberation Sans" w:eastAsia="AR PL SungtiL GB"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Text" w:customStyle="1">
    <w:name w:val="Text"/>
    <w:basedOn w:val="Normal"/>
    <w:qFormat/>
    <w:rsid w:val="002330e6"/>
    <w:pPr>
      <w:spacing w:before="120" w:after="0"/>
      <w:ind w:firstLine="720"/>
    </w:pPr>
    <w:rPr>
      <w:rFonts w:eastAsia="Times New Roman"/>
    </w:rPr>
  </w:style>
  <w:style w:type="paragraph" w:styleId="HeaderandFooter" w:customStyle="1">
    <w:name w:val="Header and Footer"/>
    <w:basedOn w:val="Normal"/>
    <w:qFormat/>
    <w:pPr/>
    <w:rPr/>
  </w:style>
  <w:style w:type="paragraph" w:styleId="Footer">
    <w:name w:val="Footer"/>
    <w:basedOn w:val="Normal"/>
    <w:link w:val="PiedepginaCar"/>
    <w:rsid w:val="002330e6"/>
    <w:pPr>
      <w:suppressLineNumbers/>
      <w:tabs>
        <w:tab w:val="center" w:pos="4819" w:leader="none"/>
        <w:tab w:val="right" w:pos="9638" w:leader="none"/>
      </w:tabs>
    </w:pPr>
    <w:rPr/>
  </w:style>
  <w:style w:type="paragraph" w:styleId="Title">
    <w:name w:val="Title"/>
    <w:basedOn w:val="Normal"/>
    <w:next w:val="Normal"/>
    <w:link w:val="TtuloCar"/>
    <w:qFormat/>
    <w:rsid w:val="002330e6"/>
    <w:pPr>
      <w:spacing w:before="240" w:after="60"/>
      <w:jc w:val="center"/>
      <w:outlineLvl w:val="0"/>
    </w:pPr>
    <w:rPr>
      <w:rFonts w:ascii="Cambria" w:hAnsi="Cambria" w:eastAsia="Calibri" w:cs="" w:cstheme="minorBidi" w:eastAsiaTheme="minorHAnsi"/>
      <w:b/>
      <w:bCs/>
      <w:kern w:val="0"/>
      <w:sz w:val="32"/>
      <w:szCs w:val="32"/>
      <w:lang w:val="en-IN" w:eastAsia="en-US" w:bidi="ar-SA"/>
    </w:rPr>
  </w:style>
  <w:style w:type="paragraph" w:styleId="FigureorTableCaption" w:customStyle="1">
    <w:name w:val="Figure or Table Caption"/>
    <w:basedOn w:val="Normal"/>
    <w:qFormat/>
    <w:rsid w:val="002330e6"/>
    <w:pPr>
      <w:keepNext w:val="true"/>
      <w:spacing w:before="240" w:after="0"/>
      <w:outlineLvl w:val="0"/>
    </w:pPr>
    <w:rPr>
      <w:rFonts w:eastAsia="Times New Roman"/>
    </w:rPr>
  </w:style>
  <w:style w:type="paragraph" w:styleId="HeadingSecondary" w:customStyle="1">
    <w:name w:val="Heading-Secondary"/>
    <w:basedOn w:val="Normal"/>
    <w:qFormat/>
    <w:rsid w:val="002330e6"/>
    <w:pPr>
      <w:keepNext w:val="true"/>
      <w:spacing w:before="240" w:after="120"/>
      <w:ind w:left="720" w:hanging="0"/>
      <w:outlineLvl w:val="0"/>
    </w:pPr>
    <w:rPr>
      <w:rFonts w:eastAsia="Times New Roman"/>
      <w:bCs/>
    </w:rPr>
  </w:style>
  <w:style w:type="paragraph" w:styleId="Annotationtext">
    <w:name w:val="annotation text"/>
    <w:basedOn w:val="Normal"/>
    <w:link w:val="TextocomentarioCar"/>
    <w:uiPriority w:val="99"/>
    <w:unhideWhenUsed/>
    <w:qFormat/>
    <w:rsid w:val="002330e6"/>
    <w:pPr/>
    <w:rPr>
      <w:rFonts w:ascii="Calibri" w:hAnsi="Calibri" w:eastAsia="Calibri" w:cs="Mangal" w:asciiTheme="minorHAnsi" w:eastAsiaTheme="minorHAnsi" w:hAnsiTheme="minorHAnsi"/>
      <w:kern w:val="0"/>
      <w:sz w:val="22"/>
      <w:szCs w:val="18"/>
      <w:lang w:val="en-IN" w:eastAsia="en-US" w:bidi="ar-SA"/>
    </w:rPr>
  </w:style>
  <w:style w:type="paragraph" w:styleId="TableContents" w:customStyle="1">
    <w:name w:val="Table Contents"/>
    <w:basedOn w:val="Normal"/>
    <w:qFormat/>
    <w:rsid w:val="002330e6"/>
    <w:pPr>
      <w:suppressLineNumbers/>
    </w:pPr>
    <w:rPr>
      <w:rFonts w:ascii="Times New Roman" w:hAnsi="Times New Roman" w:eastAsia="Batang" w:cs="Times New Roman"/>
      <w:kern w:val="0"/>
      <w:szCs w:val="20"/>
      <w:lang w:val="en-US" w:eastAsia="en-US" w:bidi="ar-SA"/>
    </w:rPr>
  </w:style>
  <w:style w:type="paragraph" w:styleId="BalloonText">
    <w:name w:val="Balloon Text"/>
    <w:basedOn w:val="Normal"/>
    <w:link w:val="TextodegloboCar"/>
    <w:uiPriority w:val="99"/>
    <w:semiHidden/>
    <w:unhideWhenUsed/>
    <w:qFormat/>
    <w:rsid w:val="002330e6"/>
    <w:pPr/>
    <w:rPr>
      <w:rFonts w:ascii="Segoe UI" w:hAnsi="Segoe UI" w:cs="Mangal"/>
      <w:sz w:val="18"/>
      <w:szCs w:val="16"/>
    </w:rPr>
  </w:style>
  <w:style w:type="paragraph" w:styleId="Annotationsubject">
    <w:name w:val="annotation subject"/>
    <w:basedOn w:val="Annotationtext"/>
    <w:link w:val="AsuntodelcomentarioCar"/>
    <w:uiPriority w:val="99"/>
    <w:semiHidden/>
    <w:unhideWhenUsed/>
    <w:qFormat/>
    <w:rsid w:val="002330e6"/>
    <w:pPr/>
    <w:rPr>
      <w:rFonts w:ascii="Liberation Serif" w:hAnsi="Liberation Serif" w:eastAsia="Noto Serif CJK SC"/>
      <w:b/>
      <w:bCs/>
      <w:kern w:val="2"/>
      <w:sz w:val="20"/>
      <w:lang w:val="pt-PT" w:eastAsia="zh-CN" w:bidi="hi-IN"/>
    </w:rPr>
  </w:style>
  <w:style w:type="paragraph" w:styleId="Header">
    <w:name w:val="Header"/>
    <w:basedOn w:val="Normal"/>
    <w:link w:val="EncabezadoCar"/>
    <w:uiPriority w:val="99"/>
    <w:unhideWhenUsed/>
    <w:rsid w:val="00ec7930"/>
    <w:pPr>
      <w:tabs>
        <w:tab w:val="center" w:pos="4513" w:leader="none"/>
        <w:tab w:val="right" w:pos="9026" w:leader="none"/>
      </w:tabs>
    </w:pPr>
    <w:rPr>
      <w:rFonts w:cs="Mangal"/>
      <w:szCs w:val="21"/>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Application>LibreOffice/6.0.7.3$Linux_X86_64 LibreOffice_project/00m0$Build-3</Application>
  <Pages>14</Pages>
  <Words>3385</Words>
  <Characters>18420</Characters>
  <CharactersWithSpaces>21932</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2022-03-22T10:09:00Z</dcterms:created>
  <dc:creator>Author</dc:creator>
  <dc:description/>
  <dc:language>en-US</dc:language>
  <cp:lastModifiedBy/>
  <dcterms:modified xsi:type="dcterms:W3CDTF">2022-05-02T17:12:08Z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