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B76A1" w14:textId="678665C8" w:rsidR="000745AB" w:rsidRDefault="00F0067E" w:rsidP="00F0067E">
      <w:pPr>
        <w:pStyle w:val="NoSpacing"/>
        <w:rPr>
          <w:rFonts w:asciiTheme="majorBidi" w:hAnsiTheme="majorBidi" w:cstheme="majorBidi"/>
          <w:b/>
          <w:bCs/>
          <w:sz w:val="24"/>
          <w:szCs w:val="24"/>
        </w:rPr>
      </w:pPr>
      <w:r w:rsidRPr="00F0067E">
        <w:rPr>
          <w:rFonts w:asciiTheme="majorBidi" w:hAnsiTheme="majorBidi" w:cstheme="majorBidi"/>
          <w:b/>
          <w:bCs/>
          <w:sz w:val="24"/>
          <w:szCs w:val="24"/>
        </w:rPr>
        <w:t>Bovine-based breast milk fortifier and neonatal outcomes in premature infants &lt;32 weeks’ gestational age.</w:t>
      </w:r>
    </w:p>
    <w:p w14:paraId="7F328D3B" w14:textId="77777777" w:rsidR="00C73B7E" w:rsidRDefault="00C73B7E" w:rsidP="00F0067E">
      <w:pPr>
        <w:pStyle w:val="NoSpacing"/>
        <w:rPr>
          <w:rFonts w:asciiTheme="majorBidi" w:hAnsiTheme="majorBidi" w:cstheme="majorBidi"/>
          <w:b/>
          <w:bCs/>
          <w:sz w:val="24"/>
          <w:szCs w:val="24"/>
        </w:rPr>
      </w:pPr>
    </w:p>
    <w:p w14:paraId="1213229F" w14:textId="5F224AC1" w:rsidR="00C73B7E" w:rsidRDefault="00C73B7E" w:rsidP="00F0067E">
      <w:pPr>
        <w:pStyle w:val="NoSpacing"/>
        <w:rPr>
          <w:rFonts w:asciiTheme="majorBidi" w:hAnsiTheme="majorBidi" w:cstheme="majorBidi"/>
          <w:b/>
          <w:bCs/>
          <w:sz w:val="24"/>
          <w:szCs w:val="24"/>
        </w:rPr>
      </w:pPr>
      <w:r>
        <w:rPr>
          <w:rFonts w:asciiTheme="majorBidi" w:hAnsiTheme="majorBidi" w:cstheme="majorBidi"/>
          <w:b/>
          <w:bCs/>
          <w:sz w:val="24"/>
          <w:szCs w:val="24"/>
        </w:rPr>
        <w:t>European Journal of Paediatrics</w:t>
      </w:r>
    </w:p>
    <w:p w14:paraId="663B2106" w14:textId="77777777" w:rsidR="00C73B7E" w:rsidRDefault="00C73B7E" w:rsidP="00F0067E">
      <w:pPr>
        <w:pStyle w:val="NoSpacing"/>
        <w:rPr>
          <w:rFonts w:asciiTheme="majorBidi" w:hAnsiTheme="majorBidi" w:cstheme="majorBidi"/>
          <w:b/>
          <w:bCs/>
          <w:sz w:val="24"/>
          <w:szCs w:val="24"/>
        </w:rPr>
      </w:pPr>
    </w:p>
    <w:p w14:paraId="08D6E6A2" w14:textId="048BC4DF" w:rsidR="00C73B7E" w:rsidRDefault="00C73B7E" w:rsidP="00F0067E">
      <w:pPr>
        <w:pStyle w:val="NoSpacing"/>
        <w:rPr>
          <w:rFonts w:asciiTheme="majorBidi" w:hAnsiTheme="majorBidi" w:cstheme="majorBidi"/>
          <w:b/>
          <w:bCs/>
          <w:sz w:val="24"/>
          <w:szCs w:val="24"/>
        </w:rPr>
      </w:pPr>
      <w:r>
        <w:rPr>
          <w:rFonts w:asciiTheme="majorBidi" w:hAnsiTheme="majorBidi" w:cstheme="majorBidi"/>
          <w:b/>
          <w:bCs/>
          <w:sz w:val="24"/>
          <w:szCs w:val="24"/>
        </w:rPr>
        <w:t xml:space="preserve">Kate Jordan, Laura De Rooy, Justin </w:t>
      </w:r>
      <w:r w:rsidR="00603132">
        <w:rPr>
          <w:rFonts w:asciiTheme="majorBidi" w:hAnsiTheme="majorBidi" w:cstheme="majorBidi"/>
          <w:b/>
          <w:bCs/>
          <w:sz w:val="24"/>
          <w:szCs w:val="24"/>
        </w:rPr>
        <w:t>Richards, Anay Kulkarni</w:t>
      </w:r>
    </w:p>
    <w:p w14:paraId="522F86C9" w14:textId="77777777" w:rsidR="00603132" w:rsidRDefault="00603132" w:rsidP="00F0067E">
      <w:pPr>
        <w:pStyle w:val="NoSpacing"/>
        <w:rPr>
          <w:rFonts w:asciiTheme="majorBidi" w:hAnsiTheme="majorBidi" w:cstheme="majorBidi"/>
          <w:b/>
          <w:bCs/>
          <w:sz w:val="24"/>
          <w:szCs w:val="24"/>
        </w:rPr>
      </w:pPr>
    </w:p>
    <w:p w14:paraId="7473050D" w14:textId="4DE0FA73" w:rsidR="00603132" w:rsidRPr="00F0067E" w:rsidRDefault="00603132" w:rsidP="00F0067E">
      <w:pPr>
        <w:pStyle w:val="NoSpacing"/>
        <w:rPr>
          <w:rFonts w:asciiTheme="majorBidi" w:hAnsiTheme="majorBidi" w:cstheme="majorBidi"/>
          <w:b/>
          <w:bCs/>
          <w:sz w:val="24"/>
          <w:szCs w:val="24"/>
        </w:rPr>
      </w:pPr>
      <w:r>
        <w:rPr>
          <w:rFonts w:asciiTheme="majorBidi" w:hAnsiTheme="majorBidi" w:cstheme="majorBidi"/>
          <w:b/>
          <w:bCs/>
          <w:sz w:val="24"/>
          <w:szCs w:val="24"/>
        </w:rPr>
        <w:t xml:space="preserve">Corresponding author: </w:t>
      </w:r>
      <w:r w:rsidR="005057C8" w:rsidRPr="00E8451A">
        <w:rPr>
          <w:rFonts w:asciiTheme="majorBidi" w:hAnsiTheme="majorBidi" w:cstheme="majorBidi"/>
        </w:rPr>
        <w:t>anay.kulkarni@stgeorges.nhs.uk</w:t>
      </w:r>
    </w:p>
    <w:p w14:paraId="2EA5107E" w14:textId="0D767C08" w:rsidR="00F0067E" w:rsidRPr="00F0067E" w:rsidRDefault="00F0067E" w:rsidP="00F0067E">
      <w:pPr>
        <w:pStyle w:val="NoSpacing"/>
        <w:rPr>
          <w:rFonts w:asciiTheme="majorBidi" w:hAnsiTheme="majorBidi" w:cstheme="majorBidi"/>
          <w:b/>
          <w:bCs/>
          <w:sz w:val="24"/>
          <w:szCs w:val="24"/>
        </w:rPr>
      </w:pPr>
    </w:p>
    <w:p w14:paraId="14830A1D" w14:textId="77777777" w:rsidR="00F0067E" w:rsidRDefault="00F0067E" w:rsidP="00F0067E">
      <w:pPr>
        <w:pStyle w:val="NoSpacing"/>
        <w:rPr>
          <w:rFonts w:asciiTheme="majorBidi" w:hAnsiTheme="majorBidi" w:cstheme="majorBidi"/>
          <w:b/>
          <w:bCs/>
          <w:sz w:val="24"/>
          <w:szCs w:val="24"/>
        </w:rPr>
      </w:pPr>
    </w:p>
    <w:p w14:paraId="4950E37C" w14:textId="77777777" w:rsidR="00F0067E" w:rsidRDefault="00F0067E" w:rsidP="00F0067E">
      <w:pPr>
        <w:pStyle w:val="NoSpacing"/>
        <w:rPr>
          <w:rFonts w:asciiTheme="majorBidi" w:hAnsiTheme="majorBidi" w:cstheme="majorBidi"/>
          <w:b/>
          <w:bCs/>
          <w:sz w:val="24"/>
          <w:szCs w:val="24"/>
        </w:rPr>
      </w:pPr>
    </w:p>
    <w:p w14:paraId="2995C722" w14:textId="72053240" w:rsidR="003A0DB9" w:rsidRPr="003A0DB9" w:rsidRDefault="00F0067E" w:rsidP="003A0DB9">
      <w:pPr>
        <w:pStyle w:val="NoSpacing"/>
        <w:rPr>
          <w:rFonts w:asciiTheme="majorBidi" w:hAnsiTheme="majorBidi" w:cstheme="majorBidi"/>
          <w:b/>
          <w:bCs/>
          <w:sz w:val="24"/>
          <w:szCs w:val="24"/>
        </w:rPr>
      </w:pPr>
      <w:r w:rsidRPr="00F0067E">
        <w:rPr>
          <w:rFonts w:asciiTheme="majorBidi" w:hAnsiTheme="majorBidi" w:cstheme="majorBidi"/>
          <w:b/>
          <w:bCs/>
          <w:sz w:val="24"/>
          <w:szCs w:val="24"/>
        </w:rPr>
        <w:t>SUPPLEMENTARY INFORMATION</w:t>
      </w:r>
    </w:p>
    <w:p w14:paraId="7794EEB7" w14:textId="3F33D88D" w:rsidR="00F0067E" w:rsidRDefault="00F0067E" w:rsidP="00F0067E">
      <w:pPr>
        <w:pStyle w:val="NoSpacing"/>
        <w:rPr>
          <w:rFonts w:asciiTheme="majorBidi" w:hAnsiTheme="majorBidi" w:cstheme="majorBidi"/>
          <w:b/>
          <w:bCs/>
          <w:sz w:val="24"/>
          <w:szCs w:val="24"/>
        </w:rPr>
      </w:pPr>
    </w:p>
    <w:p w14:paraId="43077529" w14:textId="6B621F90" w:rsidR="00F0067E" w:rsidRPr="00F0067E" w:rsidRDefault="006D4B91" w:rsidP="00F0067E">
      <w:pPr>
        <w:pStyle w:val="NoSpacing"/>
        <w:rPr>
          <w:rFonts w:asciiTheme="majorBidi" w:hAnsiTheme="majorBidi" w:cstheme="majorBidi"/>
          <w:sz w:val="24"/>
          <w:szCs w:val="24"/>
        </w:rPr>
      </w:pPr>
      <w:r>
        <w:rPr>
          <w:rFonts w:asciiTheme="majorBidi" w:hAnsiTheme="majorBidi" w:cstheme="majorBidi"/>
          <w:sz w:val="24"/>
          <w:szCs w:val="24"/>
        </w:rPr>
        <w:t xml:space="preserve">Characteristics of the study cohort are described in Table 1. The total cohort included N = 952 preterm infants born at SGH at GA &lt;32 weeks from Jan 2010 – September 2020, whose treatment was complete </w:t>
      </w:r>
      <w:r w:rsidR="00066C93">
        <w:rPr>
          <w:rFonts w:asciiTheme="majorBidi" w:hAnsiTheme="majorBidi" w:cstheme="majorBidi"/>
          <w:sz w:val="24"/>
          <w:szCs w:val="24"/>
        </w:rPr>
        <w:t xml:space="preserve">at the time of analysis. All statistical analyses were run for the total cohort and subgroups by GA, as listed in </w:t>
      </w:r>
      <w:r w:rsidR="0086477A">
        <w:rPr>
          <w:rFonts w:asciiTheme="majorBidi" w:hAnsiTheme="majorBidi" w:cstheme="majorBidi"/>
          <w:sz w:val="24"/>
          <w:szCs w:val="24"/>
        </w:rPr>
        <w:t xml:space="preserve">Supplementary </w:t>
      </w:r>
      <w:r w:rsidR="00066C93">
        <w:rPr>
          <w:rFonts w:asciiTheme="majorBidi" w:hAnsiTheme="majorBidi" w:cstheme="majorBidi"/>
          <w:sz w:val="24"/>
          <w:szCs w:val="24"/>
        </w:rPr>
        <w:t xml:space="preserve">Table 1. </w:t>
      </w:r>
    </w:p>
    <w:p w14:paraId="04E9BBE4" w14:textId="7BE94A77" w:rsidR="00F0067E" w:rsidRDefault="00F0067E" w:rsidP="00F0067E">
      <w:pPr>
        <w:pStyle w:val="NoSpacing"/>
        <w:rPr>
          <w:rFonts w:asciiTheme="majorBidi" w:hAnsiTheme="majorBidi" w:cstheme="majorBidi"/>
          <w:b/>
          <w:bCs/>
          <w:sz w:val="24"/>
          <w:szCs w:val="24"/>
        </w:rPr>
      </w:pPr>
    </w:p>
    <w:p w14:paraId="3FDAA0E1" w14:textId="77777777" w:rsidR="003B1F3E" w:rsidRDefault="003B1F3E" w:rsidP="00F0067E">
      <w:pPr>
        <w:pStyle w:val="NoSpacing"/>
        <w:rPr>
          <w:rFonts w:asciiTheme="majorBidi" w:hAnsiTheme="majorBidi" w:cstheme="majorBidi"/>
          <w:b/>
          <w:bCs/>
          <w:sz w:val="24"/>
          <w:szCs w:val="24"/>
        </w:rPr>
      </w:pPr>
    </w:p>
    <w:p w14:paraId="2A3E496C" w14:textId="39A9487D" w:rsidR="00F0067E" w:rsidRDefault="0086477A" w:rsidP="00F0067E">
      <w:pPr>
        <w:pStyle w:val="NoSpacing"/>
        <w:rPr>
          <w:rFonts w:asciiTheme="majorBidi" w:hAnsiTheme="majorBidi" w:cstheme="majorBidi"/>
          <w:b/>
          <w:bCs/>
          <w:sz w:val="24"/>
          <w:szCs w:val="24"/>
        </w:rPr>
      </w:pPr>
      <w:r>
        <w:rPr>
          <w:rFonts w:asciiTheme="majorBidi" w:hAnsiTheme="majorBidi" w:cstheme="majorBidi"/>
          <w:b/>
          <w:bCs/>
          <w:noProof/>
          <w:sz w:val="24"/>
          <w:szCs w:val="24"/>
        </w:rPr>
        <w:drawing>
          <wp:inline distT="0" distB="0" distL="0" distR="0" wp14:anchorId="3FF1E0FA" wp14:editId="3B851BEB">
            <wp:extent cx="4489450" cy="3050084"/>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94031" cy="3053196"/>
                    </a:xfrm>
                    <a:prstGeom prst="rect">
                      <a:avLst/>
                    </a:prstGeom>
                    <a:noFill/>
                    <a:ln>
                      <a:noFill/>
                    </a:ln>
                  </pic:spPr>
                </pic:pic>
              </a:graphicData>
            </a:graphic>
          </wp:inline>
        </w:drawing>
      </w:r>
    </w:p>
    <w:p w14:paraId="5E7F85F3" w14:textId="5053E278" w:rsidR="00F0067E" w:rsidRDefault="00F0067E" w:rsidP="00F0067E">
      <w:pPr>
        <w:pStyle w:val="NoSpacing"/>
        <w:rPr>
          <w:rFonts w:asciiTheme="majorBidi" w:hAnsiTheme="majorBidi" w:cstheme="majorBidi"/>
          <w:b/>
          <w:bCs/>
          <w:sz w:val="24"/>
          <w:szCs w:val="24"/>
        </w:rPr>
      </w:pPr>
    </w:p>
    <w:p w14:paraId="0F3D66B8" w14:textId="612E5F07" w:rsidR="006D4B91" w:rsidRDefault="0086477A" w:rsidP="003A0DB9">
      <w:pPr>
        <w:pStyle w:val="NoSpacing"/>
        <w:rPr>
          <w:rFonts w:asciiTheme="majorBidi" w:hAnsiTheme="majorBidi" w:cstheme="majorBidi"/>
          <w:b/>
          <w:bCs/>
          <w:sz w:val="24"/>
          <w:szCs w:val="24"/>
        </w:rPr>
      </w:pPr>
      <w:r>
        <w:rPr>
          <w:rFonts w:asciiTheme="majorBidi" w:hAnsiTheme="majorBidi" w:cstheme="majorBidi"/>
          <w:sz w:val="24"/>
          <w:szCs w:val="24"/>
        </w:rPr>
        <w:t xml:space="preserve">BMF use did not increase the odds or risk of developing the negative outcomes of interest in this study (NEC, surgical/severe NEC, or all-cause mortality), as listed in Supplementary Table 2. </w:t>
      </w:r>
      <w:r w:rsidR="003A0DB9">
        <w:rPr>
          <w:rFonts w:asciiTheme="majorBidi" w:hAnsiTheme="majorBidi" w:cstheme="majorBidi"/>
          <w:sz w:val="24"/>
          <w:szCs w:val="24"/>
        </w:rPr>
        <w:t>Neither the</w:t>
      </w:r>
      <w:r>
        <w:rPr>
          <w:rFonts w:asciiTheme="majorBidi" w:hAnsiTheme="majorBidi" w:cstheme="majorBidi"/>
          <w:sz w:val="24"/>
          <w:szCs w:val="24"/>
        </w:rPr>
        <w:t xml:space="preserve"> risk </w:t>
      </w:r>
      <w:r w:rsidR="003A0DB9">
        <w:rPr>
          <w:rFonts w:asciiTheme="majorBidi" w:hAnsiTheme="majorBidi" w:cstheme="majorBidi"/>
          <w:sz w:val="24"/>
          <w:szCs w:val="24"/>
        </w:rPr>
        <w:t>of developing NEC nor all-cause mortality were increased if bovine-based BMF was introduced on postnatal days 8 – 13. Breastfeeding rate on live discharges were not statistically reduced if on BMF.</w:t>
      </w:r>
    </w:p>
    <w:p w14:paraId="56D89406" w14:textId="77777777" w:rsidR="006D4B91" w:rsidRDefault="006D4B91" w:rsidP="006D4B91">
      <w:pPr>
        <w:pStyle w:val="NoSpacing"/>
        <w:rPr>
          <w:rFonts w:asciiTheme="majorBidi" w:hAnsiTheme="majorBidi" w:cstheme="majorBidi"/>
          <w:b/>
          <w:bCs/>
          <w:sz w:val="24"/>
          <w:szCs w:val="24"/>
        </w:rPr>
      </w:pPr>
    </w:p>
    <w:p w14:paraId="7B4120F5" w14:textId="77777777" w:rsidR="006D4B91" w:rsidRDefault="006D4B91" w:rsidP="006D4B91">
      <w:pPr>
        <w:pStyle w:val="NoSpacing"/>
        <w:rPr>
          <w:rFonts w:asciiTheme="majorBidi" w:hAnsiTheme="majorBidi" w:cstheme="majorBidi"/>
          <w:b/>
          <w:bCs/>
          <w:sz w:val="24"/>
          <w:szCs w:val="24"/>
        </w:rPr>
      </w:pPr>
    </w:p>
    <w:tbl>
      <w:tblPr>
        <w:tblW w:w="6560" w:type="dxa"/>
        <w:tblCellMar>
          <w:left w:w="0" w:type="dxa"/>
          <w:right w:w="0" w:type="dxa"/>
        </w:tblCellMar>
        <w:tblLook w:val="0600" w:firstRow="0" w:lastRow="0" w:firstColumn="0" w:lastColumn="0" w:noHBand="1" w:noVBand="1"/>
      </w:tblPr>
      <w:tblGrid>
        <w:gridCol w:w="2720"/>
        <w:gridCol w:w="480"/>
        <w:gridCol w:w="660"/>
        <w:gridCol w:w="420"/>
        <w:gridCol w:w="420"/>
        <w:gridCol w:w="720"/>
        <w:gridCol w:w="420"/>
        <w:gridCol w:w="720"/>
      </w:tblGrid>
      <w:tr w:rsidR="0086477A" w:rsidRPr="0086477A" w14:paraId="62AF3520" w14:textId="77777777" w:rsidTr="0086477A">
        <w:trPr>
          <w:trHeight w:val="329"/>
        </w:trPr>
        <w:tc>
          <w:tcPr>
            <w:tcW w:w="6560" w:type="dxa"/>
            <w:gridSpan w:val="8"/>
            <w:tcBorders>
              <w:top w:val="nil"/>
              <w:left w:val="nil"/>
              <w:bottom w:val="nil"/>
              <w:right w:val="nil"/>
            </w:tcBorders>
            <w:shd w:val="clear" w:color="auto" w:fill="auto"/>
            <w:tcMar>
              <w:top w:w="6" w:type="dxa"/>
              <w:left w:w="6" w:type="dxa"/>
              <w:bottom w:w="0" w:type="dxa"/>
              <w:right w:w="6" w:type="dxa"/>
            </w:tcMar>
            <w:vAlign w:val="bottom"/>
            <w:hideMark/>
          </w:tcPr>
          <w:p w14:paraId="00F56EFB"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 xml:space="preserve">Table 2: </w:t>
            </w:r>
            <w:r w:rsidRPr="0086477A">
              <w:rPr>
                <w:rFonts w:ascii="Times New Roman" w:eastAsia="Times New Roman" w:hAnsi="Times New Roman" w:cs="Times New Roman"/>
                <w:color w:val="000000"/>
                <w:kern w:val="24"/>
                <w:sz w:val="14"/>
                <w:szCs w:val="14"/>
                <w:lang w:eastAsia="en-GB"/>
              </w:rPr>
              <w:t>Association of breast milk fortifier with the development of negative outcomes in preterm infants &lt;32 weeks GA, including subgroup analyses</w:t>
            </w:r>
          </w:p>
        </w:tc>
      </w:tr>
      <w:tr w:rsidR="0086477A" w:rsidRPr="0086477A" w14:paraId="7686E216" w14:textId="77777777" w:rsidTr="0086477A">
        <w:tc>
          <w:tcPr>
            <w:tcW w:w="2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7695F154"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71580D9D"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5A0F21AA"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118B6AAD"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2C882240"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7D96BBF3"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1AB55D27"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3AC36F05"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r>
      <w:tr w:rsidR="0086477A" w:rsidRPr="0086477A" w14:paraId="46BBB099" w14:textId="77777777" w:rsidTr="0086477A">
        <w:trPr>
          <w:trHeight w:val="329"/>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2F9C6CF0"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Variable</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1F0C124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OR</w:t>
            </w: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2D25CE2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CI</w:t>
            </w: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1E62E6B8"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i/>
                <w:iCs/>
                <w:color w:val="000000"/>
                <w:kern w:val="24"/>
                <w:sz w:val="14"/>
                <w:szCs w:val="14"/>
                <w:lang w:eastAsia="en-GB"/>
              </w:rPr>
              <w:t>P</w:t>
            </w:r>
            <w:r w:rsidRPr="0086477A">
              <w:rPr>
                <w:rFonts w:ascii="Times New Roman" w:eastAsia="Times New Roman" w:hAnsi="Times New Roman" w:cs="Times New Roman"/>
                <w:b/>
                <w:bCs/>
                <w:color w:val="000000"/>
                <w:kern w:val="24"/>
                <w:sz w:val="14"/>
                <w:szCs w:val="14"/>
                <w:lang w:eastAsia="en-GB"/>
              </w:rPr>
              <w:t xml:space="preserve"> value</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center"/>
            <w:hideMark/>
          </w:tcPr>
          <w:p w14:paraId="5339E2E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RR</w:t>
            </w: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6EC3A63D"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CI</w:t>
            </w: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62CD73EF"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i/>
                <w:iCs/>
                <w:color w:val="000000"/>
                <w:kern w:val="24"/>
                <w:sz w:val="14"/>
                <w:szCs w:val="14"/>
                <w:lang w:eastAsia="en-GB"/>
              </w:rPr>
              <w:t>P</w:t>
            </w:r>
            <w:r w:rsidRPr="0086477A">
              <w:rPr>
                <w:rFonts w:ascii="Times New Roman" w:eastAsia="Times New Roman" w:hAnsi="Times New Roman" w:cs="Times New Roman"/>
                <w:b/>
                <w:bCs/>
                <w:color w:val="000000"/>
                <w:kern w:val="24"/>
                <w:sz w:val="14"/>
                <w:szCs w:val="14"/>
                <w:lang w:eastAsia="en-GB"/>
              </w:rPr>
              <w:t xml:space="preserve"> value</w:t>
            </w: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7EE588BD"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NNT</w:t>
            </w:r>
          </w:p>
        </w:tc>
      </w:tr>
      <w:tr w:rsidR="0086477A" w:rsidRPr="0086477A" w14:paraId="111708ED"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2972B3D4"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 </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3069821D"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5AB171EB"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646C26F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 </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center"/>
            <w:hideMark/>
          </w:tcPr>
          <w:p w14:paraId="24202029"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7F7E887A"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3446AA61"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1603210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 </w:t>
            </w:r>
          </w:p>
        </w:tc>
      </w:tr>
      <w:tr w:rsidR="0086477A" w:rsidRPr="0086477A" w14:paraId="6B2AB5B5"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3BBE177B"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lastRenderedPageBreak/>
              <w:t>Development of NEC if on BMF</w:t>
            </w:r>
          </w:p>
        </w:tc>
        <w:tc>
          <w:tcPr>
            <w:tcW w:w="46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0697AA0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66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0363321B"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14:paraId="0F85DB9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center"/>
            <w:hideMark/>
          </w:tcPr>
          <w:p w14:paraId="1D455ED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0954EA34"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19A97CE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14:paraId="162A2DC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4D26B830" w14:textId="77777777" w:rsidTr="0086477A">
        <w:trPr>
          <w:trHeight w:val="174"/>
        </w:trPr>
        <w:tc>
          <w:tcPr>
            <w:tcW w:w="27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bottom"/>
            <w:hideMark/>
          </w:tcPr>
          <w:p w14:paraId="6089C41B"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Total cohort, &lt;32 weeks GA</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20353A9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0.62</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35168E1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0.30 to 1.29</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3D553E1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.2</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0A3C4510"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0.64</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45323394"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0.32 to 1.28</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31F19A85"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.21</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1CC1AD6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23738233" w14:textId="77777777" w:rsidTr="0086477A">
        <w:trPr>
          <w:trHeight w:val="174"/>
        </w:trPr>
        <w:tc>
          <w:tcPr>
            <w:tcW w:w="27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6174ECDE"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23 - 25</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5DAFDBE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0.31</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3E945CA0"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0.13 to 0.76</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5CB23DF1"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3CFF1BE5"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0.36</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21DDF5C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0.16 to 0.90</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5B29FDF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75003162"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4.70 - 30.33</w:t>
            </w:r>
          </w:p>
        </w:tc>
      </w:tr>
      <w:tr w:rsidR="0086477A" w:rsidRPr="0086477A" w14:paraId="1324FD4B" w14:textId="77777777" w:rsidTr="0086477A">
        <w:trPr>
          <w:trHeight w:val="174"/>
        </w:trPr>
        <w:tc>
          <w:tcPr>
            <w:tcW w:w="27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2156B346"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26 - 28</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1628489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0.16</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2276941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0.02 to 1.24</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3A1CF7A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.07</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0455705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0.17</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5CC3E66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0.02 to 1.27</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626A5EE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.08</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25C8605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5B58125B" w14:textId="77777777" w:rsidTr="0086477A">
        <w:trPr>
          <w:trHeight w:val="329"/>
        </w:trPr>
        <w:tc>
          <w:tcPr>
            <w:tcW w:w="27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0D15DA40"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29 - 31</w:t>
            </w: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1A627EF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1.46</w:t>
            </w: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4FADF95D"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0.18 to 11.94</w:t>
            </w:r>
          </w:p>
        </w:tc>
        <w:tc>
          <w:tcPr>
            <w:tcW w:w="4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604435A2"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.72</w:t>
            </w:r>
          </w:p>
        </w:tc>
        <w:tc>
          <w:tcPr>
            <w:tcW w:w="4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center"/>
            <w:hideMark/>
          </w:tcPr>
          <w:p w14:paraId="33CA6151"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1.44</w:t>
            </w: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7604359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0.19 to 11.01</w:t>
            </w: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1A89DC65"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0.72</w:t>
            </w:r>
          </w:p>
        </w:tc>
        <w:tc>
          <w:tcPr>
            <w:tcW w:w="7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35D8DB0B"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0FFC0D76"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5CC51356"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0F83A1C3"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47E16F4F"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2E780FC1"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center"/>
            <w:hideMark/>
          </w:tcPr>
          <w:p w14:paraId="4F0121B9"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7977A266"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7D9E2E58"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3864D995"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4CCADA54" w14:textId="77777777" w:rsidTr="0086477A">
        <w:trPr>
          <w:trHeight w:val="343"/>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539D23A9"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Development of Surgical/Severe NEC if on BMF</w:t>
            </w:r>
          </w:p>
        </w:tc>
        <w:tc>
          <w:tcPr>
            <w:tcW w:w="46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4E6DE24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66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688EE6D4"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14:paraId="4D3A4AD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center"/>
            <w:hideMark/>
          </w:tcPr>
          <w:p w14:paraId="50556B80"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7809E81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2F1984F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14:paraId="010F8E18"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4A59F268" w14:textId="77777777" w:rsidTr="0086477A">
        <w:trPr>
          <w:trHeight w:val="329"/>
        </w:trPr>
        <w:tc>
          <w:tcPr>
            <w:tcW w:w="27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bottom"/>
            <w:hideMark/>
          </w:tcPr>
          <w:p w14:paraId="1D26976B"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Total cohort, &lt;32 weeks GA</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6C8BAD1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0.23</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457B9D80"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0.06 to 0.98</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32560B0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.05</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29F29324"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0.24</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5A03A65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0.06 to 0.99</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59123944"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.05</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2B2BCCBB"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18.04 - 344.95</w:t>
            </w:r>
          </w:p>
        </w:tc>
      </w:tr>
      <w:tr w:rsidR="0086477A" w:rsidRPr="0086477A" w14:paraId="233AFCEE" w14:textId="77777777" w:rsidTr="0086477A">
        <w:trPr>
          <w:trHeight w:val="174"/>
        </w:trPr>
        <w:tc>
          <w:tcPr>
            <w:tcW w:w="27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77B55CC4"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23 - 25</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03B4B502"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0.16</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4690AD1F"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0.03 to 0.71</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374E5C3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.02</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5434C801"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0.17</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07E9AB47"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0.04 to 0.75</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2A5C7F4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.02</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398AF738"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6.36 - 37.66</w:t>
            </w:r>
          </w:p>
        </w:tc>
      </w:tr>
      <w:tr w:rsidR="0086477A" w:rsidRPr="0086477A" w14:paraId="76169822" w14:textId="77777777" w:rsidTr="0086477A">
        <w:trPr>
          <w:trHeight w:val="174"/>
        </w:trPr>
        <w:tc>
          <w:tcPr>
            <w:tcW w:w="27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29060B48"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26 - 28</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67EB944F"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0.11</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53A57BA8"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0.01 to 1.94</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0E85B78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.13</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3ADE3AD7"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0.12</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7A84158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0.01 to 1.98</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383BE56B"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.14</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6CDD050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345BFBB0" w14:textId="77777777" w:rsidTr="0086477A">
        <w:trPr>
          <w:trHeight w:val="329"/>
        </w:trPr>
        <w:tc>
          <w:tcPr>
            <w:tcW w:w="27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5BD7525A"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29 - 31</w:t>
            </w: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6E7F263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1.4</w:t>
            </w: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1EEA6F9D"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0.07 to 26.76</w:t>
            </w:r>
          </w:p>
        </w:tc>
        <w:tc>
          <w:tcPr>
            <w:tcW w:w="4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22C8AD48"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.82</w:t>
            </w:r>
          </w:p>
        </w:tc>
        <w:tc>
          <w:tcPr>
            <w:tcW w:w="4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center"/>
            <w:hideMark/>
          </w:tcPr>
          <w:p w14:paraId="07AC756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1.4</w:t>
            </w: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7E21C15E"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0.08 to 25.39</w:t>
            </w: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center"/>
            <w:hideMark/>
          </w:tcPr>
          <w:p w14:paraId="70042D21"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.82</w:t>
            </w:r>
          </w:p>
        </w:tc>
        <w:tc>
          <w:tcPr>
            <w:tcW w:w="7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6B44401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6DA6E24C"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47D36B79"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14CEE750"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608CA02F"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0DEA06CA"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center"/>
            <w:hideMark/>
          </w:tcPr>
          <w:p w14:paraId="66133372"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09A981DF"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center"/>
            <w:hideMark/>
          </w:tcPr>
          <w:p w14:paraId="46E7F93D"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center"/>
            <w:hideMark/>
          </w:tcPr>
          <w:p w14:paraId="4C517FF6"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66D37B8E"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364466F6"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All Cause Mortality if on BMF</w:t>
            </w:r>
          </w:p>
        </w:tc>
        <w:tc>
          <w:tcPr>
            <w:tcW w:w="46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792EADD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66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0ECF7C47"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14:paraId="48DF76C0"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center"/>
            <w:hideMark/>
          </w:tcPr>
          <w:p w14:paraId="3FDB7E1D"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6281FA9F"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14:paraId="2F7888AB"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14:paraId="3E1FD8F8"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3F34A1DE" w14:textId="77777777" w:rsidTr="0086477A">
        <w:trPr>
          <w:trHeight w:val="174"/>
        </w:trPr>
        <w:tc>
          <w:tcPr>
            <w:tcW w:w="27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bottom"/>
            <w:hideMark/>
          </w:tcPr>
          <w:p w14:paraId="5A37F224"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Total cohort, &lt;32 weeks GA</w:t>
            </w:r>
          </w:p>
        </w:tc>
        <w:tc>
          <w:tcPr>
            <w:tcW w:w="460" w:type="dxa"/>
            <w:tcBorders>
              <w:top w:val="nil"/>
              <w:left w:val="nil"/>
              <w:bottom w:val="nil"/>
              <w:right w:val="nil"/>
            </w:tcBorders>
            <w:shd w:val="clear" w:color="auto" w:fill="auto"/>
            <w:tcMar>
              <w:top w:w="6" w:type="dxa"/>
              <w:left w:w="6" w:type="dxa"/>
              <w:bottom w:w="0" w:type="dxa"/>
              <w:right w:w="6" w:type="dxa"/>
            </w:tcMar>
            <w:vAlign w:val="center"/>
            <w:hideMark/>
          </w:tcPr>
          <w:p w14:paraId="2F513D13"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0.28</w:t>
            </w:r>
          </w:p>
        </w:tc>
        <w:tc>
          <w:tcPr>
            <w:tcW w:w="660" w:type="dxa"/>
            <w:tcBorders>
              <w:top w:val="nil"/>
              <w:left w:val="nil"/>
              <w:bottom w:val="nil"/>
              <w:right w:val="nil"/>
            </w:tcBorders>
            <w:shd w:val="clear" w:color="auto" w:fill="auto"/>
            <w:tcMar>
              <w:top w:w="6" w:type="dxa"/>
              <w:left w:w="6" w:type="dxa"/>
              <w:bottom w:w="0" w:type="dxa"/>
              <w:right w:w="6" w:type="dxa"/>
            </w:tcMar>
            <w:vAlign w:val="center"/>
            <w:hideMark/>
          </w:tcPr>
          <w:p w14:paraId="5AA0CE41"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0.13 to 0.59</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661570F9"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.009</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14:paraId="5F9BE6BC"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0.31</w:t>
            </w:r>
          </w:p>
        </w:tc>
        <w:tc>
          <w:tcPr>
            <w:tcW w:w="720" w:type="dxa"/>
            <w:tcBorders>
              <w:top w:val="nil"/>
              <w:left w:val="nil"/>
              <w:bottom w:val="nil"/>
              <w:right w:val="nil"/>
            </w:tcBorders>
            <w:shd w:val="clear" w:color="auto" w:fill="auto"/>
            <w:tcMar>
              <w:top w:w="6" w:type="dxa"/>
              <w:left w:w="6" w:type="dxa"/>
              <w:bottom w:w="0" w:type="dxa"/>
              <w:right w:w="6" w:type="dxa"/>
            </w:tcMar>
            <w:vAlign w:val="center"/>
            <w:hideMark/>
          </w:tcPr>
          <w:p w14:paraId="7AEF91CF"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0.15 to 0.63</w:t>
            </w:r>
          </w:p>
        </w:tc>
        <w:tc>
          <w:tcPr>
            <w:tcW w:w="420" w:type="dxa"/>
            <w:tcBorders>
              <w:top w:val="nil"/>
              <w:left w:val="nil"/>
              <w:bottom w:val="nil"/>
              <w:right w:val="nil"/>
            </w:tcBorders>
            <w:shd w:val="clear" w:color="auto" w:fill="auto"/>
            <w:tcMar>
              <w:top w:w="6" w:type="dxa"/>
              <w:left w:w="6" w:type="dxa"/>
              <w:bottom w:w="0" w:type="dxa"/>
              <w:right w:w="6" w:type="dxa"/>
            </w:tcMar>
            <w:vAlign w:val="center"/>
            <w:hideMark/>
          </w:tcPr>
          <w:p w14:paraId="53B9B865"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.001</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14:paraId="16E3E0D2" w14:textId="77777777" w:rsidR="0086477A" w:rsidRPr="0086477A" w:rsidRDefault="0086477A" w:rsidP="0086477A">
            <w:pPr>
              <w:spacing w:after="0" w:line="240" w:lineRule="auto"/>
              <w:jc w:val="center"/>
              <w:textAlignment w:val="center"/>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7.95 - 27.42</w:t>
            </w:r>
          </w:p>
        </w:tc>
      </w:tr>
      <w:tr w:rsidR="0086477A" w:rsidRPr="0086477A" w14:paraId="50DDD688" w14:textId="77777777" w:rsidTr="0086477A">
        <w:trPr>
          <w:trHeight w:val="174"/>
        </w:trPr>
        <w:tc>
          <w:tcPr>
            <w:tcW w:w="27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6132A9B9"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23 - 25</w:t>
            </w:r>
          </w:p>
        </w:tc>
        <w:tc>
          <w:tcPr>
            <w:tcW w:w="460" w:type="dxa"/>
            <w:tcBorders>
              <w:top w:val="nil"/>
              <w:left w:val="nil"/>
              <w:bottom w:val="nil"/>
              <w:right w:val="nil"/>
            </w:tcBorders>
            <w:shd w:val="clear" w:color="auto" w:fill="auto"/>
            <w:tcMar>
              <w:top w:w="6" w:type="dxa"/>
              <w:left w:w="6" w:type="dxa"/>
              <w:bottom w:w="0" w:type="dxa"/>
              <w:right w:w="6" w:type="dxa"/>
            </w:tcMar>
            <w:vAlign w:val="bottom"/>
            <w:hideMark/>
          </w:tcPr>
          <w:p w14:paraId="6FA60382"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0.25</w:t>
            </w:r>
          </w:p>
        </w:tc>
        <w:tc>
          <w:tcPr>
            <w:tcW w:w="660" w:type="dxa"/>
            <w:tcBorders>
              <w:top w:val="nil"/>
              <w:left w:val="nil"/>
              <w:bottom w:val="nil"/>
              <w:right w:val="nil"/>
            </w:tcBorders>
            <w:shd w:val="clear" w:color="auto" w:fill="auto"/>
            <w:tcMar>
              <w:top w:w="6" w:type="dxa"/>
              <w:left w:w="6" w:type="dxa"/>
              <w:bottom w:w="0" w:type="dxa"/>
              <w:right w:w="6" w:type="dxa"/>
            </w:tcMar>
            <w:vAlign w:val="bottom"/>
            <w:hideMark/>
          </w:tcPr>
          <w:p w14:paraId="4EE1823E"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0.10 to 0.61</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bottom"/>
            <w:hideMark/>
          </w:tcPr>
          <w:p w14:paraId="3C4E73A5"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.003</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28B742BB"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w:t>
            </w:r>
          </w:p>
        </w:tc>
        <w:tc>
          <w:tcPr>
            <w:tcW w:w="720" w:type="dxa"/>
            <w:tcBorders>
              <w:top w:val="nil"/>
              <w:left w:val="nil"/>
              <w:bottom w:val="nil"/>
              <w:right w:val="nil"/>
            </w:tcBorders>
            <w:shd w:val="clear" w:color="auto" w:fill="auto"/>
            <w:tcMar>
              <w:top w:w="6" w:type="dxa"/>
              <w:left w:w="6" w:type="dxa"/>
              <w:bottom w:w="0" w:type="dxa"/>
              <w:right w:w="6" w:type="dxa"/>
            </w:tcMar>
            <w:vAlign w:val="bottom"/>
            <w:hideMark/>
          </w:tcPr>
          <w:p w14:paraId="1987C5D8"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0.13 to 0.67</w:t>
            </w:r>
          </w:p>
        </w:tc>
        <w:tc>
          <w:tcPr>
            <w:tcW w:w="420" w:type="dxa"/>
            <w:tcBorders>
              <w:top w:val="nil"/>
              <w:left w:val="nil"/>
              <w:bottom w:val="nil"/>
              <w:right w:val="nil"/>
            </w:tcBorders>
            <w:shd w:val="clear" w:color="auto" w:fill="auto"/>
            <w:tcMar>
              <w:top w:w="6" w:type="dxa"/>
              <w:left w:w="6" w:type="dxa"/>
              <w:bottom w:w="0" w:type="dxa"/>
              <w:right w:w="6" w:type="dxa"/>
            </w:tcMar>
            <w:vAlign w:val="bottom"/>
            <w:hideMark/>
          </w:tcPr>
          <w:p w14:paraId="08BDB502"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.003</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bottom"/>
            <w:hideMark/>
          </w:tcPr>
          <w:p w14:paraId="70D5B06A"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3.91 - 15.65</w:t>
            </w:r>
          </w:p>
        </w:tc>
      </w:tr>
      <w:tr w:rsidR="0086477A" w:rsidRPr="0086477A" w14:paraId="1D836450" w14:textId="77777777" w:rsidTr="0086477A">
        <w:trPr>
          <w:trHeight w:val="174"/>
        </w:trPr>
        <w:tc>
          <w:tcPr>
            <w:tcW w:w="3200" w:type="dxa"/>
            <w:gridSpan w:val="2"/>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697BFB57"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xml:space="preserve">GA 23- 25, mortality </w:t>
            </w:r>
            <w:r w:rsidRPr="0086477A">
              <w:rPr>
                <w:rFonts w:ascii="Times New Roman" w:eastAsia="Times New Roman" w:hAnsi="Times New Roman" w:cs="Times New Roman"/>
                <w:color w:val="000000"/>
                <w:kern w:val="24"/>
                <w:sz w:val="14"/>
                <w:szCs w:val="14"/>
                <w:u w:val="single"/>
                <w:lang w:eastAsia="en-GB"/>
              </w:rPr>
              <w:t>&gt;</w:t>
            </w:r>
            <w:r w:rsidRPr="0086477A">
              <w:rPr>
                <w:rFonts w:ascii="Times New Roman" w:eastAsia="Times New Roman" w:hAnsi="Times New Roman" w:cs="Times New Roman"/>
                <w:color w:val="000000"/>
                <w:kern w:val="24"/>
                <w:sz w:val="14"/>
                <w:szCs w:val="14"/>
                <w:lang w:eastAsia="en-GB"/>
              </w:rPr>
              <w:t>10 days postnatal</w:t>
            </w:r>
          </w:p>
        </w:tc>
        <w:tc>
          <w:tcPr>
            <w:tcW w:w="660" w:type="dxa"/>
            <w:tcBorders>
              <w:top w:val="nil"/>
              <w:left w:val="nil"/>
              <w:bottom w:val="nil"/>
              <w:right w:val="nil"/>
            </w:tcBorders>
            <w:shd w:val="clear" w:color="auto" w:fill="auto"/>
            <w:tcMar>
              <w:top w:w="6" w:type="dxa"/>
              <w:left w:w="6" w:type="dxa"/>
              <w:bottom w:w="0" w:type="dxa"/>
              <w:right w:w="6" w:type="dxa"/>
            </w:tcMar>
            <w:vAlign w:val="bottom"/>
            <w:hideMark/>
          </w:tcPr>
          <w:p w14:paraId="546633F0"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bottom"/>
            <w:hideMark/>
          </w:tcPr>
          <w:p w14:paraId="6FE35746"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7F981781"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nil"/>
              <w:left w:val="nil"/>
              <w:bottom w:val="nil"/>
              <w:right w:val="nil"/>
            </w:tcBorders>
            <w:shd w:val="clear" w:color="auto" w:fill="auto"/>
            <w:tcMar>
              <w:top w:w="6" w:type="dxa"/>
              <w:left w:w="6" w:type="dxa"/>
              <w:bottom w:w="0" w:type="dxa"/>
              <w:right w:w="6" w:type="dxa"/>
            </w:tcMar>
            <w:vAlign w:val="bottom"/>
            <w:hideMark/>
          </w:tcPr>
          <w:p w14:paraId="08CAB278"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tcMar>
              <w:top w:w="6" w:type="dxa"/>
              <w:left w:w="6" w:type="dxa"/>
              <w:bottom w:w="0" w:type="dxa"/>
              <w:right w:w="6" w:type="dxa"/>
            </w:tcMar>
            <w:vAlign w:val="bottom"/>
            <w:hideMark/>
          </w:tcPr>
          <w:p w14:paraId="632D49C8"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bottom"/>
            <w:hideMark/>
          </w:tcPr>
          <w:p w14:paraId="5B747398"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77081C3A" w14:textId="77777777" w:rsidTr="0086477A">
        <w:trPr>
          <w:trHeight w:val="174"/>
        </w:trPr>
        <w:tc>
          <w:tcPr>
            <w:tcW w:w="27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54AC1F96"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26 - 28</w:t>
            </w:r>
          </w:p>
        </w:tc>
        <w:tc>
          <w:tcPr>
            <w:tcW w:w="460" w:type="dxa"/>
            <w:tcBorders>
              <w:top w:val="nil"/>
              <w:left w:val="nil"/>
              <w:bottom w:val="nil"/>
              <w:right w:val="nil"/>
            </w:tcBorders>
            <w:shd w:val="clear" w:color="auto" w:fill="auto"/>
            <w:tcMar>
              <w:top w:w="6" w:type="dxa"/>
              <w:left w:w="6" w:type="dxa"/>
              <w:bottom w:w="0" w:type="dxa"/>
              <w:right w:w="6" w:type="dxa"/>
            </w:tcMar>
            <w:vAlign w:val="bottom"/>
            <w:hideMark/>
          </w:tcPr>
          <w:p w14:paraId="6A44A51E"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0.11</w:t>
            </w:r>
          </w:p>
        </w:tc>
        <w:tc>
          <w:tcPr>
            <w:tcW w:w="660" w:type="dxa"/>
            <w:tcBorders>
              <w:top w:val="nil"/>
              <w:left w:val="nil"/>
              <w:bottom w:val="nil"/>
              <w:right w:val="nil"/>
            </w:tcBorders>
            <w:shd w:val="clear" w:color="auto" w:fill="auto"/>
            <w:tcMar>
              <w:top w:w="6" w:type="dxa"/>
              <w:left w:w="6" w:type="dxa"/>
              <w:bottom w:w="0" w:type="dxa"/>
              <w:right w:w="6" w:type="dxa"/>
            </w:tcMar>
            <w:vAlign w:val="bottom"/>
            <w:hideMark/>
          </w:tcPr>
          <w:p w14:paraId="667F51C1"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0.02 to 0.86</w:t>
            </w:r>
          </w:p>
        </w:tc>
        <w:tc>
          <w:tcPr>
            <w:tcW w:w="420" w:type="dxa"/>
            <w:tcBorders>
              <w:top w:val="nil"/>
              <w:left w:val="nil"/>
              <w:bottom w:val="nil"/>
              <w:right w:val="single" w:sz="4" w:space="0" w:color="000000"/>
            </w:tcBorders>
            <w:shd w:val="clear" w:color="auto" w:fill="auto"/>
            <w:tcMar>
              <w:top w:w="6" w:type="dxa"/>
              <w:left w:w="6" w:type="dxa"/>
              <w:bottom w:w="0" w:type="dxa"/>
              <w:right w:w="6" w:type="dxa"/>
            </w:tcMar>
            <w:vAlign w:val="bottom"/>
            <w:hideMark/>
          </w:tcPr>
          <w:p w14:paraId="3D703B7F"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.04</w:t>
            </w:r>
          </w:p>
        </w:tc>
        <w:tc>
          <w:tcPr>
            <w:tcW w:w="420" w:type="dxa"/>
            <w:tcBorders>
              <w:top w:val="nil"/>
              <w:left w:val="single" w:sz="4" w:space="0" w:color="000000"/>
              <w:bottom w:val="nil"/>
              <w:right w:val="nil"/>
            </w:tcBorders>
            <w:shd w:val="clear" w:color="auto" w:fill="auto"/>
            <w:tcMar>
              <w:top w:w="6" w:type="dxa"/>
              <w:left w:w="6" w:type="dxa"/>
              <w:bottom w:w="0" w:type="dxa"/>
              <w:right w:w="6" w:type="dxa"/>
            </w:tcMar>
            <w:vAlign w:val="bottom"/>
            <w:hideMark/>
          </w:tcPr>
          <w:p w14:paraId="15A73D92"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0.12</w:t>
            </w:r>
          </w:p>
        </w:tc>
        <w:tc>
          <w:tcPr>
            <w:tcW w:w="720" w:type="dxa"/>
            <w:tcBorders>
              <w:top w:val="nil"/>
              <w:left w:val="nil"/>
              <w:bottom w:val="nil"/>
              <w:right w:val="nil"/>
            </w:tcBorders>
            <w:shd w:val="clear" w:color="auto" w:fill="auto"/>
            <w:tcMar>
              <w:top w:w="6" w:type="dxa"/>
              <w:left w:w="6" w:type="dxa"/>
              <w:bottom w:w="0" w:type="dxa"/>
              <w:right w:w="6" w:type="dxa"/>
            </w:tcMar>
            <w:vAlign w:val="bottom"/>
            <w:hideMark/>
          </w:tcPr>
          <w:p w14:paraId="4BF1D9FD"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0.02 to 0.91</w:t>
            </w:r>
          </w:p>
        </w:tc>
        <w:tc>
          <w:tcPr>
            <w:tcW w:w="420" w:type="dxa"/>
            <w:tcBorders>
              <w:top w:val="nil"/>
              <w:left w:val="nil"/>
              <w:bottom w:val="nil"/>
              <w:right w:val="nil"/>
            </w:tcBorders>
            <w:shd w:val="clear" w:color="auto" w:fill="auto"/>
            <w:tcMar>
              <w:top w:w="6" w:type="dxa"/>
              <w:left w:w="6" w:type="dxa"/>
              <w:bottom w:w="0" w:type="dxa"/>
              <w:right w:w="6" w:type="dxa"/>
            </w:tcMar>
            <w:vAlign w:val="bottom"/>
            <w:hideMark/>
          </w:tcPr>
          <w:p w14:paraId="1844917C"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.04</w:t>
            </w:r>
          </w:p>
        </w:tc>
        <w:tc>
          <w:tcPr>
            <w:tcW w:w="720" w:type="dxa"/>
            <w:tcBorders>
              <w:top w:val="nil"/>
              <w:left w:val="nil"/>
              <w:bottom w:val="nil"/>
              <w:right w:val="single" w:sz="4" w:space="0" w:color="000000"/>
            </w:tcBorders>
            <w:shd w:val="clear" w:color="auto" w:fill="auto"/>
            <w:tcMar>
              <w:top w:w="6" w:type="dxa"/>
              <w:left w:w="6" w:type="dxa"/>
              <w:bottom w:w="0" w:type="dxa"/>
              <w:right w:w="6" w:type="dxa"/>
            </w:tcMar>
            <w:vAlign w:val="bottom"/>
            <w:hideMark/>
          </w:tcPr>
          <w:p w14:paraId="198DFBF8"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6.98 - 53.79</w:t>
            </w:r>
          </w:p>
        </w:tc>
      </w:tr>
      <w:tr w:rsidR="0086477A" w:rsidRPr="0086477A" w14:paraId="372FEA78" w14:textId="77777777" w:rsidTr="0086477A">
        <w:trPr>
          <w:trHeight w:val="174"/>
        </w:trPr>
        <w:tc>
          <w:tcPr>
            <w:tcW w:w="27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0D2FD3AF"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GA 29 - 31</w:t>
            </w: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7ED8A8BA"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0.40</w:t>
            </w: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58CDE4B3"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0.02 to 6.79</w:t>
            </w:r>
          </w:p>
        </w:tc>
        <w:tc>
          <w:tcPr>
            <w:tcW w:w="4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6DCB8E0D"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.52</w:t>
            </w:r>
          </w:p>
        </w:tc>
        <w:tc>
          <w:tcPr>
            <w:tcW w:w="4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35157F8F"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0.41</w:t>
            </w: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14CB6E17"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0.02 to 6.63</w:t>
            </w: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5B4B135D"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.53</w:t>
            </w:r>
          </w:p>
        </w:tc>
        <w:tc>
          <w:tcPr>
            <w:tcW w:w="7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6A32BAAA"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5048433A"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4442C7D9"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50F9A9E5"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14F79CC5"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7A45FE97"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6A44DC91"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6ECE8E4D"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053601D5"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03F1048D"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13D7CD60" w14:textId="77777777" w:rsidTr="0086477A">
        <w:trPr>
          <w:trHeight w:val="343"/>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7F47F623"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Development of NEC if BMF introduced on postnatal days 8 - 13</w:t>
            </w:r>
          </w:p>
        </w:tc>
        <w:tc>
          <w:tcPr>
            <w:tcW w:w="46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06BA9667"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66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3F28A04B"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bottom"/>
            <w:hideMark/>
          </w:tcPr>
          <w:p w14:paraId="149A43E7"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bottom"/>
            <w:hideMark/>
          </w:tcPr>
          <w:p w14:paraId="7D2BA28C"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0E07C674"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5B5511B4"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bottom"/>
            <w:hideMark/>
          </w:tcPr>
          <w:p w14:paraId="6994FDC1"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5C61EAD5"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58EEA3CE"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Total cohort, &lt;32 weeks GA</w:t>
            </w: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560EFE0F"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1.74</w:t>
            </w: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183578B1"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0.36 to 8.39</w:t>
            </w:r>
          </w:p>
        </w:tc>
        <w:tc>
          <w:tcPr>
            <w:tcW w:w="4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5663DFB6"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.69</w:t>
            </w:r>
          </w:p>
        </w:tc>
        <w:tc>
          <w:tcPr>
            <w:tcW w:w="4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508A38E9"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1.67</w:t>
            </w: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61B61CC8"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0.40 to 7.05</w:t>
            </w: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227B1234"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.49</w:t>
            </w:r>
          </w:p>
        </w:tc>
        <w:tc>
          <w:tcPr>
            <w:tcW w:w="7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66761DCB"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622B6325"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337AD169"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09C06F6E"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367F90F9"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56E97B45"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562AE599"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46B70F20"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77CC11B8"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6AD0AA8A"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16C5E100" w14:textId="77777777" w:rsidTr="0086477A">
        <w:trPr>
          <w:trHeight w:val="343"/>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35877BC0"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All cause mortality if BMF introduced on postnatal days 8 - 13</w:t>
            </w:r>
          </w:p>
        </w:tc>
        <w:tc>
          <w:tcPr>
            <w:tcW w:w="46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29A35183"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66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797AE37B"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bottom"/>
            <w:hideMark/>
          </w:tcPr>
          <w:p w14:paraId="7A75DE2A"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bottom"/>
            <w:hideMark/>
          </w:tcPr>
          <w:p w14:paraId="16D8F476"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1C270872"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207BAC06"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bottom"/>
            <w:hideMark/>
          </w:tcPr>
          <w:p w14:paraId="438314E8"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5B385901"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405572E0"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Total cohort, &lt;32 weeks GA</w:t>
            </w: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2924C5DB"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1.16</w:t>
            </w: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02C72B2B"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0.14 to 9.69</w:t>
            </w:r>
          </w:p>
        </w:tc>
        <w:tc>
          <w:tcPr>
            <w:tcW w:w="4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2DCFC479"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.89</w:t>
            </w:r>
          </w:p>
        </w:tc>
        <w:tc>
          <w:tcPr>
            <w:tcW w:w="4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16B1241D"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1.15</w:t>
            </w: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24C321F6"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0.15 to 8.75</w:t>
            </w: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6CFAA166"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.89</w:t>
            </w:r>
          </w:p>
        </w:tc>
        <w:tc>
          <w:tcPr>
            <w:tcW w:w="7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660EA762" w14:textId="77777777" w:rsidR="0086477A" w:rsidRPr="0086477A" w:rsidRDefault="0086477A" w:rsidP="0086477A">
            <w:pPr>
              <w:spacing w:after="0" w:line="240" w:lineRule="auto"/>
              <w:jc w:val="center"/>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1F9239BF"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1BBB659D"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7F36013D"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66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55DA6CC2"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378B2206"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6FA507F5" w14:textId="77777777" w:rsidR="0086477A" w:rsidRPr="0086477A" w:rsidRDefault="0086477A" w:rsidP="0086477A">
            <w:pPr>
              <w:spacing w:after="0" w:line="240" w:lineRule="auto"/>
              <w:rPr>
                <w:rFonts w:ascii="Arial" w:eastAsia="Times New Roman" w:hAnsi="Arial" w:cs="Arial"/>
                <w:sz w:val="36"/>
                <w:szCs w:val="36"/>
                <w:lang w:eastAsia="en-GB"/>
              </w:rPr>
            </w:pPr>
          </w:p>
        </w:tc>
        <w:tc>
          <w:tcPr>
            <w:tcW w:w="7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292F42A8"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420" w:type="dxa"/>
            <w:tcBorders>
              <w:top w:val="single" w:sz="4" w:space="0" w:color="000000"/>
              <w:left w:val="nil"/>
              <w:bottom w:val="single" w:sz="4" w:space="0" w:color="000000"/>
              <w:right w:val="nil"/>
            </w:tcBorders>
            <w:shd w:val="clear" w:color="auto" w:fill="auto"/>
            <w:tcMar>
              <w:top w:w="6" w:type="dxa"/>
              <w:left w:w="6" w:type="dxa"/>
              <w:bottom w:w="0" w:type="dxa"/>
              <w:right w:w="6" w:type="dxa"/>
            </w:tcMar>
            <w:vAlign w:val="bottom"/>
            <w:hideMark/>
          </w:tcPr>
          <w:p w14:paraId="151CFC3A" w14:textId="77777777" w:rsidR="0086477A" w:rsidRPr="0086477A" w:rsidRDefault="0086477A" w:rsidP="0086477A">
            <w:pPr>
              <w:spacing w:after="0" w:line="240" w:lineRule="auto"/>
              <w:rPr>
                <w:rFonts w:ascii="Times New Roman" w:eastAsia="Times New Roman" w:hAnsi="Times New Roman" w:cs="Times New Roman"/>
                <w:sz w:val="20"/>
                <w:szCs w:val="20"/>
                <w:lang w:eastAsia="en-GB"/>
              </w:rPr>
            </w:pPr>
          </w:p>
        </w:tc>
        <w:tc>
          <w:tcPr>
            <w:tcW w:w="720" w:type="dxa"/>
            <w:tcBorders>
              <w:top w:val="single" w:sz="4" w:space="0" w:color="000000"/>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140504B4"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5CCC9B18" w14:textId="77777777" w:rsidTr="0086477A">
        <w:trPr>
          <w:trHeight w:val="343"/>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47BE0B62"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b/>
                <w:bCs/>
                <w:color w:val="000000"/>
                <w:kern w:val="24"/>
                <w:sz w:val="14"/>
                <w:szCs w:val="14"/>
                <w:lang w:eastAsia="en-GB"/>
              </w:rPr>
              <w:t>Breastfeeding rates on live-discharges if on BMF</w:t>
            </w:r>
          </w:p>
        </w:tc>
        <w:tc>
          <w:tcPr>
            <w:tcW w:w="46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60C794E1"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66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63A75341"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bottom"/>
            <w:hideMark/>
          </w:tcPr>
          <w:p w14:paraId="2531C473"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bottom"/>
            <w:hideMark/>
          </w:tcPr>
          <w:p w14:paraId="014A2F78"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160BD135"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420" w:type="dxa"/>
            <w:tcBorders>
              <w:top w:val="single" w:sz="4" w:space="0" w:color="000000"/>
              <w:left w:val="nil"/>
              <w:bottom w:val="nil"/>
              <w:right w:val="nil"/>
            </w:tcBorders>
            <w:shd w:val="clear" w:color="auto" w:fill="auto"/>
            <w:tcMar>
              <w:top w:w="6" w:type="dxa"/>
              <w:left w:w="6" w:type="dxa"/>
              <w:bottom w:w="0" w:type="dxa"/>
              <w:right w:w="6" w:type="dxa"/>
            </w:tcMar>
            <w:vAlign w:val="bottom"/>
            <w:hideMark/>
          </w:tcPr>
          <w:p w14:paraId="5E65A416"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c>
          <w:tcPr>
            <w:tcW w:w="720"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bottom"/>
            <w:hideMark/>
          </w:tcPr>
          <w:p w14:paraId="7C54D06B"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 </w:t>
            </w:r>
          </w:p>
        </w:tc>
      </w:tr>
      <w:tr w:rsidR="0086477A" w:rsidRPr="0086477A" w14:paraId="5747FA4A" w14:textId="77777777" w:rsidTr="0086477A">
        <w:trPr>
          <w:trHeight w:val="174"/>
        </w:trPr>
        <w:tc>
          <w:tcPr>
            <w:tcW w:w="2720" w:type="dxa"/>
            <w:tcBorders>
              <w:top w:val="single" w:sz="4" w:space="0" w:color="000000"/>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3066DC3C"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Total cohort, &lt;32 weeks GA</w:t>
            </w:r>
          </w:p>
        </w:tc>
        <w:tc>
          <w:tcPr>
            <w:tcW w:w="4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751BAE94" w14:textId="77777777" w:rsidR="0086477A" w:rsidRPr="0086477A" w:rsidRDefault="0086477A" w:rsidP="0086477A">
            <w:pPr>
              <w:spacing w:after="0" w:line="240" w:lineRule="auto"/>
              <w:jc w:val="right"/>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0.56</w:t>
            </w:r>
          </w:p>
        </w:tc>
        <w:tc>
          <w:tcPr>
            <w:tcW w:w="66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42055A3A"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0.41 to 0.77</w:t>
            </w:r>
          </w:p>
        </w:tc>
        <w:tc>
          <w:tcPr>
            <w:tcW w:w="4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626343A7"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.003</w:t>
            </w:r>
          </w:p>
        </w:tc>
        <w:tc>
          <w:tcPr>
            <w:tcW w:w="42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14:paraId="15273CAE" w14:textId="77777777" w:rsidR="0086477A" w:rsidRPr="0086477A" w:rsidRDefault="0086477A" w:rsidP="0086477A">
            <w:pPr>
              <w:spacing w:after="0" w:line="240" w:lineRule="auto"/>
              <w:jc w:val="right"/>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0.8</w:t>
            </w:r>
          </w:p>
        </w:tc>
        <w:tc>
          <w:tcPr>
            <w:tcW w:w="7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1D4F9EFA"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0.70 to 0.92</w:t>
            </w:r>
          </w:p>
        </w:tc>
        <w:tc>
          <w:tcPr>
            <w:tcW w:w="420"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14:paraId="1292A667"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.001</w:t>
            </w:r>
          </w:p>
        </w:tc>
        <w:tc>
          <w:tcPr>
            <w:tcW w:w="720"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14:paraId="1F067F22" w14:textId="77777777" w:rsidR="0086477A" w:rsidRPr="0086477A" w:rsidRDefault="0086477A" w:rsidP="0086477A">
            <w:pPr>
              <w:spacing w:after="0" w:line="240" w:lineRule="auto"/>
              <w:textAlignment w:val="bottom"/>
              <w:rPr>
                <w:rFonts w:ascii="Arial" w:eastAsia="Times New Roman" w:hAnsi="Arial" w:cs="Arial"/>
                <w:sz w:val="36"/>
                <w:szCs w:val="36"/>
                <w:lang w:eastAsia="en-GB"/>
              </w:rPr>
            </w:pPr>
            <w:r w:rsidRPr="0086477A">
              <w:rPr>
                <w:rFonts w:ascii="Times New Roman" w:eastAsia="Times New Roman" w:hAnsi="Times New Roman" w:cs="Times New Roman"/>
                <w:color w:val="000000"/>
                <w:kern w:val="24"/>
                <w:sz w:val="14"/>
                <w:szCs w:val="14"/>
                <w:lang w:eastAsia="en-GB"/>
              </w:rPr>
              <w:t>4.81 - 15.97</w:t>
            </w:r>
          </w:p>
        </w:tc>
      </w:tr>
    </w:tbl>
    <w:p w14:paraId="1960AECC" w14:textId="77777777" w:rsidR="006D4B91" w:rsidRDefault="006D4B91" w:rsidP="006D4B91">
      <w:pPr>
        <w:pStyle w:val="NoSpacing"/>
        <w:rPr>
          <w:rFonts w:asciiTheme="majorBidi" w:hAnsiTheme="majorBidi" w:cstheme="majorBidi"/>
          <w:b/>
          <w:bCs/>
          <w:sz w:val="24"/>
          <w:szCs w:val="24"/>
        </w:rPr>
      </w:pPr>
    </w:p>
    <w:p w14:paraId="07E1FF5D" w14:textId="77777777" w:rsidR="006D4B91" w:rsidRDefault="006D4B91" w:rsidP="006D4B91">
      <w:pPr>
        <w:pStyle w:val="NoSpacing"/>
        <w:rPr>
          <w:rFonts w:asciiTheme="majorBidi" w:hAnsiTheme="majorBidi" w:cstheme="majorBidi"/>
          <w:b/>
          <w:bCs/>
          <w:sz w:val="24"/>
          <w:szCs w:val="24"/>
        </w:rPr>
      </w:pPr>
    </w:p>
    <w:p w14:paraId="33A36E70" w14:textId="77777777" w:rsidR="003A0DB9" w:rsidRDefault="003A0DB9">
      <w:pPr>
        <w:rPr>
          <w:rFonts w:asciiTheme="majorBidi" w:hAnsiTheme="majorBidi" w:cstheme="majorBidi"/>
          <w:sz w:val="24"/>
          <w:szCs w:val="24"/>
        </w:rPr>
      </w:pPr>
      <w:r>
        <w:rPr>
          <w:rFonts w:asciiTheme="majorBidi" w:hAnsiTheme="majorBidi" w:cstheme="majorBidi"/>
          <w:sz w:val="24"/>
          <w:szCs w:val="24"/>
        </w:rPr>
        <w:br w:type="page"/>
      </w:r>
    </w:p>
    <w:p w14:paraId="7285614F" w14:textId="6A4D0D26" w:rsidR="003A0DB9" w:rsidRPr="003A0DB9" w:rsidRDefault="003A0DB9" w:rsidP="003A0DB9">
      <w:pPr>
        <w:pStyle w:val="NoSpacing"/>
        <w:rPr>
          <w:rFonts w:asciiTheme="majorBidi" w:hAnsiTheme="majorBidi" w:cstheme="majorBidi"/>
          <w:b/>
          <w:bCs/>
          <w:sz w:val="24"/>
          <w:szCs w:val="24"/>
          <w:u w:val="single"/>
        </w:rPr>
      </w:pPr>
      <w:r w:rsidRPr="003A0DB9">
        <w:rPr>
          <w:rFonts w:asciiTheme="majorBidi" w:hAnsiTheme="majorBidi" w:cstheme="majorBidi"/>
          <w:b/>
          <w:bCs/>
          <w:sz w:val="24"/>
          <w:szCs w:val="24"/>
          <w:u w:val="single"/>
        </w:rPr>
        <w:lastRenderedPageBreak/>
        <w:t xml:space="preserve">NEC Mortality </w:t>
      </w:r>
    </w:p>
    <w:p w14:paraId="28FE62D7" w14:textId="77777777" w:rsidR="003A0DB9" w:rsidRPr="003A0DB9" w:rsidRDefault="003A0DB9" w:rsidP="003A0DB9">
      <w:pPr>
        <w:pStyle w:val="NoSpacing"/>
        <w:rPr>
          <w:rFonts w:asciiTheme="majorBidi" w:hAnsiTheme="majorBidi" w:cstheme="majorBidi"/>
          <w:b/>
          <w:bCs/>
          <w:sz w:val="24"/>
          <w:szCs w:val="24"/>
        </w:rPr>
      </w:pPr>
    </w:p>
    <w:p w14:paraId="7246BB91" w14:textId="4C65A55B" w:rsidR="006D4B91" w:rsidRDefault="003A0DB9" w:rsidP="003A0DB9">
      <w:pPr>
        <w:pStyle w:val="NoSpacing"/>
        <w:rPr>
          <w:rFonts w:asciiTheme="majorBidi" w:hAnsiTheme="majorBidi" w:cstheme="majorBidi"/>
          <w:b/>
          <w:bCs/>
          <w:sz w:val="24"/>
          <w:szCs w:val="24"/>
        </w:rPr>
      </w:pPr>
      <w:r>
        <w:rPr>
          <w:rFonts w:asciiTheme="majorBidi" w:hAnsiTheme="majorBidi" w:cstheme="majorBidi"/>
          <w:sz w:val="24"/>
          <w:szCs w:val="24"/>
        </w:rPr>
        <w:t>NEC rates and mortality rates of infants who developed NEC are described in Supplementary Figure 1. Developing surgical/severe NEC had a mortality rate of 56.7%.</w:t>
      </w:r>
    </w:p>
    <w:p w14:paraId="10A1D7CD" w14:textId="77777777" w:rsidR="006D4B91" w:rsidRDefault="006D4B91" w:rsidP="006D4B91">
      <w:pPr>
        <w:pStyle w:val="NoSpacing"/>
        <w:rPr>
          <w:rFonts w:asciiTheme="majorBidi" w:hAnsiTheme="majorBidi" w:cstheme="majorBidi"/>
          <w:b/>
          <w:bCs/>
          <w:sz w:val="24"/>
          <w:szCs w:val="24"/>
        </w:rPr>
      </w:pPr>
    </w:p>
    <w:p w14:paraId="5E0ADC71" w14:textId="77777777" w:rsidR="006D4B91" w:rsidRDefault="006D4B91" w:rsidP="006D4B91">
      <w:pPr>
        <w:pStyle w:val="NoSpacing"/>
        <w:rPr>
          <w:rFonts w:asciiTheme="majorBidi" w:hAnsiTheme="majorBidi" w:cstheme="majorBidi"/>
          <w:b/>
          <w:bCs/>
          <w:sz w:val="24"/>
          <w:szCs w:val="24"/>
        </w:rPr>
      </w:pPr>
    </w:p>
    <w:p w14:paraId="57774A6B" w14:textId="2BE07C3C" w:rsidR="006D4B91" w:rsidRPr="006D4B91" w:rsidRDefault="006D4B91" w:rsidP="006D4B91">
      <w:pPr>
        <w:pStyle w:val="NoSpacing"/>
        <w:rPr>
          <w:rFonts w:asciiTheme="majorBidi" w:hAnsiTheme="majorBidi" w:cstheme="majorBidi"/>
          <w:b/>
          <w:bCs/>
          <w:sz w:val="24"/>
          <w:szCs w:val="24"/>
        </w:rPr>
      </w:pPr>
      <w:r>
        <w:rPr>
          <w:rFonts w:asciiTheme="majorBidi" w:hAnsiTheme="majorBidi" w:cstheme="majorBidi"/>
          <w:b/>
          <w:bCs/>
          <w:sz w:val="24"/>
          <w:szCs w:val="24"/>
        </w:rPr>
        <w:t>Supplementary Figure 1:</w:t>
      </w:r>
      <w:r w:rsidRPr="006D4B91">
        <w:rPr>
          <w:rFonts w:asciiTheme="majorBidi" w:hAnsiTheme="majorBidi" w:cstheme="majorBidi"/>
          <w:b/>
          <w:bCs/>
          <w:sz w:val="24"/>
          <w:szCs w:val="24"/>
        </w:rPr>
        <w:t xml:space="preserve"> </w:t>
      </w:r>
      <w:r w:rsidRPr="006D4B91">
        <w:rPr>
          <w:rFonts w:asciiTheme="majorBidi" w:hAnsiTheme="majorBidi" w:cstheme="majorBidi"/>
          <w:sz w:val="24"/>
          <w:szCs w:val="24"/>
        </w:rPr>
        <w:t>NEC- related mortality at St George’s University Hospital neonatal unit from 2010 – 2020 in preterm infants &lt;32 weeks’ GA.</w:t>
      </w:r>
    </w:p>
    <w:p w14:paraId="1BFD5736" w14:textId="5E0B0062" w:rsidR="006D4B91" w:rsidRDefault="003A0DB9" w:rsidP="00F0067E">
      <w:pPr>
        <w:pStyle w:val="NoSpacing"/>
        <w:rPr>
          <w:rFonts w:asciiTheme="majorBidi" w:hAnsiTheme="majorBidi" w:cstheme="majorBidi"/>
          <w:b/>
          <w:bCs/>
          <w:sz w:val="24"/>
          <w:szCs w:val="24"/>
        </w:rPr>
      </w:pPr>
      <w:r>
        <w:rPr>
          <w:noProof/>
        </w:rPr>
        <w:drawing>
          <wp:inline distT="0" distB="0" distL="0" distR="0" wp14:anchorId="671A9A39" wp14:editId="45A7849C">
            <wp:extent cx="5731510" cy="3223895"/>
            <wp:effectExtent l="0" t="0" r="254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5731510" cy="3223895"/>
                    </a:xfrm>
                    <a:prstGeom prst="rect">
                      <a:avLst/>
                    </a:prstGeom>
                  </pic:spPr>
                </pic:pic>
              </a:graphicData>
            </a:graphic>
          </wp:inline>
        </w:drawing>
      </w:r>
    </w:p>
    <w:p w14:paraId="5615979B" w14:textId="15660148" w:rsidR="00F0067E" w:rsidRDefault="00F0067E" w:rsidP="00F0067E">
      <w:pPr>
        <w:pStyle w:val="NoSpacing"/>
        <w:rPr>
          <w:rFonts w:asciiTheme="majorBidi" w:hAnsiTheme="majorBidi" w:cstheme="majorBidi"/>
          <w:b/>
          <w:bCs/>
          <w:sz w:val="24"/>
          <w:szCs w:val="24"/>
        </w:rPr>
      </w:pPr>
    </w:p>
    <w:p w14:paraId="054BF72F" w14:textId="628B8489" w:rsidR="00F0067E" w:rsidRDefault="00F0067E" w:rsidP="00F0067E">
      <w:pPr>
        <w:pStyle w:val="NoSpacing"/>
        <w:rPr>
          <w:rFonts w:asciiTheme="majorBidi" w:hAnsiTheme="majorBidi" w:cstheme="majorBidi"/>
          <w:b/>
          <w:bCs/>
          <w:sz w:val="24"/>
          <w:szCs w:val="24"/>
        </w:rPr>
      </w:pPr>
    </w:p>
    <w:p w14:paraId="61A5E959" w14:textId="34F5F252" w:rsidR="006D4B91" w:rsidRDefault="006D4B91" w:rsidP="00F0067E">
      <w:pPr>
        <w:pStyle w:val="NoSpacing"/>
        <w:rPr>
          <w:rFonts w:asciiTheme="majorBidi" w:hAnsiTheme="majorBidi" w:cstheme="majorBidi"/>
          <w:b/>
          <w:bCs/>
          <w:sz w:val="24"/>
          <w:szCs w:val="24"/>
        </w:rPr>
      </w:pPr>
    </w:p>
    <w:p w14:paraId="33DBC61C" w14:textId="53118700" w:rsidR="003A0DB9" w:rsidRPr="003A0DB9" w:rsidRDefault="003A0DB9" w:rsidP="003A0DB9">
      <w:pPr>
        <w:rPr>
          <w:rFonts w:asciiTheme="majorBidi" w:hAnsiTheme="majorBidi" w:cstheme="majorBidi"/>
          <w:b/>
          <w:bCs/>
          <w:sz w:val="24"/>
          <w:szCs w:val="24"/>
          <w:u w:val="single"/>
        </w:rPr>
      </w:pPr>
      <w:r w:rsidRPr="003A0DB9">
        <w:rPr>
          <w:rFonts w:asciiTheme="majorBidi" w:hAnsiTheme="majorBidi" w:cstheme="majorBidi"/>
          <w:b/>
          <w:bCs/>
          <w:sz w:val="24"/>
          <w:szCs w:val="24"/>
          <w:u w:val="single"/>
        </w:rPr>
        <w:t>Breastfeeding</w:t>
      </w:r>
    </w:p>
    <w:p w14:paraId="31646350" w14:textId="49E6BC8A" w:rsidR="003A0DB9" w:rsidRPr="003A0DB9" w:rsidRDefault="003A0DB9" w:rsidP="003A0DB9">
      <w:pPr>
        <w:rPr>
          <w:rFonts w:asciiTheme="majorBidi" w:hAnsiTheme="majorBidi" w:cstheme="majorBidi"/>
          <w:sz w:val="24"/>
          <w:szCs w:val="24"/>
        </w:rPr>
      </w:pPr>
      <w:r>
        <w:rPr>
          <w:rFonts w:asciiTheme="majorBidi" w:hAnsiTheme="majorBidi" w:cstheme="majorBidi"/>
          <w:sz w:val="24"/>
          <w:szCs w:val="24"/>
        </w:rPr>
        <w:t>Breastfeeding rates of preterm infants &lt;32 weeks’ GA on discharge across the audit timeframe are shown in Supplementary Figure 2) for infants who receive any breastmilk (Fig S2a) and infants who are exclusively breastfed (Fig S2b). Contrasting with the significant use of BMF over time from 2010 – 2020, rates of breastfeeding on discharge remained stable.</w:t>
      </w:r>
    </w:p>
    <w:p w14:paraId="6526E57C" w14:textId="77777777" w:rsidR="003A0DB9" w:rsidRDefault="003A0DB9" w:rsidP="006D4B91">
      <w:pPr>
        <w:pStyle w:val="NoSpacing"/>
        <w:rPr>
          <w:rFonts w:asciiTheme="majorBidi" w:hAnsiTheme="majorBidi" w:cstheme="majorBidi"/>
          <w:b/>
          <w:bCs/>
          <w:sz w:val="24"/>
          <w:szCs w:val="24"/>
        </w:rPr>
      </w:pPr>
    </w:p>
    <w:p w14:paraId="3FB5011B" w14:textId="7342CFB2" w:rsidR="006D4B91" w:rsidRDefault="006D4B91" w:rsidP="006D4B91">
      <w:pPr>
        <w:pStyle w:val="NoSpacing"/>
        <w:rPr>
          <w:rFonts w:asciiTheme="majorBidi" w:hAnsiTheme="majorBidi" w:cstheme="majorBidi"/>
          <w:b/>
          <w:bCs/>
          <w:sz w:val="24"/>
          <w:szCs w:val="24"/>
        </w:rPr>
      </w:pPr>
      <w:r w:rsidRPr="006D4B91">
        <w:rPr>
          <w:rFonts w:asciiTheme="majorBidi" w:hAnsiTheme="majorBidi" w:cstheme="majorBidi"/>
          <w:b/>
          <w:bCs/>
          <w:sz w:val="24"/>
          <w:szCs w:val="24"/>
        </w:rPr>
        <w:t xml:space="preserve">Supplementary Figure 2: </w:t>
      </w:r>
      <w:r w:rsidRPr="003A0DB9">
        <w:rPr>
          <w:rFonts w:asciiTheme="majorBidi" w:hAnsiTheme="majorBidi" w:cstheme="majorBidi"/>
          <w:sz w:val="24"/>
          <w:szCs w:val="24"/>
        </w:rPr>
        <w:t>Breastfeeding</w:t>
      </w:r>
      <w:r w:rsidRPr="006D4B91">
        <w:rPr>
          <w:rFonts w:asciiTheme="majorBidi" w:hAnsiTheme="majorBidi" w:cstheme="majorBidi"/>
          <w:sz w:val="24"/>
          <w:szCs w:val="24"/>
        </w:rPr>
        <w:t xml:space="preserve"> rates on discharge from the neonatal unit (NICU) of St George’s University Hospital (SGH) from 2010 – 2020. Fig 1a Infants (% admissions) &lt;32 weeks’ GA at birth who receive any breast milk as nutrition on discharge across the 10-year audit timeframe. Fig 1b. Infants (% admissions) &lt;32 week’s GA at birth who are exclusively breastfed on discharge.</w:t>
      </w:r>
    </w:p>
    <w:p w14:paraId="3566DD4B" w14:textId="46444EB4" w:rsidR="006D4B91" w:rsidRDefault="006D4B91" w:rsidP="006D4B91">
      <w:pPr>
        <w:pStyle w:val="NoSpacing"/>
        <w:rPr>
          <w:rFonts w:asciiTheme="majorBidi" w:hAnsiTheme="majorBidi" w:cstheme="majorBidi"/>
          <w:b/>
          <w:bCs/>
          <w:sz w:val="24"/>
          <w:szCs w:val="24"/>
        </w:rPr>
      </w:pPr>
    </w:p>
    <w:p w14:paraId="458C1BAB" w14:textId="2CFA0D7D" w:rsidR="006D4B91" w:rsidRDefault="006D4B91" w:rsidP="006D4B91">
      <w:pPr>
        <w:pStyle w:val="NoSpacing"/>
        <w:rPr>
          <w:rFonts w:asciiTheme="majorBidi" w:hAnsiTheme="majorBidi" w:cstheme="majorBidi"/>
          <w:b/>
          <w:bCs/>
          <w:sz w:val="24"/>
          <w:szCs w:val="24"/>
        </w:rPr>
      </w:pPr>
      <w:r>
        <w:rPr>
          <w:rFonts w:asciiTheme="majorBidi" w:hAnsiTheme="majorBidi" w:cstheme="majorBidi"/>
          <w:b/>
          <w:bCs/>
          <w:noProof/>
          <w:sz w:val="24"/>
          <w:szCs w:val="24"/>
        </w:rPr>
        <w:lastRenderedPageBreak/>
        <w:drawing>
          <wp:inline distT="0" distB="0" distL="0" distR="0" wp14:anchorId="72A2244F" wp14:editId="0FAF67CC">
            <wp:extent cx="6467895" cy="23304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3344" cy="2332413"/>
                    </a:xfrm>
                    <a:prstGeom prst="rect">
                      <a:avLst/>
                    </a:prstGeom>
                    <a:noFill/>
                    <a:ln>
                      <a:noFill/>
                    </a:ln>
                  </pic:spPr>
                </pic:pic>
              </a:graphicData>
            </a:graphic>
          </wp:inline>
        </w:drawing>
      </w:r>
    </w:p>
    <w:sectPr w:rsidR="006D4B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67E"/>
    <w:rsid w:val="00066C93"/>
    <w:rsid w:val="000745AB"/>
    <w:rsid w:val="003A0DB9"/>
    <w:rsid w:val="003B1F3E"/>
    <w:rsid w:val="005057C8"/>
    <w:rsid w:val="00603132"/>
    <w:rsid w:val="006D4B91"/>
    <w:rsid w:val="0086477A"/>
    <w:rsid w:val="00C73B7E"/>
    <w:rsid w:val="00F0067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D8B2E"/>
  <w15:chartTrackingRefBased/>
  <w15:docId w15:val="{7CD8F7A6-EE64-497E-AE82-B52EC2466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06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160714">
      <w:bodyDiv w:val="1"/>
      <w:marLeft w:val="0"/>
      <w:marRight w:val="0"/>
      <w:marTop w:val="0"/>
      <w:marBottom w:val="0"/>
      <w:divBdr>
        <w:top w:val="none" w:sz="0" w:space="0" w:color="auto"/>
        <w:left w:val="none" w:sz="0" w:space="0" w:color="auto"/>
        <w:bottom w:val="none" w:sz="0" w:space="0" w:color="auto"/>
        <w:right w:val="none" w:sz="0" w:space="0" w:color="auto"/>
      </w:divBdr>
    </w:div>
    <w:div w:id="867303627">
      <w:bodyDiv w:val="1"/>
      <w:marLeft w:val="0"/>
      <w:marRight w:val="0"/>
      <w:marTop w:val="0"/>
      <w:marBottom w:val="0"/>
      <w:divBdr>
        <w:top w:val="none" w:sz="0" w:space="0" w:color="auto"/>
        <w:left w:val="none" w:sz="0" w:space="0" w:color="auto"/>
        <w:bottom w:val="none" w:sz="0" w:space="0" w:color="auto"/>
        <w:right w:val="none" w:sz="0" w:space="0" w:color="auto"/>
      </w:divBdr>
    </w:div>
    <w:div w:id="893656350">
      <w:bodyDiv w:val="1"/>
      <w:marLeft w:val="0"/>
      <w:marRight w:val="0"/>
      <w:marTop w:val="0"/>
      <w:marBottom w:val="0"/>
      <w:divBdr>
        <w:top w:val="none" w:sz="0" w:space="0" w:color="auto"/>
        <w:left w:val="none" w:sz="0" w:space="0" w:color="auto"/>
        <w:bottom w:val="none" w:sz="0" w:space="0" w:color="auto"/>
        <w:right w:val="none" w:sz="0" w:space="0" w:color="auto"/>
      </w:divBdr>
    </w:div>
    <w:div w:id="1238321372">
      <w:bodyDiv w:val="1"/>
      <w:marLeft w:val="0"/>
      <w:marRight w:val="0"/>
      <w:marTop w:val="0"/>
      <w:marBottom w:val="0"/>
      <w:divBdr>
        <w:top w:val="none" w:sz="0" w:space="0" w:color="auto"/>
        <w:left w:val="none" w:sz="0" w:space="0" w:color="auto"/>
        <w:bottom w:val="none" w:sz="0" w:space="0" w:color="auto"/>
        <w:right w:val="none" w:sz="0" w:space="0" w:color="auto"/>
      </w:divBdr>
    </w:div>
    <w:div w:id="1812290471">
      <w:bodyDiv w:val="1"/>
      <w:marLeft w:val="0"/>
      <w:marRight w:val="0"/>
      <w:marTop w:val="0"/>
      <w:marBottom w:val="0"/>
      <w:divBdr>
        <w:top w:val="none" w:sz="0" w:space="0" w:color="auto"/>
        <w:left w:val="none" w:sz="0" w:space="0" w:color="auto"/>
        <w:bottom w:val="none" w:sz="0" w:space="0" w:color="auto"/>
        <w:right w:val="none" w:sz="0" w:space="0" w:color="auto"/>
      </w:divBdr>
    </w:div>
    <w:div w:id="183379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sv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578</Words>
  <Characters>3297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Kate (ST GEORGE'S UNIVERSITY HOSPITALS NHS FOUNDATION TRUST)</dc:creator>
  <cp:keywords/>
  <dc:description/>
  <cp:lastModifiedBy>JORDAN, Kate (ST GEORGE'S UNIVERSITY HOSPITALS NHS FOUNDATION TRUST)</cp:lastModifiedBy>
  <cp:revision>4</cp:revision>
  <dcterms:created xsi:type="dcterms:W3CDTF">2022-04-28T10:21:00Z</dcterms:created>
  <dcterms:modified xsi:type="dcterms:W3CDTF">2022-04-28T11:04:00Z</dcterms:modified>
</cp:coreProperties>
</file>