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BCCDE9" w14:textId="77777777" w:rsidR="001422D2" w:rsidRPr="001C2973" w:rsidRDefault="001422D2" w:rsidP="001422D2">
      <w:pPr>
        <w:spacing w:line="360" w:lineRule="auto"/>
        <w:jc w:val="center"/>
        <w:rPr>
          <w:rFonts w:ascii="Times New Roman" w:hAnsi="Times New Roman" w:cs="Times New Roman"/>
          <w:b/>
          <w:sz w:val="28"/>
          <w:szCs w:val="24"/>
          <w:lang w:val="en-GB"/>
        </w:rPr>
      </w:pPr>
      <w:r w:rsidRPr="001C2973">
        <w:rPr>
          <w:rFonts w:ascii="Times New Roman" w:hAnsi="Times New Roman" w:cs="Times New Roman"/>
          <w:b/>
          <w:sz w:val="28"/>
          <w:szCs w:val="24"/>
          <w:lang w:val="en-GB"/>
        </w:rPr>
        <w:t>Supplemental Material</w:t>
      </w:r>
    </w:p>
    <w:p w14:paraId="4F346E1D" w14:textId="77777777" w:rsidR="001422D2" w:rsidRPr="001C2973" w:rsidRDefault="001422D2" w:rsidP="001422D2">
      <w:pPr>
        <w:spacing w:line="360" w:lineRule="auto"/>
        <w:jc w:val="center"/>
        <w:rPr>
          <w:rFonts w:ascii="Times New Roman" w:hAnsi="Times New Roman" w:cs="Times New Roman"/>
          <w:b/>
          <w:sz w:val="28"/>
          <w:szCs w:val="24"/>
          <w:lang w:val="en-GB"/>
        </w:rPr>
      </w:pPr>
    </w:p>
    <w:p w14:paraId="7343D245" w14:textId="4DF9B889" w:rsidR="001422D2" w:rsidRPr="001C2973" w:rsidRDefault="006501D9" w:rsidP="001422D2">
      <w:pPr>
        <w:jc w:val="center"/>
        <w:rPr>
          <w:rFonts w:ascii="Times New Roman" w:hAnsi="Times New Roman" w:cs="Times New Roman"/>
          <w:sz w:val="24"/>
          <w:szCs w:val="24"/>
        </w:rPr>
      </w:pPr>
      <w:r w:rsidRPr="006501D9">
        <w:rPr>
          <w:rFonts w:ascii="Times New Roman" w:hAnsi="Times New Roman" w:cs="Times New Roman"/>
          <w:sz w:val="24"/>
          <w:szCs w:val="24"/>
          <w:lang w:val="en-GB"/>
        </w:rPr>
        <w:t>Differences in County-Level Cardiovascular Disease Mortality Rates due to Damage Caused by Hurricane Matthew and the Moderating Effects of Social Capital: A Natural Experiment</w:t>
      </w:r>
      <w:bookmarkStart w:id="0" w:name="_GoBack"/>
      <w:bookmarkEnd w:id="0"/>
      <w:r w:rsidR="001422D2" w:rsidRPr="001C2973">
        <w:rPr>
          <w:rFonts w:ascii="Times New Roman" w:hAnsi="Times New Roman" w:cs="Times New Roman"/>
          <w:sz w:val="24"/>
          <w:szCs w:val="24"/>
          <w:lang w:val="en-GB"/>
        </w:rPr>
        <w:br/>
      </w:r>
    </w:p>
    <w:p w14:paraId="0BE6A29F" w14:textId="77777777" w:rsidR="001422D2" w:rsidRPr="001C2973" w:rsidRDefault="001422D2" w:rsidP="001422D2">
      <w:pPr>
        <w:jc w:val="center"/>
        <w:rPr>
          <w:rFonts w:ascii="Times New Roman" w:hAnsi="Times New Roman" w:cs="Times New Roman"/>
          <w:sz w:val="24"/>
          <w:szCs w:val="24"/>
        </w:rPr>
      </w:pPr>
    </w:p>
    <w:p w14:paraId="603C2FDF" w14:textId="5685D0AE" w:rsidR="001422D2" w:rsidRPr="00394CBD" w:rsidRDefault="001422D2" w:rsidP="00394CBD">
      <w:pPr>
        <w:spacing w:line="240" w:lineRule="auto"/>
        <w:rPr>
          <w:rFonts w:ascii="Times New Roman" w:hAnsi="Times New Roman" w:cs="Times New Roman"/>
          <w:sz w:val="24"/>
          <w:szCs w:val="24"/>
        </w:rPr>
      </w:pPr>
      <w:r w:rsidRPr="001C2973">
        <w:rPr>
          <w:rFonts w:ascii="Times New Roman" w:hAnsi="Times New Roman" w:cs="Times New Roman"/>
          <w:sz w:val="24"/>
          <w:szCs w:val="24"/>
        </w:rPr>
        <w:t>List of Supplementary Tables and Figures:</w:t>
      </w:r>
    </w:p>
    <w:p w14:paraId="00057993" w14:textId="0D23E927" w:rsidR="001422D2" w:rsidRPr="001C2973" w:rsidRDefault="001422D2" w:rsidP="001422D2">
      <w:pPr>
        <w:widowControl w:val="0"/>
        <w:autoSpaceDE w:val="0"/>
        <w:autoSpaceDN w:val="0"/>
        <w:adjustRightInd w:val="0"/>
        <w:spacing w:after="0" w:line="240" w:lineRule="auto"/>
        <w:rPr>
          <w:rFonts w:ascii="Times New Roman" w:hAnsi="Times New Roman" w:cs="Times New Roman"/>
          <w:sz w:val="24"/>
          <w:szCs w:val="24"/>
        </w:rPr>
      </w:pPr>
      <w:r w:rsidRPr="001C2973">
        <w:rPr>
          <w:rFonts w:ascii="Times New Roman" w:hAnsi="Times New Roman" w:cs="Times New Roman"/>
          <w:b/>
          <w:sz w:val="24"/>
          <w:szCs w:val="24"/>
        </w:rPr>
        <w:t>Supplementary Table S</w:t>
      </w:r>
      <w:r w:rsidR="00394CBD">
        <w:rPr>
          <w:rFonts w:ascii="Times New Roman" w:hAnsi="Times New Roman" w:cs="Times New Roman"/>
          <w:b/>
          <w:sz w:val="24"/>
          <w:szCs w:val="24"/>
        </w:rPr>
        <w:t>1</w:t>
      </w:r>
      <w:r w:rsidRPr="001C2973">
        <w:rPr>
          <w:rFonts w:ascii="Times New Roman" w:hAnsi="Times New Roman" w:cs="Times New Roman"/>
          <w:b/>
          <w:sz w:val="24"/>
          <w:szCs w:val="24"/>
        </w:rPr>
        <w:t xml:space="preserve">. </w:t>
      </w:r>
      <w:r w:rsidRPr="001C2973">
        <w:rPr>
          <w:rFonts w:ascii="Times New Roman" w:hAnsi="Times New Roman" w:cs="Times New Roman"/>
          <w:sz w:val="24"/>
          <w:szCs w:val="24"/>
        </w:rPr>
        <w:t>Spearman's Correlation Coefficients for Social Capital Indicators</w:t>
      </w:r>
    </w:p>
    <w:p w14:paraId="6D159DAB" w14:textId="77777777" w:rsidR="001422D2" w:rsidRPr="001C2973" w:rsidRDefault="001422D2" w:rsidP="001422D2">
      <w:pPr>
        <w:widowControl w:val="0"/>
        <w:autoSpaceDE w:val="0"/>
        <w:autoSpaceDN w:val="0"/>
        <w:adjustRightInd w:val="0"/>
        <w:spacing w:after="0" w:line="240" w:lineRule="auto"/>
        <w:rPr>
          <w:rFonts w:ascii="Times New Roman" w:hAnsi="Times New Roman" w:cs="Times New Roman"/>
          <w:sz w:val="24"/>
          <w:szCs w:val="24"/>
        </w:rPr>
      </w:pPr>
    </w:p>
    <w:p w14:paraId="714E9BD6" w14:textId="77777777" w:rsidR="001422D2" w:rsidRPr="001C2973" w:rsidRDefault="001422D2" w:rsidP="001422D2">
      <w:pPr>
        <w:spacing w:line="240" w:lineRule="auto"/>
        <w:rPr>
          <w:rFonts w:ascii="Times New Roman" w:hAnsi="Times New Roman" w:cs="Times New Roman"/>
          <w:b/>
          <w:sz w:val="24"/>
          <w:szCs w:val="24"/>
          <w:lang w:val="en-GB"/>
        </w:rPr>
      </w:pPr>
      <w:r w:rsidRPr="001C2973">
        <w:rPr>
          <w:rFonts w:ascii="Times New Roman" w:hAnsi="Times New Roman" w:cs="Times New Roman"/>
          <w:b/>
          <w:sz w:val="24"/>
          <w:szCs w:val="24"/>
          <w:lang w:val="en-GB"/>
        </w:rPr>
        <w:t xml:space="preserve">Supplementary Figure S1. </w:t>
      </w:r>
      <w:r w:rsidRPr="001C2973">
        <w:rPr>
          <w:rFonts w:ascii="Times New Roman" w:hAnsi="Times New Roman" w:cs="Times New Roman"/>
          <w:sz w:val="24"/>
          <w:szCs w:val="24"/>
        </w:rPr>
        <w:t xml:space="preserve">Distribution of Informal Civil Society Coefficient </w:t>
      </w:r>
    </w:p>
    <w:p w14:paraId="6FBD4BF6" w14:textId="77777777" w:rsidR="001422D2" w:rsidRPr="001C2973" w:rsidRDefault="001422D2" w:rsidP="001422D2">
      <w:pPr>
        <w:spacing w:after="0" w:line="480" w:lineRule="auto"/>
        <w:ind w:left="720" w:hanging="720"/>
        <w:rPr>
          <w:rFonts w:ascii="Times New Roman" w:hAnsi="Times New Roman" w:cs="Times New Roman"/>
          <w:sz w:val="24"/>
          <w:szCs w:val="24"/>
        </w:rPr>
      </w:pPr>
      <w:r w:rsidRPr="001C2973">
        <w:rPr>
          <w:rFonts w:ascii="Times New Roman" w:hAnsi="Times New Roman" w:cs="Times New Roman"/>
          <w:b/>
          <w:sz w:val="24"/>
          <w:szCs w:val="24"/>
          <w:lang w:val="en-GB"/>
        </w:rPr>
        <w:t xml:space="preserve">Supplementary Figure S2. </w:t>
      </w:r>
      <w:r w:rsidRPr="001C2973">
        <w:rPr>
          <w:rFonts w:ascii="Times New Roman" w:hAnsi="Times New Roman" w:cs="Times New Roman"/>
          <w:sz w:val="24"/>
          <w:szCs w:val="24"/>
        </w:rPr>
        <w:t>Distribution of Confidence in Institutions Coefficient</w:t>
      </w:r>
    </w:p>
    <w:p w14:paraId="4C1819DF" w14:textId="77777777" w:rsidR="001422D2" w:rsidRPr="001C2973" w:rsidRDefault="001422D2" w:rsidP="001422D2">
      <w:pPr>
        <w:widowControl w:val="0"/>
        <w:autoSpaceDE w:val="0"/>
        <w:autoSpaceDN w:val="0"/>
        <w:adjustRightInd w:val="0"/>
        <w:spacing w:after="0" w:line="240" w:lineRule="auto"/>
        <w:ind w:left="359"/>
        <w:rPr>
          <w:rFonts w:ascii="Times New Roman" w:hAnsi="Times New Roman" w:cs="Times New Roman"/>
          <w:sz w:val="24"/>
          <w:szCs w:val="20"/>
        </w:rPr>
      </w:pPr>
    </w:p>
    <w:p w14:paraId="53A56371" w14:textId="77777777" w:rsidR="001422D2" w:rsidRPr="001C2973" w:rsidRDefault="001422D2" w:rsidP="001422D2">
      <w:pPr>
        <w:rPr>
          <w:rFonts w:ascii="Times New Roman" w:hAnsi="Times New Roman" w:cs="Times New Roman"/>
          <w:b/>
          <w:sz w:val="24"/>
          <w:szCs w:val="24"/>
        </w:rPr>
      </w:pPr>
      <w:r w:rsidRPr="001C2973">
        <w:rPr>
          <w:rFonts w:ascii="Times New Roman" w:hAnsi="Times New Roman" w:cs="Times New Roman"/>
          <w:b/>
          <w:sz w:val="24"/>
          <w:szCs w:val="24"/>
        </w:rPr>
        <w:br w:type="page"/>
      </w:r>
    </w:p>
    <w:p w14:paraId="1C114873" w14:textId="5A0C62DA" w:rsidR="001422D2" w:rsidRDefault="003F0BA0" w:rsidP="001422D2">
      <w:pPr>
        <w:rPr>
          <w:rFonts w:ascii="Times New Roman" w:hAnsi="Times New Roman" w:cs="Times New Roman"/>
          <w:b/>
          <w:sz w:val="24"/>
          <w:szCs w:val="24"/>
        </w:rPr>
      </w:pPr>
      <w:r>
        <w:rPr>
          <w:rFonts w:ascii="Times New Roman" w:hAnsi="Times New Roman" w:cs="Times New Roman"/>
          <w:b/>
          <w:sz w:val="24"/>
          <w:szCs w:val="24"/>
        </w:rPr>
        <w:lastRenderedPageBreak/>
        <w:t>Construction of Social Capital Indices</w:t>
      </w:r>
    </w:p>
    <w:p w14:paraId="3A2DCFF4" w14:textId="77777777" w:rsidR="003F0BA0" w:rsidRPr="00B26D4E" w:rsidRDefault="003F0BA0" w:rsidP="003F0BA0">
      <w:pPr>
        <w:spacing w:line="480" w:lineRule="auto"/>
        <w:ind w:firstLine="720"/>
        <w:rPr>
          <w:rFonts w:ascii="Times New Roman" w:hAnsi="Times New Roman" w:cs="Times New Roman"/>
          <w:sz w:val="24"/>
          <w:szCs w:val="24"/>
        </w:rPr>
      </w:pPr>
      <w:r w:rsidRPr="00585F28">
        <w:rPr>
          <w:rFonts w:ascii="Times New Roman" w:hAnsi="Times New Roman" w:cs="Times New Roman"/>
          <w:i/>
          <w:sz w:val="24"/>
          <w:szCs w:val="24"/>
        </w:rPr>
        <w:t>Family unity</w:t>
      </w:r>
      <w:r w:rsidRPr="00B26D4E">
        <w:rPr>
          <w:rFonts w:ascii="Times New Roman" w:hAnsi="Times New Roman" w:cs="Times New Roman"/>
          <w:sz w:val="24"/>
          <w:szCs w:val="24"/>
        </w:rPr>
        <w:t xml:space="preserve">. Family unity is comprised of three indicators. The first two family unity indicators, the percent of unmarried women (15-50) who had a birth in the past 12 months and the share of women ages 35-44 who are currently married (and not separated) are derived from the AFF tables S1301 and B12002 </w:t>
      </w:r>
      <w:r w:rsidRPr="00B26D4E">
        <w:rPr>
          <w:rFonts w:ascii="Times New Roman" w:hAnsi="Times New Roman" w:cs="Times New Roman"/>
          <w:noProof/>
          <w:sz w:val="24"/>
          <w:szCs w:val="24"/>
        </w:rPr>
        <w:t>(U.S. Census Bureau 2018)</w:t>
      </w:r>
      <w:r w:rsidRPr="00B26D4E">
        <w:rPr>
          <w:rFonts w:ascii="Times New Roman" w:hAnsi="Times New Roman" w:cs="Times New Roman"/>
          <w:sz w:val="24"/>
          <w:szCs w:val="24"/>
        </w:rPr>
        <w:t xml:space="preserve">. The third indicator, share of single-parent households (AFF table B09002 </w:t>
      </w:r>
      <w:r w:rsidRPr="00BF7D7C">
        <w:rPr>
          <w:rFonts w:ascii="Times New Roman" w:hAnsi="Times New Roman" w:cs="Times New Roman"/>
          <w:sz w:val="24"/>
          <w:szCs w:val="24"/>
        </w:rPr>
        <w:fldChar w:fldCharType="begin" w:fldLock="1"/>
      </w:r>
      <w:r>
        <w:rPr>
          <w:rFonts w:ascii="Times New Roman" w:hAnsi="Times New Roman" w:cs="Times New Roman"/>
          <w:sz w:val="24"/>
          <w:szCs w:val="24"/>
        </w:rPr>
        <w:instrText>ADDIN paperpile_citation &lt;clusterId&gt;V613C969Y451V164&lt;/clusterId&gt;&lt;metadata&gt;&lt;citation&gt;&lt;id&gt;d3359342-15df-435d-8912-31b41d69eb1b&lt;/id&gt;&lt;/citation&gt;&lt;/metadata&gt;&lt;data&gt;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&lt;/data&gt; \* MERGEFORMAT</w:instrText>
      </w:r>
      <w:r w:rsidRPr="00BF7D7C">
        <w:rPr>
          <w:rFonts w:ascii="Times New Roman" w:hAnsi="Times New Roman" w:cs="Times New Roman"/>
          <w:sz w:val="24"/>
          <w:szCs w:val="24"/>
        </w:rPr>
        <w:fldChar w:fldCharType="separate"/>
      </w:r>
      <w:r>
        <w:rPr>
          <w:rFonts w:ascii="Times New Roman" w:hAnsi="Times New Roman" w:cs="Times New Roman"/>
          <w:noProof/>
          <w:sz w:val="24"/>
          <w:szCs w:val="24"/>
        </w:rPr>
        <w:t>(U.S. Census Bureau, 2018)</w:t>
      </w:r>
      <w:r w:rsidRPr="00BF7D7C">
        <w:rPr>
          <w:rFonts w:ascii="Times New Roman" w:hAnsi="Times New Roman" w:cs="Times New Roman"/>
          <w:sz w:val="24"/>
          <w:szCs w:val="24"/>
        </w:rPr>
        <w:fldChar w:fldCharType="end"/>
      </w:r>
      <w:r w:rsidRPr="00B26D4E">
        <w:rPr>
          <w:rFonts w:ascii="Times New Roman" w:hAnsi="Times New Roman" w:cs="Times New Roman"/>
          <w:sz w:val="24"/>
          <w:szCs w:val="24"/>
        </w:rPr>
        <w:t xml:space="preserve">) was constructed by adding the percentage of male-headed households with children under 18 years (no mother present) and the percentage of female-headed households with children under 18 years (no father present). The result is the total number of single-parent family households. </w:t>
      </w:r>
    </w:p>
    <w:p w14:paraId="0A8FA3A1" w14:textId="77777777" w:rsidR="003F0BA0" w:rsidRPr="00B26D4E" w:rsidRDefault="003F0BA0" w:rsidP="003F0BA0">
      <w:pPr>
        <w:spacing w:line="480" w:lineRule="auto"/>
        <w:ind w:firstLine="720"/>
        <w:rPr>
          <w:rFonts w:ascii="Times New Roman" w:hAnsi="Times New Roman" w:cs="Times New Roman"/>
          <w:sz w:val="24"/>
          <w:szCs w:val="24"/>
        </w:rPr>
      </w:pPr>
      <w:r w:rsidRPr="00585F28">
        <w:rPr>
          <w:rFonts w:ascii="Times New Roman" w:hAnsi="Times New Roman" w:cs="Times New Roman"/>
          <w:i/>
          <w:sz w:val="24"/>
          <w:szCs w:val="24"/>
        </w:rPr>
        <w:t>Informal civil society</w:t>
      </w:r>
      <w:r w:rsidRPr="00BF7D7C">
        <w:rPr>
          <w:rFonts w:ascii="Times New Roman" w:hAnsi="Times New Roman" w:cs="Times New Roman"/>
          <w:sz w:val="24"/>
          <w:szCs w:val="24"/>
        </w:rPr>
        <w:t xml:space="preserve">. </w:t>
      </w:r>
      <w:r w:rsidRPr="00B26D4E">
        <w:rPr>
          <w:rFonts w:ascii="Times New Roman" w:hAnsi="Times New Roman" w:cs="Times New Roman"/>
          <w:sz w:val="24"/>
          <w:szCs w:val="24"/>
        </w:rPr>
        <w:t xml:space="preserve">The informal civil society index was constructed from two indicators: the rate of nonprofits per 10,000 county residents and the rate of religious organizations per 10,000 county residents. Nonprofits and religious organizations were defined using the 2017 North American Industry Classification codes, and the total number of nonprofit or religious organizations in a county was determined using American Fact Finder’s table of Community Business Patterns </w:t>
      </w:r>
      <w:r w:rsidRPr="00BF7D7C">
        <w:rPr>
          <w:rFonts w:ascii="Times New Roman" w:hAnsi="Times New Roman" w:cs="Times New Roman"/>
          <w:sz w:val="24"/>
          <w:szCs w:val="24"/>
        </w:rPr>
        <w:fldChar w:fldCharType="begin" w:fldLock="1"/>
      </w:r>
      <w:r>
        <w:rPr>
          <w:rFonts w:ascii="Times New Roman" w:hAnsi="Times New Roman" w:cs="Times New Roman"/>
          <w:sz w:val="24"/>
          <w:szCs w:val="24"/>
        </w:rPr>
        <w:instrText>ADDIN paperpile_citation &lt;clusterId&gt;M692A659W349T763&lt;/clusterId&gt;&lt;metadata&gt;&lt;citation&gt;&lt;id&gt;d3359342-15df-435d-8912-31b41d69eb1b&lt;/id&gt;&lt;no_author&gt;true&lt;/no_author&gt;&lt;/citation&gt;&lt;/metadata&gt;&lt;data&gt;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&lt;/data&gt; \* MERGEFORMAT</w:instrText>
      </w:r>
      <w:r w:rsidRPr="00BF7D7C">
        <w:rPr>
          <w:rFonts w:ascii="Times New Roman" w:hAnsi="Times New Roman" w:cs="Times New Roman"/>
          <w:sz w:val="24"/>
          <w:szCs w:val="24"/>
        </w:rPr>
        <w:fldChar w:fldCharType="separate"/>
      </w:r>
      <w:r w:rsidRPr="00B26D4E">
        <w:rPr>
          <w:rFonts w:ascii="Times New Roman" w:hAnsi="Times New Roman" w:cs="Times New Roman"/>
          <w:noProof/>
          <w:sz w:val="24"/>
          <w:szCs w:val="24"/>
        </w:rPr>
        <w:t>(2018)</w:t>
      </w:r>
      <w:r w:rsidRPr="00BF7D7C">
        <w:rPr>
          <w:rFonts w:ascii="Times New Roman" w:hAnsi="Times New Roman" w:cs="Times New Roman"/>
          <w:sz w:val="24"/>
          <w:szCs w:val="24"/>
        </w:rPr>
        <w:fldChar w:fldCharType="end"/>
      </w:r>
      <w:r w:rsidRPr="00B26D4E">
        <w:rPr>
          <w:rFonts w:ascii="Times New Roman" w:hAnsi="Times New Roman" w:cs="Times New Roman"/>
          <w:sz w:val="24"/>
          <w:szCs w:val="24"/>
        </w:rPr>
        <w:t xml:space="preserve">. In 2017, non-religious nonprofits had industry codes 8132-8139, and religious organizations were assigned industry code 8131 </w:t>
      </w:r>
      <w:r w:rsidRPr="00BF7D7C">
        <w:rPr>
          <w:rFonts w:ascii="Times New Roman" w:hAnsi="Times New Roman" w:cs="Times New Roman"/>
          <w:sz w:val="24"/>
          <w:szCs w:val="24"/>
        </w:rPr>
        <w:fldChar w:fldCharType="begin" w:fldLock="1"/>
      </w:r>
      <w:r>
        <w:rPr>
          <w:rFonts w:ascii="Times New Roman" w:hAnsi="Times New Roman" w:cs="Times New Roman"/>
          <w:sz w:val="24"/>
          <w:szCs w:val="24"/>
        </w:rPr>
        <w:instrText>ADDIN paperpile_citation &lt;clusterId&gt;K864X942N632R336&lt;/clusterId&gt;&lt;metadata&gt;&lt;citation&gt;&lt;id&gt;76e6d52f-cd48-4a95-a170-7de398db0392&lt;/id&gt;&lt;/citation&gt;&lt;/metadata&gt;&lt;data&gt;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&lt;/data&gt; \* MERGEFORMAT</w:instrText>
      </w:r>
      <w:r w:rsidRPr="00BF7D7C">
        <w:rPr>
          <w:rFonts w:ascii="Times New Roman" w:hAnsi="Times New Roman" w:cs="Times New Roman"/>
          <w:sz w:val="24"/>
          <w:szCs w:val="24"/>
        </w:rPr>
        <w:fldChar w:fldCharType="separate"/>
      </w:r>
      <w:r>
        <w:rPr>
          <w:rFonts w:ascii="Times New Roman" w:hAnsi="Times New Roman" w:cs="Times New Roman"/>
          <w:noProof/>
          <w:sz w:val="24"/>
          <w:szCs w:val="24"/>
        </w:rPr>
        <w:t>(</w:t>
      </w:r>
      <w:r w:rsidRPr="0036505B">
        <w:rPr>
          <w:rFonts w:ascii="Times New Roman" w:hAnsi="Times New Roman" w:cs="Times New Roman"/>
          <w:i/>
          <w:noProof/>
          <w:sz w:val="24"/>
          <w:szCs w:val="24"/>
        </w:rPr>
        <w:t>North American Industry Classification System</w:t>
      </w:r>
      <w:r>
        <w:rPr>
          <w:rFonts w:ascii="Times New Roman" w:hAnsi="Times New Roman" w:cs="Times New Roman"/>
          <w:noProof/>
          <w:sz w:val="24"/>
          <w:szCs w:val="24"/>
        </w:rPr>
        <w:t>, 2017)</w:t>
      </w:r>
      <w:r w:rsidRPr="00BF7D7C">
        <w:rPr>
          <w:rFonts w:ascii="Times New Roman" w:hAnsi="Times New Roman" w:cs="Times New Roman"/>
          <w:sz w:val="24"/>
          <w:szCs w:val="24"/>
        </w:rPr>
        <w:fldChar w:fldCharType="end"/>
      </w:r>
      <w:r w:rsidRPr="00B26D4E">
        <w:rPr>
          <w:rFonts w:ascii="Times New Roman" w:hAnsi="Times New Roman" w:cs="Times New Roman"/>
          <w:sz w:val="24"/>
          <w:szCs w:val="24"/>
        </w:rPr>
        <w:t xml:space="preserve">. For each year, the number of nonprofits and religious organizations in a county were added together. County nonprofit and religious organization totals were divided by the county midyear population. The quotients were then multiplied by 10,000, resulting in a rate of nonprofits or religious organizations per 10,000 county residents. </w:t>
      </w:r>
    </w:p>
    <w:p w14:paraId="4384FEC0" w14:textId="77777777" w:rsidR="003F0BA0" w:rsidRPr="00B26D4E" w:rsidRDefault="003F0BA0" w:rsidP="003F0BA0">
      <w:pPr>
        <w:spacing w:line="480" w:lineRule="auto"/>
        <w:ind w:firstLine="720"/>
        <w:rPr>
          <w:rFonts w:ascii="Times New Roman" w:hAnsi="Times New Roman" w:cs="Times New Roman"/>
          <w:sz w:val="24"/>
          <w:szCs w:val="24"/>
        </w:rPr>
      </w:pPr>
      <w:r w:rsidRPr="00585F28">
        <w:rPr>
          <w:rFonts w:ascii="Times New Roman" w:hAnsi="Times New Roman" w:cs="Times New Roman"/>
          <w:i/>
          <w:sz w:val="24"/>
          <w:szCs w:val="24"/>
        </w:rPr>
        <w:t>Institutional confidence</w:t>
      </w:r>
      <w:r w:rsidRPr="00BF7D7C">
        <w:rPr>
          <w:rFonts w:ascii="Times New Roman" w:hAnsi="Times New Roman" w:cs="Times New Roman"/>
          <w:sz w:val="24"/>
          <w:szCs w:val="24"/>
        </w:rPr>
        <w:t xml:space="preserve">. </w:t>
      </w:r>
      <w:r w:rsidRPr="00B26D4E">
        <w:rPr>
          <w:rFonts w:ascii="Times New Roman" w:hAnsi="Times New Roman" w:cs="Times New Roman"/>
          <w:sz w:val="24"/>
          <w:szCs w:val="24"/>
        </w:rPr>
        <w:t xml:space="preserve"> This sub-index measures commitment to society and trust in institutions </w:t>
      </w:r>
      <w:r w:rsidRPr="00BF7D7C">
        <w:rPr>
          <w:rFonts w:ascii="Times New Roman" w:hAnsi="Times New Roman" w:cs="Times New Roman"/>
          <w:sz w:val="24"/>
          <w:szCs w:val="24"/>
        </w:rPr>
        <w:fldChar w:fldCharType="begin" w:fldLock="1"/>
      </w:r>
      <w:r w:rsidRPr="00B26D4E">
        <w:rPr>
          <w:rFonts w:ascii="Times New Roman" w:hAnsi="Times New Roman" w:cs="Times New Roman"/>
          <w:sz w:val="24"/>
          <w:szCs w:val="24"/>
        </w:rPr>
        <w:instrText>ADDIN paperpile_citation &lt;clusterId&gt;V678J955F316C139&lt;/clusterId&gt;&lt;metadata&gt;&lt;citation&gt;&lt;id&gt;655fbabe-b655-4643-be31-77ef30392ac7&lt;/id&gt;&lt;/citation&gt;&lt;/metadata&gt;&lt;data&gt;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&lt;/data&gt; \* MERGEFORMAT</w:instrText>
      </w:r>
      <w:r w:rsidRPr="00BF7D7C">
        <w:rPr>
          <w:rFonts w:ascii="Times New Roman" w:hAnsi="Times New Roman" w:cs="Times New Roman"/>
          <w:sz w:val="24"/>
          <w:szCs w:val="24"/>
        </w:rPr>
        <w:fldChar w:fldCharType="separate"/>
      </w:r>
      <w:r>
        <w:rPr>
          <w:rFonts w:ascii="Times New Roman" w:hAnsi="Times New Roman" w:cs="Times New Roman"/>
          <w:noProof/>
          <w:sz w:val="24"/>
          <w:szCs w:val="24"/>
        </w:rPr>
        <w:t>(United States Joint Economic Committee 2018)</w:t>
      </w:r>
      <w:r w:rsidRPr="00BF7D7C">
        <w:rPr>
          <w:rFonts w:ascii="Times New Roman" w:hAnsi="Times New Roman" w:cs="Times New Roman"/>
          <w:sz w:val="24"/>
          <w:szCs w:val="24"/>
        </w:rPr>
        <w:fldChar w:fldCharType="end"/>
      </w:r>
      <w:r w:rsidRPr="00B26D4E">
        <w:rPr>
          <w:rFonts w:ascii="Times New Roman" w:hAnsi="Times New Roman" w:cs="Times New Roman"/>
          <w:sz w:val="24"/>
          <w:szCs w:val="24"/>
        </w:rPr>
        <w:t xml:space="preserve">. Institutional confidence was assessed using 2010 census response rates and voter turnout rates from 2012 and 2016. The first </w:t>
      </w:r>
      <w:r w:rsidRPr="00B26D4E">
        <w:rPr>
          <w:rFonts w:ascii="Times New Roman" w:hAnsi="Times New Roman" w:cs="Times New Roman"/>
          <w:sz w:val="24"/>
          <w:szCs w:val="24"/>
        </w:rPr>
        <w:lastRenderedPageBreak/>
        <w:t xml:space="preserve">indicator in the institutional confidence sub-index, 2010 census return rates, are reported by the US Census Bureau’s table “Rates for all possible geographies, including American Indian Areas” and did not require transformation </w:t>
      </w:r>
      <w:r w:rsidRPr="00BF7D7C">
        <w:rPr>
          <w:rFonts w:ascii="Times New Roman" w:hAnsi="Times New Roman" w:cs="Times New Roman"/>
          <w:sz w:val="24"/>
          <w:szCs w:val="24"/>
        </w:rPr>
        <w:fldChar w:fldCharType="begin" w:fldLock="1"/>
      </w:r>
      <w:r w:rsidRPr="00B26D4E">
        <w:rPr>
          <w:rFonts w:ascii="Times New Roman" w:hAnsi="Times New Roman" w:cs="Times New Roman"/>
          <w:sz w:val="24"/>
          <w:szCs w:val="24"/>
        </w:rPr>
        <w:instrText>ADDIN paperpile_citation &lt;clusterId&gt;N343B493X183U594&lt;/clusterId&gt;&lt;metadata&gt;&lt;citation&gt;&lt;id&gt;89040469-08b7-473c-a453-5c80bc87cbb3&lt;/id&gt;&lt;/citation&gt;&lt;/metadata&gt;&lt;data&gt;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&lt;/data&gt; \* MERGEFORMAT</w:instrText>
      </w:r>
      <w:r w:rsidRPr="00BF7D7C">
        <w:rPr>
          <w:rFonts w:ascii="Times New Roman" w:hAnsi="Times New Roman" w:cs="Times New Roman"/>
          <w:sz w:val="24"/>
          <w:szCs w:val="24"/>
        </w:rPr>
        <w:fldChar w:fldCharType="separate"/>
      </w:r>
      <w:r>
        <w:rPr>
          <w:rFonts w:ascii="Times New Roman" w:hAnsi="Times New Roman" w:cs="Times New Roman"/>
          <w:noProof/>
          <w:sz w:val="24"/>
          <w:szCs w:val="24"/>
        </w:rPr>
        <w:t>(US Census Bureau 2020)</w:t>
      </w:r>
      <w:r w:rsidRPr="00BF7D7C">
        <w:rPr>
          <w:rFonts w:ascii="Times New Roman" w:hAnsi="Times New Roman" w:cs="Times New Roman"/>
          <w:sz w:val="24"/>
          <w:szCs w:val="24"/>
        </w:rPr>
        <w:fldChar w:fldCharType="end"/>
      </w:r>
      <w:r w:rsidRPr="00B26D4E">
        <w:rPr>
          <w:rFonts w:ascii="Times New Roman" w:hAnsi="Times New Roman" w:cs="Times New Roman"/>
          <w:sz w:val="24"/>
          <w:szCs w:val="24"/>
        </w:rPr>
        <w:t xml:space="preserve">. Average voter rates in 2012 and 2016 were computed by dividing the number of voters in a county </w:t>
      </w:r>
      <w:r w:rsidRPr="00BF7D7C">
        <w:rPr>
          <w:rFonts w:ascii="Times New Roman" w:hAnsi="Times New Roman" w:cs="Times New Roman"/>
          <w:sz w:val="24"/>
          <w:szCs w:val="24"/>
        </w:rPr>
        <w:fldChar w:fldCharType="begin" w:fldLock="1"/>
      </w:r>
      <w:r>
        <w:rPr>
          <w:rFonts w:ascii="Times New Roman" w:hAnsi="Times New Roman" w:cs="Times New Roman"/>
          <w:sz w:val="24"/>
          <w:szCs w:val="24"/>
        </w:rPr>
        <w:instrText>ADDIN paperpile_citation &lt;clusterId&gt;R851F217U598R322&lt;/clusterId&gt;&lt;metadata&gt;&lt;citation&gt;&lt;id&gt;cc204d2c-f206-4330-86c0-621a529b3071&lt;/id&gt;&lt;/citation&gt;&lt;/metadata&gt;&lt;data&gt;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&lt;/data&gt; \* MERGEFORMAT</w:instrText>
      </w:r>
      <w:r w:rsidRPr="00BF7D7C">
        <w:rPr>
          <w:rFonts w:ascii="Times New Roman" w:hAnsi="Times New Roman" w:cs="Times New Roman"/>
          <w:sz w:val="24"/>
          <w:szCs w:val="24"/>
        </w:rPr>
        <w:fldChar w:fldCharType="separate"/>
      </w:r>
      <w:r>
        <w:rPr>
          <w:rFonts w:ascii="Times New Roman" w:hAnsi="Times New Roman" w:cs="Times New Roman"/>
          <w:noProof/>
          <w:sz w:val="24"/>
          <w:szCs w:val="24"/>
        </w:rPr>
        <w:t>(U.S. Election Assistance Commission, 2019)</w:t>
      </w:r>
      <w:r w:rsidRPr="00BF7D7C">
        <w:rPr>
          <w:rFonts w:ascii="Times New Roman" w:hAnsi="Times New Roman" w:cs="Times New Roman"/>
          <w:sz w:val="24"/>
          <w:szCs w:val="24"/>
        </w:rPr>
        <w:fldChar w:fldCharType="end"/>
      </w:r>
      <w:r w:rsidRPr="00B26D4E">
        <w:rPr>
          <w:rFonts w:ascii="Times New Roman" w:hAnsi="Times New Roman" w:cs="Times New Roman"/>
          <w:sz w:val="24"/>
          <w:szCs w:val="24"/>
        </w:rPr>
        <w:t xml:space="preserve"> by the county midyear population aged 18 years and older (AFF table B05003). This resulted in the rate of county residents age 18 and older participating in the 2012 and 2016 federal elections.</w:t>
      </w:r>
    </w:p>
    <w:p w14:paraId="602DEC7B" w14:textId="77777777" w:rsidR="003F0BA0" w:rsidRDefault="003F0BA0" w:rsidP="003F0BA0">
      <w:pPr>
        <w:spacing w:line="480" w:lineRule="auto"/>
        <w:ind w:firstLine="720"/>
        <w:rPr>
          <w:rFonts w:ascii="Times New Roman" w:hAnsi="Times New Roman" w:cs="Times New Roman"/>
          <w:sz w:val="24"/>
          <w:szCs w:val="24"/>
        </w:rPr>
      </w:pPr>
      <w:r w:rsidRPr="00585F28">
        <w:rPr>
          <w:rFonts w:ascii="Times New Roman" w:hAnsi="Times New Roman" w:cs="Times New Roman"/>
          <w:i/>
          <w:sz w:val="24"/>
          <w:szCs w:val="24"/>
        </w:rPr>
        <w:t>Collective efficacy</w:t>
      </w:r>
      <w:r w:rsidRPr="00D0746A">
        <w:rPr>
          <w:rFonts w:ascii="Times New Roman" w:hAnsi="Times New Roman" w:cs="Times New Roman"/>
          <w:sz w:val="24"/>
          <w:szCs w:val="24"/>
        </w:rPr>
        <w:t xml:space="preserve">. Collective efficacy was calculated using standardized violent crime rates (VCRs). VCRs tend to be a better indicator of crime rates across counties than general crime rates because they are measured and reported more consistently across jurisdictions (United States Joint Economic Committee, 2018). VCRs are calculated using a three-year moving average constructed from the FBI’s UCR data via </w:t>
      </w:r>
      <w:proofErr w:type="spellStart"/>
      <w:r w:rsidRPr="00D0746A">
        <w:rPr>
          <w:rFonts w:ascii="Times New Roman" w:hAnsi="Times New Roman" w:cs="Times New Roman"/>
          <w:sz w:val="24"/>
          <w:szCs w:val="24"/>
        </w:rPr>
        <w:t>SimplyAnalytics</w:t>
      </w:r>
      <w:proofErr w:type="spellEnd"/>
      <w:r w:rsidRPr="00D0746A">
        <w:rPr>
          <w:rFonts w:ascii="Times New Roman" w:hAnsi="Times New Roman" w:cs="Times New Roman"/>
          <w:sz w:val="24"/>
          <w:szCs w:val="24"/>
        </w:rPr>
        <w:t xml:space="preserve"> </w:t>
      </w:r>
      <w:r w:rsidRPr="00D0746A">
        <w:rPr>
          <w:rFonts w:ascii="Times New Roman" w:hAnsi="Times New Roman" w:cs="Times New Roman"/>
          <w:sz w:val="24"/>
          <w:szCs w:val="24"/>
        </w:rPr>
        <w:fldChar w:fldCharType="begin" w:fldLock="1"/>
      </w:r>
      <w:r w:rsidRPr="00D0746A">
        <w:rPr>
          <w:rFonts w:ascii="Times New Roman" w:hAnsi="Times New Roman" w:cs="Times New Roman"/>
          <w:sz w:val="24"/>
          <w:szCs w:val="24"/>
        </w:rPr>
        <w:instrText>ADDIN paperpile_citation &lt;clusterId&gt;L638Y985O376S999&lt;/clusterId&gt;&lt;metadata&gt;&lt;citation&gt;&lt;id&gt;46b0c678-f33b-4ae1-bfa3-2b338f3b1f21&lt;/id&gt;&lt;no_author&gt;true&lt;/no_author&gt;&lt;/citation&gt;&lt;/metadata&gt;&lt;data&gt;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&lt;/data&gt; \* MERGEFORMAT</w:instrText>
      </w:r>
      <w:r w:rsidRPr="00D0746A">
        <w:rPr>
          <w:rFonts w:ascii="Times New Roman" w:hAnsi="Times New Roman" w:cs="Times New Roman"/>
          <w:sz w:val="24"/>
          <w:szCs w:val="24"/>
        </w:rPr>
        <w:fldChar w:fldCharType="separate"/>
      </w:r>
      <w:r w:rsidRPr="00D0746A">
        <w:rPr>
          <w:rFonts w:ascii="Times New Roman" w:hAnsi="Times New Roman" w:cs="Times New Roman"/>
          <w:noProof/>
          <w:sz w:val="24"/>
          <w:szCs w:val="24"/>
        </w:rPr>
        <w:t>(2021)</w:t>
      </w:r>
      <w:r w:rsidRPr="00D0746A">
        <w:rPr>
          <w:rFonts w:ascii="Times New Roman" w:hAnsi="Times New Roman" w:cs="Times New Roman"/>
          <w:sz w:val="24"/>
          <w:szCs w:val="24"/>
        </w:rPr>
        <w:fldChar w:fldCharType="end"/>
      </w:r>
      <w:r w:rsidRPr="00D0746A">
        <w:rPr>
          <w:rFonts w:ascii="Times New Roman" w:hAnsi="Times New Roman" w:cs="Times New Roman"/>
          <w:sz w:val="24"/>
          <w:szCs w:val="24"/>
        </w:rPr>
        <w:t>. For most years, mean county VCRs are calculated using data from several years prior to a given year. For example, 2013 VCRs were calculated using data from 2009-2011. This pattern follows for all years from 2013-2017. However, due to a delayed release, 2016 VCRs are not available. Therefore, for all counties, 2018 VCRs are the same as 2017 VCRs. Standardized VCRs were inverted so that higher scores indicate higher levels of social capital.</w:t>
      </w:r>
    </w:p>
    <w:p w14:paraId="5CD617A1" w14:textId="77777777" w:rsidR="003F0BA0" w:rsidRPr="00777169" w:rsidRDefault="003F0BA0" w:rsidP="003F0BA0">
      <w:pPr>
        <w:spacing w:line="480" w:lineRule="auto"/>
        <w:ind w:firstLine="720"/>
        <w:rPr>
          <w:rFonts w:ascii="Times New Roman" w:hAnsi="Times New Roman" w:cs="Times New Roman"/>
          <w:sz w:val="24"/>
          <w:szCs w:val="24"/>
        </w:rPr>
      </w:pPr>
      <w:r w:rsidRPr="00777169">
        <w:rPr>
          <w:rFonts w:ascii="Times New Roman" w:hAnsi="Times New Roman" w:cs="Times New Roman"/>
          <w:sz w:val="24"/>
          <w:szCs w:val="24"/>
        </w:rPr>
        <w:t>Each sub-index was constructed using the most recently available data</w:t>
      </w:r>
      <w:r>
        <w:rPr>
          <w:rFonts w:ascii="Times New Roman" w:hAnsi="Times New Roman" w:cs="Times New Roman"/>
          <w:sz w:val="24"/>
          <w:szCs w:val="24"/>
        </w:rPr>
        <w:t xml:space="preserve"> (see SM, </w:t>
      </w:r>
      <w:r>
        <w:rPr>
          <w:rFonts w:ascii="Times New Roman" w:hAnsi="Times New Roman" w:cs="Times New Roman"/>
          <w:i/>
          <w:sz w:val="24"/>
          <w:szCs w:val="24"/>
        </w:rPr>
        <w:t>Data availability by sub-index</w:t>
      </w:r>
      <w:r>
        <w:rPr>
          <w:rFonts w:ascii="Times New Roman" w:hAnsi="Times New Roman" w:cs="Times New Roman"/>
          <w:sz w:val="24"/>
          <w:szCs w:val="24"/>
        </w:rPr>
        <w:t>)</w:t>
      </w:r>
      <w:r w:rsidRPr="00777169">
        <w:rPr>
          <w:rFonts w:ascii="Times New Roman" w:hAnsi="Times New Roman" w:cs="Times New Roman"/>
          <w:sz w:val="24"/>
          <w:szCs w:val="24"/>
        </w:rPr>
        <w:t>.</w:t>
      </w:r>
      <w:r>
        <w:rPr>
          <w:rFonts w:ascii="Times New Roman" w:hAnsi="Times New Roman" w:cs="Times New Roman"/>
          <w:sz w:val="24"/>
          <w:szCs w:val="24"/>
        </w:rPr>
        <w:t xml:space="preserve"> In addition to individual sub-indices, we created a full social capital index by standardizing and adding the four sub-measures.</w:t>
      </w:r>
      <w:r w:rsidRPr="00777169">
        <w:rPr>
          <w:rFonts w:ascii="Times New Roman" w:hAnsi="Times New Roman" w:cs="Times New Roman"/>
          <w:sz w:val="24"/>
          <w:szCs w:val="24"/>
        </w:rPr>
        <w:t xml:space="preserve"> Higher scores on </w:t>
      </w:r>
      <w:r>
        <w:rPr>
          <w:rFonts w:ascii="Times New Roman" w:hAnsi="Times New Roman" w:cs="Times New Roman"/>
          <w:sz w:val="24"/>
          <w:szCs w:val="24"/>
        </w:rPr>
        <w:t>each measure</w:t>
      </w:r>
      <w:r w:rsidRPr="00777169">
        <w:rPr>
          <w:rFonts w:ascii="Times New Roman" w:hAnsi="Times New Roman" w:cs="Times New Roman"/>
          <w:sz w:val="24"/>
          <w:szCs w:val="24"/>
        </w:rPr>
        <w:t xml:space="preserve"> reflect higher levels of social capital. </w:t>
      </w:r>
    </w:p>
    <w:p w14:paraId="28391AEA" w14:textId="77777777" w:rsidR="003F0BA0" w:rsidRPr="003F0BA0" w:rsidRDefault="003F0BA0" w:rsidP="001422D2">
      <w:pPr>
        <w:rPr>
          <w:rFonts w:ascii="Times New Roman" w:hAnsi="Times New Roman" w:cs="Times New Roman"/>
          <w:b/>
          <w:sz w:val="24"/>
          <w:szCs w:val="24"/>
        </w:rPr>
      </w:pPr>
    </w:p>
    <w:p w14:paraId="6331F27F" w14:textId="77777777" w:rsidR="003F0BA0" w:rsidRDefault="003F0BA0">
      <w:pPr>
        <w:rPr>
          <w:rFonts w:ascii="Times New Roman" w:hAnsi="Times New Roman" w:cs="Times New Roman"/>
          <w:b/>
          <w:sz w:val="24"/>
          <w:szCs w:val="24"/>
        </w:rPr>
      </w:pPr>
      <w:r>
        <w:rPr>
          <w:rFonts w:ascii="Times New Roman" w:hAnsi="Times New Roman" w:cs="Times New Roman"/>
          <w:b/>
          <w:sz w:val="24"/>
          <w:szCs w:val="24"/>
        </w:rPr>
        <w:br w:type="page"/>
      </w:r>
    </w:p>
    <w:p w14:paraId="5E151CA5" w14:textId="33A1D9EC" w:rsidR="001422D2" w:rsidRPr="001C2973" w:rsidRDefault="001422D2" w:rsidP="001422D2">
      <w:pPr>
        <w:rPr>
          <w:rFonts w:ascii="Times New Roman" w:hAnsi="Times New Roman" w:cs="Times New Roman"/>
          <w:b/>
          <w:sz w:val="24"/>
          <w:szCs w:val="24"/>
        </w:rPr>
      </w:pPr>
      <w:r w:rsidRPr="001C2973">
        <w:rPr>
          <w:rFonts w:ascii="Times New Roman" w:hAnsi="Times New Roman" w:cs="Times New Roman"/>
          <w:b/>
          <w:sz w:val="24"/>
          <w:szCs w:val="24"/>
        </w:rPr>
        <w:lastRenderedPageBreak/>
        <w:t>Data availability by sub-index</w:t>
      </w:r>
    </w:p>
    <w:p w14:paraId="6AF8E0F9" w14:textId="77777777" w:rsidR="001422D2" w:rsidRPr="001C2973" w:rsidRDefault="001422D2" w:rsidP="001422D2">
      <w:pPr>
        <w:spacing w:line="480" w:lineRule="auto"/>
        <w:ind w:firstLine="720"/>
        <w:rPr>
          <w:rFonts w:ascii="Times New Roman" w:hAnsi="Times New Roman" w:cs="Times New Roman"/>
          <w:sz w:val="24"/>
          <w:szCs w:val="24"/>
        </w:rPr>
      </w:pPr>
      <w:r w:rsidRPr="001C2973">
        <w:rPr>
          <w:rFonts w:ascii="Times New Roman" w:hAnsi="Times New Roman" w:cs="Times New Roman"/>
          <w:sz w:val="24"/>
          <w:szCs w:val="24"/>
        </w:rPr>
        <w:t xml:space="preserve">Each sub-index was constructed using the most recently available data. However, not all social capital data are from the same time. The family unity and informal civil society indicators are all available on a yearly basis. Thus, values for these indicators are the same for each month in every calendar year. The institutional confidence indicators do not change over time, so each indicator takes on a single value over the entire course of the study. The collective efficacy indicator is released semi-regularly, so collective efficacy values take on the most recent value and are assigned for each month in the given calendar year (see SM, </w:t>
      </w:r>
      <w:r w:rsidRPr="00585F28">
        <w:rPr>
          <w:rFonts w:ascii="Times New Roman" w:hAnsi="Times New Roman" w:cs="Times New Roman"/>
          <w:i/>
          <w:sz w:val="24"/>
          <w:szCs w:val="24"/>
        </w:rPr>
        <w:t>Construction of social capital indices</w:t>
      </w:r>
      <w:r w:rsidRPr="001C2973">
        <w:rPr>
          <w:rFonts w:ascii="Times New Roman" w:hAnsi="Times New Roman" w:cs="Times New Roman"/>
          <w:sz w:val="24"/>
          <w:szCs w:val="24"/>
        </w:rPr>
        <w:t xml:space="preserve">). This data collection and integration process reflects the methods established by the JEC in their Social Capital Project (JEC 2018). Following these steps will ensure that the data used for this project is similar to the data gathered for the original iteration of the Social Capital Project. </w:t>
      </w:r>
    </w:p>
    <w:p w14:paraId="68DB9409" w14:textId="77777777" w:rsidR="001422D2" w:rsidRPr="001C2973" w:rsidRDefault="001422D2" w:rsidP="001422D2">
      <w:pPr>
        <w:rPr>
          <w:rFonts w:ascii="Times New Roman" w:hAnsi="Times New Roman" w:cs="Times New Roman"/>
          <w:b/>
          <w:sz w:val="24"/>
          <w:szCs w:val="24"/>
        </w:rPr>
      </w:pPr>
      <w:r w:rsidRPr="001C2973">
        <w:rPr>
          <w:rFonts w:ascii="Times New Roman" w:hAnsi="Times New Roman" w:cs="Times New Roman"/>
          <w:b/>
          <w:sz w:val="24"/>
          <w:szCs w:val="24"/>
        </w:rPr>
        <w:br w:type="page"/>
      </w:r>
    </w:p>
    <w:p w14:paraId="02D10EC5" w14:textId="77777777" w:rsidR="001422D2" w:rsidRPr="001C2973" w:rsidRDefault="001422D2" w:rsidP="001422D2">
      <w:pPr>
        <w:widowControl w:val="0"/>
        <w:autoSpaceDE w:val="0"/>
        <w:autoSpaceDN w:val="0"/>
        <w:adjustRightInd w:val="0"/>
        <w:spacing w:after="0" w:line="240" w:lineRule="auto"/>
        <w:rPr>
          <w:rFonts w:ascii="Times New Roman" w:hAnsi="Times New Roman" w:cs="Times New Roman"/>
          <w:sz w:val="20"/>
          <w:szCs w:val="20"/>
        </w:rPr>
        <w:sectPr w:rsidR="001422D2" w:rsidRPr="001C2973">
          <w:headerReference w:type="default" r:id="rId10"/>
          <w:footerReference w:type="default" r:id="rId11"/>
          <w:pgSz w:w="12240" w:h="15840"/>
          <w:pgMar w:top="1440" w:right="1440" w:bottom="1440" w:left="1440" w:header="720" w:footer="720" w:gutter="0"/>
          <w:cols w:space="720"/>
          <w:docGrid w:linePitch="360"/>
        </w:sectPr>
      </w:pPr>
      <w:bookmarkStart w:id="1" w:name="_Hlk98157896"/>
    </w:p>
    <w:p w14:paraId="293050B1" w14:textId="77777777" w:rsidR="001422D2" w:rsidRPr="001C2973" w:rsidRDefault="001422D2" w:rsidP="001422D2">
      <w:pPr>
        <w:widowControl w:val="0"/>
        <w:autoSpaceDE w:val="0"/>
        <w:autoSpaceDN w:val="0"/>
        <w:adjustRightInd w:val="0"/>
        <w:spacing w:after="0" w:line="240" w:lineRule="auto"/>
        <w:ind w:hanging="450"/>
        <w:rPr>
          <w:rFonts w:ascii="Times New Roman" w:hAnsi="Times New Roman" w:cs="Times New Roman"/>
          <w:sz w:val="20"/>
          <w:szCs w:val="20"/>
        </w:rPr>
      </w:pPr>
    </w:p>
    <w:tbl>
      <w:tblPr>
        <w:tblW w:w="13846" w:type="dxa"/>
        <w:tblInd w:w="-450" w:type="dxa"/>
        <w:tblLayout w:type="fixed"/>
        <w:tblLook w:val="0000" w:firstRow="0" w:lastRow="0" w:firstColumn="0" w:lastColumn="0" w:noHBand="0" w:noVBand="0"/>
      </w:tblPr>
      <w:tblGrid>
        <w:gridCol w:w="22"/>
        <w:gridCol w:w="3654"/>
        <w:gridCol w:w="720"/>
        <w:gridCol w:w="720"/>
        <w:gridCol w:w="720"/>
        <w:gridCol w:w="720"/>
        <w:gridCol w:w="720"/>
        <w:gridCol w:w="720"/>
        <w:gridCol w:w="720"/>
        <w:gridCol w:w="720"/>
        <w:gridCol w:w="720"/>
        <w:gridCol w:w="720"/>
        <w:gridCol w:w="720"/>
        <w:gridCol w:w="720"/>
        <w:gridCol w:w="720"/>
        <w:gridCol w:w="698"/>
        <w:gridCol w:w="22"/>
        <w:gridCol w:w="90"/>
      </w:tblGrid>
      <w:tr w:rsidR="001422D2" w:rsidRPr="001C2973" w14:paraId="015FEC1D" w14:textId="77777777" w:rsidTr="002741A7">
        <w:trPr>
          <w:gridAfter w:val="2"/>
          <w:wAfter w:w="112" w:type="dxa"/>
        </w:trPr>
        <w:tc>
          <w:tcPr>
            <w:tcW w:w="13734" w:type="dxa"/>
            <w:gridSpan w:val="16"/>
            <w:tcBorders>
              <w:left w:val="nil"/>
              <w:bottom w:val="single" w:sz="4" w:space="0" w:color="auto"/>
              <w:right w:val="nil"/>
            </w:tcBorders>
            <w:vAlign w:val="center"/>
          </w:tcPr>
          <w:p w14:paraId="3D9467D3" w14:textId="449331DD" w:rsidR="001422D2" w:rsidRPr="001C2973" w:rsidRDefault="001422D2" w:rsidP="002741A7">
            <w:pPr>
              <w:widowControl w:val="0"/>
              <w:autoSpaceDE w:val="0"/>
              <w:autoSpaceDN w:val="0"/>
              <w:adjustRightInd w:val="0"/>
              <w:spacing w:after="0" w:line="240" w:lineRule="auto"/>
              <w:rPr>
                <w:rFonts w:ascii="Times New Roman" w:hAnsi="Times New Roman" w:cs="Times New Roman"/>
                <w:sz w:val="24"/>
                <w:szCs w:val="24"/>
              </w:rPr>
            </w:pPr>
            <w:bookmarkStart w:id="2" w:name="_Hlk97642216"/>
            <w:bookmarkStart w:id="3" w:name="_Hlk101258849"/>
            <w:r w:rsidRPr="001C2973">
              <w:rPr>
                <w:rFonts w:ascii="Times New Roman" w:hAnsi="Times New Roman" w:cs="Times New Roman"/>
                <w:b/>
                <w:sz w:val="24"/>
                <w:szCs w:val="24"/>
              </w:rPr>
              <w:t>Supplemental Table S</w:t>
            </w:r>
            <w:r w:rsidR="00E911DE">
              <w:rPr>
                <w:rFonts w:ascii="Times New Roman" w:hAnsi="Times New Roman" w:cs="Times New Roman"/>
                <w:b/>
                <w:sz w:val="24"/>
                <w:szCs w:val="24"/>
              </w:rPr>
              <w:t>1</w:t>
            </w:r>
            <w:r w:rsidRPr="001C2973">
              <w:rPr>
                <w:rFonts w:ascii="Times New Roman" w:hAnsi="Times New Roman" w:cs="Times New Roman"/>
                <w:b/>
                <w:sz w:val="24"/>
                <w:szCs w:val="24"/>
              </w:rPr>
              <w:t>.</w:t>
            </w:r>
            <w:r w:rsidRPr="001C2973">
              <w:rPr>
                <w:rFonts w:ascii="Times New Roman" w:hAnsi="Times New Roman" w:cs="Times New Roman"/>
                <w:sz w:val="24"/>
                <w:szCs w:val="24"/>
              </w:rPr>
              <w:t xml:space="preserve"> </w:t>
            </w:r>
            <w:r w:rsidRPr="001C2973">
              <w:rPr>
                <w:rFonts w:ascii="Times New Roman" w:hAnsi="Times New Roman" w:cs="Times New Roman"/>
                <w:bCs/>
                <w:sz w:val="24"/>
                <w:szCs w:val="24"/>
              </w:rPr>
              <w:t>Spearman’s Correlation Coefficients for Social Capital Indicators</w:t>
            </w:r>
            <w:bookmarkEnd w:id="2"/>
          </w:p>
        </w:tc>
      </w:tr>
      <w:tr w:rsidR="001422D2" w:rsidRPr="000007D2" w14:paraId="33F5E437" w14:textId="77777777" w:rsidTr="002741A7">
        <w:trPr>
          <w:gridBefore w:val="1"/>
          <w:gridAfter w:val="1"/>
          <w:wBefore w:w="22" w:type="dxa"/>
          <w:wAfter w:w="90" w:type="dxa"/>
        </w:trPr>
        <w:tc>
          <w:tcPr>
            <w:tcW w:w="3654" w:type="dxa"/>
            <w:tcBorders>
              <w:top w:val="single" w:sz="4" w:space="0" w:color="auto"/>
              <w:left w:val="nil"/>
              <w:bottom w:val="single" w:sz="10" w:space="0" w:color="auto"/>
              <w:right w:val="nil"/>
            </w:tcBorders>
          </w:tcPr>
          <w:p w14:paraId="57F1BB92" w14:textId="77777777" w:rsidR="001422D2" w:rsidRPr="005F4312" w:rsidRDefault="001422D2" w:rsidP="002741A7">
            <w:pPr>
              <w:widowControl w:val="0"/>
              <w:autoSpaceDE w:val="0"/>
              <w:autoSpaceDN w:val="0"/>
              <w:adjustRightInd w:val="0"/>
              <w:spacing w:after="0" w:line="240" w:lineRule="auto"/>
              <w:rPr>
                <w:rFonts w:ascii="Times New Roman" w:hAnsi="Times New Roman" w:cs="Times New Roman"/>
                <w:sz w:val="20"/>
                <w:szCs w:val="20"/>
              </w:rPr>
            </w:pPr>
            <w:r w:rsidRPr="005F4312">
              <w:rPr>
                <w:rFonts w:ascii="Times New Roman" w:hAnsi="Times New Roman" w:cs="Times New Roman"/>
                <w:sz w:val="20"/>
                <w:szCs w:val="20"/>
              </w:rPr>
              <w:t xml:space="preserve">  Variables</w:t>
            </w:r>
          </w:p>
        </w:tc>
        <w:tc>
          <w:tcPr>
            <w:tcW w:w="720" w:type="dxa"/>
            <w:tcBorders>
              <w:top w:val="single" w:sz="4" w:space="0" w:color="auto"/>
              <w:left w:val="nil"/>
              <w:bottom w:val="single" w:sz="10" w:space="0" w:color="auto"/>
              <w:right w:val="nil"/>
            </w:tcBorders>
          </w:tcPr>
          <w:p w14:paraId="6FB5C23A" w14:textId="77777777" w:rsidR="001422D2" w:rsidRPr="005F4312" w:rsidRDefault="001422D2" w:rsidP="002741A7">
            <w:pPr>
              <w:widowControl w:val="0"/>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(1)</w:t>
            </w:r>
          </w:p>
        </w:tc>
        <w:tc>
          <w:tcPr>
            <w:tcW w:w="720" w:type="dxa"/>
            <w:tcBorders>
              <w:top w:val="single" w:sz="4" w:space="0" w:color="auto"/>
              <w:left w:val="nil"/>
              <w:bottom w:val="single" w:sz="10" w:space="0" w:color="auto"/>
              <w:right w:val="nil"/>
            </w:tcBorders>
          </w:tcPr>
          <w:p w14:paraId="2AE92FD8" w14:textId="77777777" w:rsidR="001422D2" w:rsidRPr="005F4312" w:rsidRDefault="001422D2" w:rsidP="002741A7">
            <w:pPr>
              <w:widowControl w:val="0"/>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(2)</w:t>
            </w:r>
          </w:p>
        </w:tc>
        <w:tc>
          <w:tcPr>
            <w:tcW w:w="720" w:type="dxa"/>
            <w:tcBorders>
              <w:top w:val="single" w:sz="4" w:space="0" w:color="auto"/>
              <w:left w:val="nil"/>
              <w:bottom w:val="single" w:sz="10" w:space="0" w:color="auto"/>
              <w:right w:val="nil"/>
            </w:tcBorders>
          </w:tcPr>
          <w:p w14:paraId="4EDD4636" w14:textId="77777777" w:rsidR="001422D2" w:rsidRPr="005F4312" w:rsidRDefault="001422D2" w:rsidP="002741A7">
            <w:pPr>
              <w:widowControl w:val="0"/>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(3)</w:t>
            </w:r>
          </w:p>
        </w:tc>
        <w:tc>
          <w:tcPr>
            <w:tcW w:w="720" w:type="dxa"/>
            <w:tcBorders>
              <w:top w:val="single" w:sz="4" w:space="0" w:color="auto"/>
              <w:left w:val="nil"/>
              <w:bottom w:val="single" w:sz="10" w:space="0" w:color="auto"/>
              <w:right w:val="nil"/>
            </w:tcBorders>
          </w:tcPr>
          <w:p w14:paraId="19DB702B" w14:textId="77777777" w:rsidR="001422D2" w:rsidRPr="005F4312" w:rsidRDefault="001422D2" w:rsidP="002741A7">
            <w:pPr>
              <w:widowControl w:val="0"/>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(4)</w:t>
            </w:r>
          </w:p>
        </w:tc>
        <w:tc>
          <w:tcPr>
            <w:tcW w:w="720" w:type="dxa"/>
            <w:tcBorders>
              <w:top w:val="single" w:sz="4" w:space="0" w:color="auto"/>
              <w:left w:val="nil"/>
              <w:bottom w:val="single" w:sz="10" w:space="0" w:color="auto"/>
              <w:right w:val="nil"/>
            </w:tcBorders>
          </w:tcPr>
          <w:p w14:paraId="126AE057" w14:textId="77777777" w:rsidR="001422D2" w:rsidRPr="005F4312" w:rsidRDefault="001422D2" w:rsidP="002741A7">
            <w:pPr>
              <w:widowControl w:val="0"/>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(5)</w:t>
            </w:r>
          </w:p>
        </w:tc>
        <w:tc>
          <w:tcPr>
            <w:tcW w:w="720" w:type="dxa"/>
            <w:tcBorders>
              <w:top w:val="single" w:sz="4" w:space="0" w:color="auto"/>
              <w:left w:val="nil"/>
              <w:bottom w:val="single" w:sz="10" w:space="0" w:color="auto"/>
              <w:right w:val="nil"/>
            </w:tcBorders>
          </w:tcPr>
          <w:p w14:paraId="292D1E5B" w14:textId="77777777" w:rsidR="001422D2" w:rsidRPr="005F4312" w:rsidRDefault="001422D2" w:rsidP="002741A7">
            <w:pPr>
              <w:widowControl w:val="0"/>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(6)</w:t>
            </w:r>
          </w:p>
        </w:tc>
        <w:tc>
          <w:tcPr>
            <w:tcW w:w="720" w:type="dxa"/>
            <w:tcBorders>
              <w:top w:val="single" w:sz="4" w:space="0" w:color="auto"/>
              <w:left w:val="nil"/>
              <w:bottom w:val="single" w:sz="10" w:space="0" w:color="auto"/>
              <w:right w:val="nil"/>
            </w:tcBorders>
          </w:tcPr>
          <w:p w14:paraId="42F25E1A" w14:textId="77777777" w:rsidR="001422D2" w:rsidRPr="005F4312" w:rsidRDefault="001422D2" w:rsidP="002741A7">
            <w:pPr>
              <w:widowControl w:val="0"/>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(7)</w:t>
            </w:r>
          </w:p>
        </w:tc>
        <w:tc>
          <w:tcPr>
            <w:tcW w:w="720" w:type="dxa"/>
            <w:tcBorders>
              <w:top w:val="single" w:sz="4" w:space="0" w:color="auto"/>
              <w:left w:val="nil"/>
              <w:bottom w:val="single" w:sz="10" w:space="0" w:color="auto"/>
              <w:right w:val="nil"/>
            </w:tcBorders>
          </w:tcPr>
          <w:p w14:paraId="6710EB80" w14:textId="77777777" w:rsidR="001422D2" w:rsidRPr="005F4312" w:rsidRDefault="001422D2" w:rsidP="002741A7">
            <w:pPr>
              <w:widowControl w:val="0"/>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(8)</w:t>
            </w:r>
          </w:p>
        </w:tc>
        <w:tc>
          <w:tcPr>
            <w:tcW w:w="720" w:type="dxa"/>
            <w:tcBorders>
              <w:top w:val="single" w:sz="4" w:space="0" w:color="auto"/>
              <w:left w:val="nil"/>
              <w:bottom w:val="single" w:sz="10" w:space="0" w:color="auto"/>
              <w:right w:val="nil"/>
            </w:tcBorders>
          </w:tcPr>
          <w:p w14:paraId="0F278876" w14:textId="77777777" w:rsidR="001422D2" w:rsidRPr="005F4312" w:rsidRDefault="001422D2" w:rsidP="002741A7">
            <w:pPr>
              <w:widowControl w:val="0"/>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(9)</w:t>
            </w:r>
          </w:p>
        </w:tc>
        <w:tc>
          <w:tcPr>
            <w:tcW w:w="720" w:type="dxa"/>
            <w:tcBorders>
              <w:top w:val="single" w:sz="4" w:space="0" w:color="auto"/>
              <w:left w:val="nil"/>
              <w:bottom w:val="single" w:sz="10" w:space="0" w:color="auto"/>
              <w:right w:val="nil"/>
            </w:tcBorders>
          </w:tcPr>
          <w:p w14:paraId="7AAACD1D" w14:textId="77777777" w:rsidR="001422D2" w:rsidRPr="005F4312" w:rsidRDefault="001422D2" w:rsidP="002741A7">
            <w:pPr>
              <w:widowControl w:val="0"/>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(10)</w:t>
            </w:r>
          </w:p>
        </w:tc>
        <w:tc>
          <w:tcPr>
            <w:tcW w:w="720" w:type="dxa"/>
            <w:tcBorders>
              <w:top w:val="single" w:sz="4" w:space="0" w:color="auto"/>
              <w:left w:val="nil"/>
              <w:bottom w:val="single" w:sz="10" w:space="0" w:color="auto"/>
              <w:right w:val="nil"/>
            </w:tcBorders>
          </w:tcPr>
          <w:p w14:paraId="058BBEDC" w14:textId="77777777" w:rsidR="001422D2" w:rsidRPr="005F4312" w:rsidRDefault="001422D2" w:rsidP="002741A7">
            <w:pPr>
              <w:widowControl w:val="0"/>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(11)</w:t>
            </w:r>
          </w:p>
        </w:tc>
        <w:tc>
          <w:tcPr>
            <w:tcW w:w="720" w:type="dxa"/>
            <w:tcBorders>
              <w:top w:val="single" w:sz="4" w:space="0" w:color="auto"/>
              <w:left w:val="nil"/>
              <w:bottom w:val="single" w:sz="10" w:space="0" w:color="auto"/>
              <w:right w:val="nil"/>
            </w:tcBorders>
          </w:tcPr>
          <w:p w14:paraId="5D25B1FF" w14:textId="77777777" w:rsidR="001422D2" w:rsidRPr="005F4312" w:rsidRDefault="001422D2" w:rsidP="002741A7">
            <w:pPr>
              <w:widowControl w:val="0"/>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(12)</w:t>
            </w:r>
          </w:p>
        </w:tc>
        <w:tc>
          <w:tcPr>
            <w:tcW w:w="720" w:type="dxa"/>
            <w:tcBorders>
              <w:top w:val="single" w:sz="4" w:space="0" w:color="auto"/>
              <w:left w:val="nil"/>
              <w:bottom w:val="single" w:sz="10" w:space="0" w:color="auto"/>
              <w:right w:val="nil"/>
            </w:tcBorders>
          </w:tcPr>
          <w:p w14:paraId="0A2A66B2" w14:textId="77777777" w:rsidR="001422D2" w:rsidRPr="005F4312" w:rsidRDefault="001422D2" w:rsidP="002741A7">
            <w:pPr>
              <w:widowControl w:val="0"/>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(13)</w:t>
            </w:r>
          </w:p>
        </w:tc>
        <w:tc>
          <w:tcPr>
            <w:tcW w:w="720" w:type="dxa"/>
            <w:gridSpan w:val="2"/>
            <w:tcBorders>
              <w:top w:val="single" w:sz="4" w:space="0" w:color="auto"/>
              <w:left w:val="nil"/>
              <w:bottom w:val="single" w:sz="10" w:space="0" w:color="auto"/>
              <w:right w:val="nil"/>
            </w:tcBorders>
          </w:tcPr>
          <w:p w14:paraId="17B27316" w14:textId="77777777" w:rsidR="001422D2" w:rsidRPr="005F4312" w:rsidRDefault="001422D2" w:rsidP="002741A7">
            <w:pPr>
              <w:widowControl w:val="0"/>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(14)</w:t>
            </w:r>
          </w:p>
        </w:tc>
      </w:tr>
      <w:tr w:rsidR="005F4312" w:rsidRPr="005F4312" w14:paraId="01495BE7" w14:textId="77777777" w:rsidTr="002741A7">
        <w:trPr>
          <w:gridBefore w:val="1"/>
          <w:gridAfter w:val="14"/>
          <w:wBefore w:w="22" w:type="dxa"/>
          <w:wAfter w:w="8730" w:type="dxa"/>
        </w:trPr>
        <w:tc>
          <w:tcPr>
            <w:tcW w:w="3654" w:type="dxa"/>
            <w:tcBorders>
              <w:top w:val="nil"/>
              <w:left w:val="nil"/>
              <w:bottom w:val="nil"/>
              <w:right w:val="nil"/>
            </w:tcBorders>
          </w:tcPr>
          <w:p w14:paraId="7B40E7EC" w14:textId="77777777" w:rsidR="005F4312" w:rsidRPr="005F4312" w:rsidRDefault="005F4312" w:rsidP="005F4312">
            <w:pPr>
              <w:widowControl w:val="0"/>
              <w:autoSpaceDE w:val="0"/>
              <w:autoSpaceDN w:val="0"/>
              <w:adjustRightInd w:val="0"/>
              <w:spacing w:after="0" w:line="240" w:lineRule="auto"/>
              <w:rPr>
                <w:rFonts w:ascii="Times New Roman" w:hAnsi="Times New Roman" w:cs="Times New Roman"/>
                <w:sz w:val="20"/>
                <w:szCs w:val="20"/>
              </w:rPr>
            </w:pPr>
            <w:r w:rsidRPr="005F4312">
              <w:rPr>
                <w:rFonts w:ascii="Times New Roman" w:hAnsi="Times New Roman" w:cs="Times New Roman"/>
                <w:sz w:val="20"/>
                <w:szCs w:val="20"/>
              </w:rPr>
              <w:t>(1) Monthly CVD Mortality Rate</w:t>
            </w:r>
          </w:p>
        </w:tc>
        <w:tc>
          <w:tcPr>
            <w:tcW w:w="720" w:type="dxa"/>
            <w:tcBorders>
              <w:top w:val="nil"/>
              <w:left w:val="nil"/>
              <w:bottom w:val="nil"/>
              <w:right w:val="nil"/>
            </w:tcBorders>
          </w:tcPr>
          <w:p w14:paraId="040E2FB1" w14:textId="61F0DD0B"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1.00</w:t>
            </w:r>
          </w:p>
        </w:tc>
        <w:tc>
          <w:tcPr>
            <w:tcW w:w="720" w:type="dxa"/>
            <w:tcBorders>
              <w:top w:val="nil"/>
              <w:left w:val="nil"/>
              <w:bottom w:val="nil"/>
              <w:right w:val="nil"/>
            </w:tcBorders>
          </w:tcPr>
          <w:p w14:paraId="2F483C98" w14:textId="2A1A87AC"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p>
        </w:tc>
      </w:tr>
      <w:tr w:rsidR="005F4312" w:rsidRPr="005F4312" w14:paraId="7C80C97A" w14:textId="77777777" w:rsidTr="002741A7">
        <w:trPr>
          <w:gridBefore w:val="1"/>
          <w:gridAfter w:val="13"/>
          <w:wBefore w:w="22" w:type="dxa"/>
          <w:wAfter w:w="8010" w:type="dxa"/>
        </w:trPr>
        <w:tc>
          <w:tcPr>
            <w:tcW w:w="3654" w:type="dxa"/>
            <w:tcBorders>
              <w:top w:val="nil"/>
              <w:left w:val="nil"/>
              <w:bottom w:val="nil"/>
              <w:right w:val="nil"/>
            </w:tcBorders>
          </w:tcPr>
          <w:p w14:paraId="765767BC" w14:textId="77777777" w:rsidR="005F4312" w:rsidRPr="005F4312" w:rsidRDefault="005F4312" w:rsidP="005F4312">
            <w:pPr>
              <w:widowControl w:val="0"/>
              <w:autoSpaceDE w:val="0"/>
              <w:autoSpaceDN w:val="0"/>
              <w:adjustRightInd w:val="0"/>
              <w:spacing w:after="0" w:line="240" w:lineRule="auto"/>
              <w:rPr>
                <w:rFonts w:ascii="Times New Roman" w:hAnsi="Times New Roman" w:cs="Times New Roman"/>
                <w:sz w:val="20"/>
                <w:szCs w:val="20"/>
              </w:rPr>
            </w:pPr>
            <w:r w:rsidRPr="005F4312">
              <w:rPr>
                <w:rFonts w:ascii="Times New Roman" w:hAnsi="Times New Roman" w:cs="Times New Roman"/>
                <w:sz w:val="20"/>
                <w:szCs w:val="20"/>
              </w:rPr>
              <w:t>(2) Social Capital Index</w:t>
            </w:r>
            <w:r w:rsidRPr="005F4312">
              <w:rPr>
                <w:rFonts w:ascii="Times New Roman" w:hAnsi="Times New Roman" w:cs="Times New Roman"/>
                <w:sz w:val="20"/>
                <w:szCs w:val="20"/>
                <w:vertAlign w:val="superscript"/>
              </w:rPr>
              <w:t>†</w:t>
            </w:r>
          </w:p>
        </w:tc>
        <w:tc>
          <w:tcPr>
            <w:tcW w:w="720" w:type="dxa"/>
            <w:tcBorders>
              <w:top w:val="nil"/>
              <w:left w:val="nil"/>
              <w:bottom w:val="nil"/>
              <w:right w:val="nil"/>
            </w:tcBorders>
          </w:tcPr>
          <w:p w14:paraId="123387B2" w14:textId="705CCA2E"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-0.01</w:t>
            </w:r>
          </w:p>
        </w:tc>
        <w:tc>
          <w:tcPr>
            <w:tcW w:w="720" w:type="dxa"/>
            <w:tcBorders>
              <w:top w:val="nil"/>
              <w:left w:val="nil"/>
              <w:bottom w:val="nil"/>
              <w:right w:val="nil"/>
            </w:tcBorders>
          </w:tcPr>
          <w:p w14:paraId="5DE961FF" w14:textId="32C54916"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1.00</w:t>
            </w:r>
          </w:p>
        </w:tc>
        <w:tc>
          <w:tcPr>
            <w:tcW w:w="720" w:type="dxa"/>
            <w:tcBorders>
              <w:top w:val="nil"/>
              <w:left w:val="nil"/>
              <w:bottom w:val="nil"/>
              <w:right w:val="nil"/>
            </w:tcBorders>
          </w:tcPr>
          <w:p w14:paraId="5D616587" w14:textId="354A216F"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p>
        </w:tc>
      </w:tr>
      <w:tr w:rsidR="005F4312" w:rsidRPr="005F4312" w14:paraId="000A01AD" w14:textId="77777777" w:rsidTr="002741A7">
        <w:trPr>
          <w:gridBefore w:val="1"/>
          <w:gridAfter w:val="12"/>
          <w:wBefore w:w="22" w:type="dxa"/>
          <w:wAfter w:w="7290" w:type="dxa"/>
        </w:trPr>
        <w:tc>
          <w:tcPr>
            <w:tcW w:w="3654" w:type="dxa"/>
            <w:tcBorders>
              <w:top w:val="nil"/>
              <w:left w:val="nil"/>
              <w:bottom w:val="nil"/>
              <w:right w:val="nil"/>
            </w:tcBorders>
          </w:tcPr>
          <w:p w14:paraId="73BE3A90" w14:textId="77777777" w:rsidR="005F4312" w:rsidRPr="005F4312" w:rsidRDefault="005F4312" w:rsidP="005F4312">
            <w:pPr>
              <w:widowControl w:val="0"/>
              <w:autoSpaceDE w:val="0"/>
              <w:autoSpaceDN w:val="0"/>
              <w:adjustRightInd w:val="0"/>
              <w:spacing w:after="0" w:line="240" w:lineRule="auto"/>
              <w:rPr>
                <w:rFonts w:ascii="Times New Roman" w:hAnsi="Times New Roman" w:cs="Times New Roman"/>
                <w:sz w:val="20"/>
                <w:szCs w:val="20"/>
              </w:rPr>
            </w:pPr>
            <w:r w:rsidRPr="005F4312">
              <w:rPr>
                <w:rFonts w:ascii="Times New Roman" w:hAnsi="Times New Roman" w:cs="Times New Roman"/>
                <w:sz w:val="20"/>
                <w:szCs w:val="20"/>
              </w:rPr>
              <w:t>(3) Family Unity</w:t>
            </w:r>
            <w:r w:rsidRPr="005F4312">
              <w:rPr>
                <w:rFonts w:ascii="Times New Roman" w:hAnsi="Times New Roman" w:cs="Times New Roman"/>
                <w:sz w:val="20"/>
                <w:szCs w:val="20"/>
                <w:vertAlign w:val="superscript"/>
              </w:rPr>
              <w:t>†</w:t>
            </w:r>
          </w:p>
        </w:tc>
        <w:tc>
          <w:tcPr>
            <w:tcW w:w="720" w:type="dxa"/>
            <w:tcBorders>
              <w:top w:val="nil"/>
              <w:left w:val="nil"/>
              <w:bottom w:val="nil"/>
              <w:right w:val="nil"/>
            </w:tcBorders>
          </w:tcPr>
          <w:p w14:paraId="63D9A038" w14:textId="5591ACEE"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-0.34</w:t>
            </w:r>
          </w:p>
        </w:tc>
        <w:tc>
          <w:tcPr>
            <w:tcW w:w="720" w:type="dxa"/>
            <w:tcBorders>
              <w:top w:val="nil"/>
              <w:left w:val="nil"/>
              <w:bottom w:val="nil"/>
              <w:right w:val="nil"/>
            </w:tcBorders>
          </w:tcPr>
          <w:p w14:paraId="2EE47291" w14:textId="50A3FB6E"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0.42</w:t>
            </w:r>
          </w:p>
        </w:tc>
        <w:tc>
          <w:tcPr>
            <w:tcW w:w="720" w:type="dxa"/>
            <w:tcBorders>
              <w:top w:val="nil"/>
              <w:left w:val="nil"/>
              <w:bottom w:val="nil"/>
              <w:right w:val="nil"/>
            </w:tcBorders>
          </w:tcPr>
          <w:p w14:paraId="0D0BDF93" w14:textId="3DF1840D"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1.00</w:t>
            </w:r>
          </w:p>
        </w:tc>
        <w:tc>
          <w:tcPr>
            <w:tcW w:w="720" w:type="dxa"/>
            <w:tcBorders>
              <w:top w:val="nil"/>
              <w:left w:val="nil"/>
              <w:bottom w:val="nil"/>
              <w:right w:val="nil"/>
            </w:tcBorders>
          </w:tcPr>
          <w:p w14:paraId="1B8CB50A" w14:textId="05EA501F"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p>
        </w:tc>
      </w:tr>
      <w:tr w:rsidR="005F4312" w:rsidRPr="005F4312" w14:paraId="1C110BBA" w14:textId="77777777" w:rsidTr="002741A7">
        <w:trPr>
          <w:gridBefore w:val="1"/>
          <w:gridAfter w:val="11"/>
          <w:wBefore w:w="22" w:type="dxa"/>
          <w:wAfter w:w="6570" w:type="dxa"/>
        </w:trPr>
        <w:tc>
          <w:tcPr>
            <w:tcW w:w="3654" w:type="dxa"/>
            <w:tcBorders>
              <w:top w:val="nil"/>
              <w:left w:val="nil"/>
              <w:bottom w:val="nil"/>
              <w:right w:val="nil"/>
            </w:tcBorders>
          </w:tcPr>
          <w:p w14:paraId="1AEEF070" w14:textId="77777777" w:rsidR="005F4312" w:rsidRPr="005F4312" w:rsidRDefault="005F4312" w:rsidP="005F4312">
            <w:pPr>
              <w:widowControl w:val="0"/>
              <w:autoSpaceDE w:val="0"/>
              <w:autoSpaceDN w:val="0"/>
              <w:adjustRightInd w:val="0"/>
              <w:spacing w:after="0" w:line="240" w:lineRule="auto"/>
              <w:rPr>
                <w:rFonts w:ascii="Times New Roman" w:hAnsi="Times New Roman" w:cs="Times New Roman"/>
                <w:sz w:val="20"/>
                <w:szCs w:val="20"/>
              </w:rPr>
            </w:pPr>
            <w:r w:rsidRPr="005F4312">
              <w:rPr>
                <w:rFonts w:ascii="Times New Roman" w:hAnsi="Times New Roman" w:cs="Times New Roman"/>
                <w:sz w:val="20"/>
                <w:szCs w:val="20"/>
              </w:rPr>
              <w:t>(4)      Rate of Single Parent Households</w:t>
            </w:r>
          </w:p>
        </w:tc>
        <w:tc>
          <w:tcPr>
            <w:tcW w:w="720" w:type="dxa"/>
            <w:tcBorders>
              <w:top w:val="nil"/>
              <w:left w:val="nil"/>
              <w:bottom w:val="nil"/>
              <w:right w:val="nil"/>
            </w:tcBorders>
          </w:tcPr>
          <w:p w14:paraId="5B8AC111" w14:textId="7563BF6F"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0.32</w:t>
            </w:r>
          </w:p>
        </w:tc>
        <w:tc>
          <w:tcPr>
            <w:tcW w:w="720" w:type="dxa"/>
            <w:tcBorders>
              <w:top w:val="nil"/>
              <w:left w:val="nil"/>
              <w:bottom w:val="nil"/>
              <w:right w:val="nil"/>
            </w:tcBorders>
          </w:tcPr>
          <w:p w14:paraId="751DA27B" w14:textId="0EB407ED"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-0.36</w:t>
            </w:r>
          </w:p>
        </w:tc>
        <w:tc>
          <w:tcPr>
            <w:tcW w:w="720" w:type="dxa"/>
            <w:tcBorders>
              <w:top w:val="nil"/>
              <w:left w:val="nil"/>
              <w:bottom w:val="nil"/>
              <w:right w:val="nil"/>
            </w:tcBorders>
          </w:tcPr>
          <w:p w14:paraId="0CEF4BD0" w14:textId="2BA0D9A7"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-0.95</w:t>
            </w:r>
          </w:p>
        </w:tc>
        <w:tc>
          <w:tcPr>
            <w:tcW w:w="720" w:type="dxa"/>
            <w:tcBorders>
              <w:top w:val="nil"/>
              <w:left w:val="nil"/>
              <w:bottom w:val="nil"/>
              <w:right w:val="nil"/>
            </w:tcBorders>
          </w:tcPr>
          <w:p w14:paraId="533C193E" w14:textId="54CAAB3E"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1.00</w:t>
            </w:r>
          </w:p>
        </w:tc>
        <w:tc>
          <w:tcPr>
            <w:tcW w:w="720" w:type="dxa"/>
            <w:tcBorders>
              <w:top w:val="nil"/>
              <w:left w:val="nil"/>
              <w:bottom w:val="nil"/>
              <w:right w:val="nil"/>
            </w:tcBorders>
          </w:tcPr>
          <w:p w14:paraId="43A13F95" w14:textId="3B43E727"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p>
        </w:tc>
      </w:tr>
      <w:tr w:rsidR="005F4312" w:rsidRPr="005F4312" w14:paraId="317B94A4" w14:textId="77777777" w:rsidTr="002741A7">
        <w:trPr>
          <w:gridBefore w:val="1"/>
          <w:gridAfter w:val="10"/>
          <w:wBefore w:w="22" w:type="dxa"/>
          <w:wAfter w:w="5850" w:type="dxa"/>
        </w:trPr>
        <w:tc>
          <w:tcPr>
            <w:tcW w:w="3654" w:type="dxa"/>
            <w:tcBorders>
              <w:top w:val="nil"/>
              <w:left w:val="nil"/>
              <w:bottom w:val="nil"/>
              <w:right w:val="nil"/>
            </w:tcBorders>
          </w:tcPr>
          <w:p w14:paraId="54FB94D1" w14:textId="77777777" w:rsidR="005F4312" w:rsidRPr="005F4312" w:rsidRDefault="005F4312" w:rsidP="005F4312">
            <w:pPr>
              <w:widowControl w:val="0"/>
              <w:autoSpaceDE w:val="0"/>
              <w:autoSpaceDN w:val="0"/>
              <w:adjustRightInd w:val="0"/>
              <w:spacing w:after="0" w:line="240" w:lineRule="auto"/>
              <w:rPr>
                <w:rFonts w:ascii="Times New Roman" w:hAnsi="Times New Roman" w:cs="Times New Roman"/>
                <w:sz w:val="20"/>
                <w:szCs w:val="20"/>
              </w:rPr>
            </w:pPr>
            <w:r w:rsidRPr="005F4312">
              <w:rPr>
                <w:rFonts w:ascii="Times New Roman" w:hAnsi="Times New Roman" w:cs="Times New Roman"/>
                <w:sz w:val="20"/>
                <w:szCs w:val="20"/>
              </w:rPr>
              <w:t>(5)      Rate of Unmarried Births</w:t>
            </w:r>
          </w:p>
        </w:tc>
        <w:tc>
          <w:tcPr>
            <w:tcW w:w="720" w:type="dxa"/>
            <w:tcBorders>
              <w:top w:val="nil"/>
              <w:left w:val="nil"/>
              <w:bottom w:val="nil"/>
              <w:right w:val="nil"/>
            </w:tcBorders>
          </w:tcPr>
          <w:p w14:paraId="5289033F" w14:textId="7E183F9D"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0.36</w:t>
            </w:r>
          </w:p>
        </w:tc>
        <w:tc>
          <w:tcPr>
            <w:tcW w:w="720" w:type="dxa"/>
            <w:tcBorders>
              <w:top w:val="nil"/>
              <w:left w:val="nil"/>
              <w:bottom w:val="nil"/>
              <w:right w:val="nil"/>
            </w:tcBorders>
          </w:tcPr>
          <w:p w14:paraId="6D4E623F" w14:textId="034D5EED"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-0.44</w:t>
            </w:r>
          </w:p>
        </w:tc>
        <w:tc>
          <w:tcPr>
            <w:tcW w:w="720" w:type="dxa"/>
            <w:tcBorders>
              <w:top w:val="nil"/>
              <w:left w:val="nil"/>
              <w:bottom w:val="nil"/>
              <w:right w:val="nil"/>
            </w:tcBorders>
          </w:tcPr>
          <w:p w14:paraId="731C0D56" w14:textId="4A3F6B5C"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-0.87</w:t>
            </w:r>
          </w:p>
        </w:tc>
        <w:tc>
          <w:tcPr>
            <w:tcW w:w="720" w:type="dxa"/>
            <w:tcBorders>
              <w:top w:val="nil"/>
              <w:left w:val="nil"/>
              <w:bottom w:val="nil"/>
              <w:right w:val="nil"/>
            </w:tcBorders>
          </w:tcPr>
          <w:p w14:paraId="16387F3A" w14:textId="7E068A47"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0.76</w:t>
            </w:r>
          </w:p>
        </w:tc>
        <w:tc>
          <w:tcPr>
            <w:tcW w:w="720" w:type="dxa"/>
            <w:tcBorders>
              <w:top w:val="nil"/>
              <w:left w:val="nil"/>
              <w:bottom w:val="nil"/>
              <w:right w:val="nil"/>
            </w:tcBorders>
          </w:tcPr>
          <w:p w14:paraId="1075859A" w14:textId="5BF3BF2D"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1.00</w:t>
            </w:r>
          </w:p>
        </w:tc>
        <w:tc>
          <w:tcPr>
            <w:tcW w:w="720" w:type="dxa"/>
            <w:tcBorders>
              <w:top w:val="nil"/>
              <w:left w:val="nil"/>
              <w:bottom w:val="nil"/>
              <w:right w:val="nil"/>
            </w:tcBorders>
          </w:tcPr>
          <w:p w14:paraId="07931AE6" w14:textId="25D1F903"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p>
        </w:tc>
      </w:tr>
      <w:tr w:rsidR="005F4312" w:rsidRPr="005F4312" w14:paraId="3186E046" w14:textId="77777777" w:rsidTr="002741A7">
        <w:trPr>
          <w:gridBefore w:val="1"/>
          <w:gridAfter w:val="9"/>
          <w:wBefore w:w="22" w:type="dxa"/>
          <w:wAfter w:w="5130" w:type="dxa"/>
        </w:trPr>
        <w:tc>
          <w:tcPr>
            <w:tcW w:w="3654" w:type="dxa"/>
            <w:tcBorders>
              <w:top w:val="nil"/>
              <w:left w:val="nil"/>
              <w:bottom w:val="nil"/>
              <w:right w:val="nil"/>
            </w:tcBorders>
          </w:tcPr>
          <w:p w14:paraId="6D021C0F" w14:textId="77777777" w:rsidR="005F4312" w:rsidRPr="005F4312" w:rsidRDefault="005F4312" w:rsidP="005F4312">
            <w:pPr>
              <w:widowControl w:val="0"/>
              <w:autoSpaceDE w:val="0"/>
              <w:autoSpaceDN w:val="0"/>
              <w:adjustRightInd w:val="0"/>
              <w:spacing w:after="0" w:line="240" w:lineRule="auto"/>
              <w:rPr>
                <w:rFonts w:ascii="Times New Roman" w:hAnsi="Times New Roman" w:cs="Times New Roman"/>
                <w:sz w:val="20"/>
                <w:szCs w:val="20"/>
              </w:rPr>
            </w:pPr>
            <w:r w:rsidRPr="005F4312">
              <w:rPr>
                <w:rFonts w:ascii="Times New Roman" w:hAnsi="Times New Roman" w:cs="Times New Roman"/>
                <w:sz w:val="20"/>
                <w:szCs w:val="20"/>
              </w:rPr>
              <w:t>(6)      Rate of Married Women</w:t>
            </w:r>
          </w:p>
        </w:tc>
        <w:tc>
          <w:tcPr>
            <w:tcW w:w="720" w:type="dxa"/>
            <w:tcBorders>
              <w:top w:val="nil"/>
              <w:left w:val="nil"/>
              <w:bottom w:val="nil"/>
              <w:right w:val="nil"/>
            </w:tcBorders>
          </w:tcPr>
          <w:p w14:paraId="04FB6C68" w14:textId="30FA0514"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-0.25</w:t>
            </w:r>
          </w:p>
        </w:tc>
        <w:tc>
          <w:tcPr>
            <w:tcW w:w="720" w:type="dxa"/>
            <w:tcBorders>
              <w:top w:val="nil"/>
              <w:left w:val="nil"/>
              <w:bottom w:val="nil"/>
              <w:right w:val="nil"/>
            </w:tcBorders>
          </w:tcPr>
          <w:p w14:paraId="3C7A761F" w14:textId="02A1A10B"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0.36</w:t>
            </w:r>
          </w:p>
        </w:tc>
        <w:tc>
          <w:tcPr>
            <w:tcW w:w="720" w:type="dxa"/>
            <w:tcBorders>
              <w:top w:val="nil"/>
              <w:left w:val="nil"/>
              <w:bottom w:val="nil"/>
              <w:right w:val="nil"/>
            </w:tcBorders>
          </w:tcPr>
          <w:p w14:paraId="411260C6" w14:textId="0DABCF22"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0.91</w:t>
            </w:r>
          </w:p>
        </w:tc>
        <w:tc>
          <w:tcPr>
            <w:tcW w:w="720" w:type="dxa"/>
            <w:tcBorders>
              <w:top w:val="nil"/>
              <w:left w:val="nil"/>
              <w:bottom w:val="nil"/>
              <w:right w:val="nil"/>
            </w:tcBorders>
          </w:tcPr>
          <w:p w14:paraId="791759C7" w14:textId="1335FE4F"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-0.85</w:t>
            </w:r>
          </w:p>
        </w:tc>
        <w:tc>
          <w:tcPr>
            <w:tcW w:w="720" w:type="dxa"/>
            <w:tcBorders>
              <w:top w:val="nil"/>
              <w:left w:val="nil"/>
              <w:bottom w:val="nil"/>
              <w:right w:val="nil"/>
            </w:tcBorders>
          </w:tcPr>
          <w:p w14:paraId="0FDC1CEF" w14:textId="1969D499"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-0.66</w:t>
            </w:r>
          </w:p>
        </w:tc>
        <w:tc>
          <w:tcPr>
            <w:tcW w:w="720" w:type="dxa"/>
            <w:tcBorders>
              <w:top w:val="nil"/>
              <w:left w:val="nil"/>
              <w:bottom w:val="nil"/>
              <w:right w:val="nil"/>
            </w:tcBorders>
          </w:tcPr>
          <w:p w14:paraId="0A4EB732" w14:textId="0C0DB865"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1.00</w:t>
            </w:r>
          </w:p>
        </w:tc>
        <w:tc>
          <w:tcPr>
            <w:tcW w:w="720" w:type="dxa"/>
            <w:tcBorders>
              <w:top w:val="nil"/>
              <w:left w:val="nil"/>
              <w:bottom w:val="nil"/>
              <w:right w:val="nil"/>
            </w:tcBorders>
          </w:tcPr>
          <w:p w14:paraId="08D6BFC0" w14:textId="1B956CA6"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p>
        </w:tc>
      </w:tr>
      <w:tr w:rsidR="005F4312" w:rsidRPr="005F4312" w14:paraId="26B94379" w14:textId="77777777" w:rsidTr="002741A7">
        <w:trPr>
          <w:gridBefore w:val="1"/>
          <w:gridAfter w:val="8"/>
          <w:wBefore w:w="22" w:type="dxa"/>
          <w:wAfter w:w="4410" w:type="dxa"/>
        </w:trPr>
        <w:tc>
          <w:tcPr>
            <w:tcW w:w="3654" w:type="dxa"/>
            <w:tcBorders>
              <w:top w:val="nil"/>
              <w:left w:val="nil"/>
              <w:bottom w:val="nil"/>
              <w:right w:val="nil"/>
            </w:tcBorders>
          </w:tcPr>
          <w:p w14:paraId="1E56A7C3" w14:textId="77777777" w:rsidR="005F4312" w:rsidRPr="005F4312" w:rsidRDefault="005F4312" w:rsidP="005F4312">
            <w:pPr>
              <w:widowControl w:val="0"/>
              <w:autoSpaceDE w:val="0"/>
              <w:autoSpaceDN w:val="0"/>
              <w:adjustRightInd w:val="0"/>
              <w:spacing w:after="0" w:line="240" w:lineRule="auto"/>
              <w:rPr>
                <w:rFonts w:ascii="Times New Roman" w:hAnsi="Times New Roman" w:cs="Times New Roman"/>
                <w:sz w:val="20"/>
                <w:szCs w:val="20"/>
              </w:rPr>
            </w:pPr>
            <w:r w:rsidRPr="005F4312">
              <w:rPr>
                <w:rFonts w:ascii="Times New Roman" w:hAnsi="Times New Roman" w:cs="Times New Roman"/>
                <w:sz w:val="20"/>
                <w:szCs w:val="20"/>
              </w:rPr>
              <w:t>(7) Informal Civil Society</w:t>
            </w:r>
            <w:r w:rsidRPr="005F4312">
              <w:rPr>
                <w:rFonts w:ascii="Times New Roman" w:hAnsi="Times New Roman" w:cs="Times New Roman"/>
                <w:sz w:val="20"/>
                <w:szCs w:val="20"/>
                <w:vertAlign w:val="superscript"/>
              </w:rPr>
              <w:t>†</w:t>
            </w:r>
          </w:p>
        </w:tc>
        <w:tc>
          <w:tcPr>
            <w:tcW w:w="720" w:type="dxa"/>
            <w:tcBorders>
              <w:top w:val="nil"/>
              <w:left w:val="nil"/>
              <w:bottom w:val="nil"/>
              <w:right w:val="nil"/>
            </w:tcBorders>
          </w:tcPr>
          <w:p w14:paraId="7D6E9E81" w14:textId="0567A0C2"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0.23</w:t>
            </w:r>
          </w:p>
        </w:tc>
        <w:tc>
          <w:tcPr>
            <w:tcW w:w="720" w:type="dxa"/>
            <w:tcBorders>
              <w:top w:val="nil"/>
              <w:left w:val="nil"/>
              <w:bottom w:val="nil"/>
              <w:right w:val="nil"/>
            </w:tcBorders>
          </w:tcPr>
          <w:p w14:paraId="17C3C3AF" w14:textId="738EF070"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0.78</w:t>
            </w:r>
          </w:p>
        </w:tc>
        <w:tc>
          <w:tcPr>
            <w:tcW w:w="720" w:type="dxa"/>
            <w:tcBorders>
              <w:top w:val="nil"/>
              <w:left w:val="nil"/>
              <w:bottom w:val="nil"/>
              <w:right w:val="nil"/>
            </w:tcBorders>
          </w:tcPr>
          <w:p w14:paraId="4C36DE20" w14:textId="4DAB0135"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-0.12</w:t>
            </w:r>
          </w:p>
        </w:tc>
        <w:tc>
          <w:tcPr>
            <w:tcW w:w="720" w:type="dxa"/>
            <w:tcBorders>
              <w:top w:val="nil"/>
              <w:left w:val="nil"/>
              <w:bottom w:val="nil"/>
              <w:right w:val="nil"/>
            </w:tcBorders>
          </w:tcPr>
          <w:p w14:paraId="6FF44B63" w14:textId="345A264C"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0.16</w:t>
            </w:r>
          </w:p>
        </w:tc>
        <w:tc>
          <w:tcPr>
            <w:tcW w:w="720" w:type="dxa"/>
            <w:tcBorders>
              <w:top w:val="nil"/>
              <w:left w:val="nil"/>
              <w:bottom w:val="nil"/>
              <w:right w:val="nil"/>
            </w:tcBorders>
          </w:tcPr>
          <w:p w14:paraId="09FD0609" w14:textId="017BF580"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0.05</w:t>
            </w:r>
          </w:p>
        </w:tc>
        <w:tc>
          <w:tcPr>
            <w:tcW w:w="720" w:type="dxa"/>
            <w:tcBorders>
              <w:top w:val="nil"/>
              <w:left w:val="nil"/>
              <w:bottom w:val="nil"/>
              <w:right w:val="nil"/>
            </w:tcBorders>
          </w:tcPr>
          <w:p w14:paraId="4ADD3E7E" w14:textId="0B85D258"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-0.14</w:t>
            </w:r>
          </w:p>
        </w:tc>
        <w:tc>
          <w:tcPr>
            <w:tcW w:w="720" w:type="dxa"/>
            <w:tcBorders>
              <w:top w:val="nil"/>
              <w:left w:val="nil"/>
              <w:bottom w:val="nil"/>
              <w:right w:val="nil"/>
            </w:tcBorders>
          </w:tcPr>
          <w:p w14:paraId="24B33C98" w14:textId="27E33F35"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1.00</w:t>
            </w:r>
          </w:p>
        </w:tc>
        <w:tc>
          <w:tcPr>
            <w:tcW w:w="720" w:type="dxa"/>
            <w:tcBorders>
              <w:top w:val="nil"/>
              <w:left w:val="nil"/>
              <w:bottom w:val="nil"/>
              <w:right w:val="nil"/>
            </w:tcBorders>
          </w:tcPr>
          <w:p w14:paraId="0B285E60" w14:textId="739B47B6"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p>
        </w:tc>
      </w:tr>
      <w:tr w:rsidR="005F4312" w:rsidRPr="005F4312" w14:paraId="6CBA8A53" w14:textId="77777777" w:rsidTr="002741A7">
        <w:trPr>
          <w:gridBefore w:val="1"/>
          <w:gridAfter w:val="7"/>
          <w:wBefore w:w="22" w:type="dxa"/>
          <w:wAfter w:w="3690" w:type="dxa"/>
        </w:trPr>
        <w:tc>
          <w:tcPr>
            <w:tcW w:w="3654" w:type="dxa"/>
            <w:tcBorders>
              <w:top w:val="nil"/>
              <w:left w:val="nil"/>
              <w:bottom w:val="nil"/>
              <w:right w:val="nil"/>
            </w:tcBorders>
          </w:tcPr>
          <w:p w14:paraId="2C5E2E15" w14:textId="77777777" w:rsidR="005F4312" w:rsidRPr="005F4312" w:rsidRDefault="005F4312" w:rsidP="005F4312">
            <w:pPr>
              <w:widowControl w:val="0"/>
              <w:autoSpaceDE w:val="0"/>
              <w:autoSpaceDN w:val="0"/>
              <w:adjustRightInd w:val="0"/>
              <w:spacing w:after="0" w:line="240" w:lineRule="auto"/>
              <w:rPr>
                <w:rFonts w:ascii="Times New Roman" w:hAnsi="Times New Roman" w:cs="Times New Roman"/>
                <w:sz w:val="20"/>
                <w:szCs w:val="20"/>
              </w:rPr>
            </w:pPr>
            <w:r w:rsidRPr="005F4312">
              <w:rPr>
                <w:rFonts w:ascii="Times New Roman" w:hAnsi="Times New Roman" w:cs="Times New Roman"/>
                <w:sz w:val="20"/>
                <w:szCs w:val="20"/>
              </w:rPr>
              <w:t>(8)      Rate of Nonprofits*</w:t>
            </w:r>
          </w:p>
        </w:tc>
        <w:tc>
          <w:tcPr>
            <w:tcW w:w="720" w:type="dxa"/>
            <w:tcBorders>
              <w:top w:val="nil"/>
              <w:left w:val="nil"/>
              <w:bottom w:val="nil"/>
              <w:right w:val="nil"/>
            </w:tcBorders>
          </w:tcPr>
          <w:p w14:paraId="341AAD27" w14:textId="53FC8CF0"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-0.04</w:t>
            </w:r>
          </w:p>
        </w:tc>
        <w:tc>
          <w:tcPr>
            <w:tcW w:w="720" w:type="dxa"/>
            <w:tcBorders>
              <w:top w:val="nil"/>
              <w:left w:val="nil"/>
              <w:bottom w:val="nil"/>
              <w:right w:val="nil"/>
            </w:tcBorders>
          </w:tcPr>
          <w:p w14:paraId="7E717C9E" w14:textId="1AB7A99F"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0.39</w:t>
            </w:r>
          </w:p>
        </w:tc>
        <w:tc>
          <w:tcPr>
            <w:tcW w:w="720" w:type="dxa"/>
            <w:tcBorders>
              <w:top w:val="nil"/>
              <w:left w:val="nil"/>
              <w:bottom w:val="nil"/>
              <w:right w:val="nil"/>
            </w:tcBorders>
          </w:tcPr>
          <w:p w14:paraId="62C6B63A" w14:textId="12F2ED11"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0.56</w:t>
            </w:r>
          </w:p>
        </w:tc>
        <w:tc>
          <w:tcPr>
            <w:tcW w:w="720" w:type="dxa"/>
            <w:tcBorders>
              <w:top w:val="nil"/>
              <w:left w:val="nil"/>
              <w:bottom w:val="nil"/>
              <w:right w:val="nil"/>
            </w:tcBorders>
          </w:tcPr>
          <w:p w14:paraId="7C49C095" w14:textId="0C7D506A"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-0.59</w:t>
            </w:r>
          </w:p>
        </w:tc>
        <w:tc>
          <w:tcPr>
            <w:tcW w:w="720" w:type="dxa"/>
            <w:tcBorders>
              <w:top w:val="nil"/>
              <w:left w:val="nil"/>
              <w:bottom w:val="nil"/>
              <w:right w:val="nil"/>
            </w:tcBorders>
          </w:tcPr>
          <w:p w14:paraId="346E1B73" w14:textId="3E829E91"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-0.45</w:t>
            </w:r>
          </w:p>
        </w:tc>
        <w:tc>
          <w:tcPr>
            <w:tcW w:w="720" w:type="dxa"/>
            <w:tcBorders>
              <w:top w:val="nil"/>
              <w:left w:val="nil"/>
              <w:bottom w:val="nil"/>
              <w:right w:val="nil"/>
            </w:tcBorders>
          </w:tcPr>
          <w:p w14:paraId="7F1FE669" w14:textId="3409F306"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0.51</w:t>
            </w:r>
          </w:p>
        </w:tc>
        <w:tc>
          <w:tcPr>
            <w:tcW w:w="720" w:type="dxa"/>
            <w:tcBorders>
              <w:top w:val="nil"/>
              <w:left w:val="nil"/>
              <w:bottom w:val="nil"/>
              <w:right w:val="nil"/>
            </w:tcBorders>
          </w:tcPr>
          <w:p w14:paraId="05D74FF8" w14:textId="7CBCF88E"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0.07</w:t>
            </w:r>
          </w:p>
        </w:tc>
        <w:tc>
          <w:tcPr>
            <w:tcW w:w="720" w:type="dxa"/>
            <w:tcBorders>
              <w:top w:val="nil"/>
              <w:left w:val="nil"/>
              <w:bottom w:val="nil"/>
              <w:right w:val="nil"/>
            </w:tcBorders>
          </w:tcPr>
          <w:p w14:paraId="3023A075" w14:textId="78985572"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1.00</w:t>
            </w:r>
          </w:p>
        </w:tc>
        <w:tc>
          <w:tcPr>
            <w:tcW w:w="720" w:type="dxa"/>
            <w:tcBorders>
              <w:top w:val="nil"/>
              <w:left w:val="nil"/>
              <w:bottom w:val="nil"/>
              <w:right w:val="nil"/>
            </w:tcBorders>
          </w:tcPr>
          <w:p w14:paraId="61CF674B" w14:textId="5F54F1D6"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p>
        </w:tc>
      </w:tr>
      <w:tr w:rsidR="005F4312" w:rsidRPr="005F4312" w14:paraId="4A6E5E9E" w14:textId="77777777" w:rsidTr="002741A7">
        <w:trPr>
          <w:gridBefore w:val="1"/>
          <w:gridAfter w:val="6"/>
          <w:wBefore w:w="22" w:type="dxa"/>
          <w:wAfter w:w="2970" w:type="dxa"/>
        </w:trPr>
        <w:tc>
          <w:tcPr>
            <w:tcW w:w="3654" w:type="dxa"/>
            <w:tcBorders>
              <w:top w:val="nil"/>
              <w:left w:val="nil"/>
              <w:bottom w:val="nil"/>
              <w:right w:val="nil"/>
            </w:tcBorders>
          </w:tcPr>
          <w:p w14:paraId="4B598970" w14:textId="77777777" w:rsidR="005F4312" w:rsidRPr="005F4312" w:rsidRDefault="005F4312" w:rsidP="005F4312">
            <w:pPr>
              <w:widowControl w:val="0"/>
              <w:autoSpaceDE w:val="0"/>
              <w:autoSpaceDN w:val="0"/>
              <w:adjustRightInd w:val="0"/>
              <w:spacing w:after="0" w:line="240" w:lineRule="auto"/>
              <w:rPr>
                <w:rFonts w:ascii="Times New Roman" w:hAnsi="Times New Roman" w:cs="Times New Roman"/>
                <w:sz w:val="20"/>
                <w:szCs w:val="20"/>
              </w:rPr>
            </w:pPr>
            <w:r w:rsidRPr="005F4312">
              <w:rPr>
                <w:rFonts w:ascii="Times New Roman" w:hAnsi="Times New Roman" w:cs="Times New Roman"/>
                <w:sz w:val="20"/>
                <w:szCs w:val="20"/>
              </w:rPr>
              <w:t>(9)      Rate of Religious Organizations*</w:t>
            </w:r>
          </w:p>
        </w:tc>
        <w:tc>
          <w:tcPr>
            <w:tcW w:w="720" w:type="dxa"/>
            <w:tcBorders>
              <w:top w:val="nil"/>
              <w:left w:val="nil"/>
              <w:bottom w:val="nil"/>
              <w:right w:val="nil"/>
            </w:tcBorders>
          </w:tcPr>
          <w:p w14:paraId="44FA6E1F" w14:textId="0712EBFB"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0.16</w:t>
            </w:r>
          </w:p>
        </w:tc>
        <w:tc>
          <w:tcPr>
            <w:tcW w:w="720" w:type="dxa"/>
            <w:tcBorders>
              <w:top w:val="nil"/>
              <w:left w:val="nil"/>
              <w:bottom w:val="nil"/>
              <w:right w:val="nil"/>
            </w:tcBorders>
          </w:tcPr>
          <w:p w14:paraId="565F6C55" w14:textId="7BF3AF82"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0.51</w:t>
            </w:r>
          </w:p>
        </w:tc>
        <w:tc>
          <w:tcPr>
            <w:tcW w:w="720" w:type="dxa"/>
            <w:tcBorders>
              <w:top w:val="nil"/>
              <w:left w:val="nil"/>
              <w:bottom w:val="nil"/>
              <w:right w:val="nil"/>
            </w:tcBorders>
          </w:tcPr>
          <w:p w14:paraId="25CBE740" w14:textId="4EA0F853"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-0.11</w:t>
            </w:r>
          </w:p>
        </w:tc>
        <w:tc>
          <w:tcPr>
            <w:tcW w:w="720" w:type="dxa"/>
            <w:tcBorders>
              <w:top w:val="nil"/>
              <w:left w:val="nil"/>
              <w:bottom w:val="nil"/>
              <w:right w:val="nil"/>
            </w:tcBorders>
          </w:tcPr>
          <w:p w14:paraId="1A734B15" w14:textId="106369CA"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0.14</w:t>
            </w:r>
          </w:p>
        </w:tc>
        <w:tc>
          <w:tcPr>
            <w:tcW w:w="720" w:type="dxa"/>
            <w:tcBorders>
              <w:top w:val="nil"/>
              <w:left w:val="nil"/>
              <w:bottom w:val="nil"/>
              <w:right w:val="nil"/>
            </w:tcBorders>
          </w:tcPr>
          <w:p w14:paraId="54142D62" w14:textId="50DE117F"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-0.03</w:t>
            </w:r>
          </w:p>
        </w:tc>
        <w:tc>
          <w:tcPr>
            <w:tcW w:w="720" w:type="dxa"/>
            <w:tcBorders>
              <w:top w:val="nil"/>
              <w:left w:val="nil"/>
              <w:bottom w:val="nil"/>
              <w:right w:val="nil"/>
            </w:tcBorders>
          </w:tcPr>
          <w:p w14:paraId="251DF0C1" w14:textId="725207EE"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-0.19</w:t>
            </w:r>
          </w:p>
        </w:tc>
        <w:tc>
          <w:tcPr>
            <w:tcW w:w="720" w:type="dxa"/>
            <w:tcBorders>
              <w:top w:val="nil"/>
              <w:left w:val="nil"/>
              <w:bottom w:val="nil"/>
              <w:right w:val="nil"/>
            </w:tcBorders>
          </w:tcPr>
          <w:p w14:paraId="08A9E206" w14:textId="50072AA6"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0.67</w:t>
            </w:r>
          </w:p>
        </w:tc>
        <w:tc>
          <w:tcPr>
            <w:tcW w:w="720" w:type="dxa"/>
            <w:tcBorders>
              <w:top w:val="nil"/>
              <w:left w:val="nil"/>
              <w:bottom w:val="nil"/>
              <w:right w:val="nil"/>
            </w:tcBorders>
          </w:tcPr>
          <w:p w14:paraId="7850C5B6" w14:textId="3DFBFF71"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-0.11</w:t>
            </w:r>
          </w:p>
        </w:tc>
        <w:tc>
          <w:tcPr>
            <w:tcW w:w="720" w:type="dxa"/>
            <w:tcBorders>
              <w:top w:val="nil"/>
              <w:left w:val="nil"/>
              <w:bottom w:val="nil"/>
              <w:right w:val="nil"/>
            </w:tcBorders>
          </w:tcPr>
          <w:p w14:paraId="4DBDC689" w14:textId="0783636D"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1.00</w:t>
            </w:r>
          </w:p>
        </w:tc>
        <w:tc>
          <w:tcPr>
            <w:tcW w:w="720" w:type="dxa"/>
            <w:tcBorders>
              <w:top w:val="nil"/>
              <w:left w:val="nil"/>
              <w:bottom w:val="nil"/>
              <w:right w:val="nil"/>
            </w:tcBorders>
          </w:tcPr>
          <w:p w14:paraId="04765382" w14:textId="5EAC29EA"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p>
        </w:tc>
      </w:tr>
      <w:tr w:rsidR="005F4312" w:rsidRPr="005F4312" w14:paraId="21DE5B23" w14:textId="77777777" w:rsidTr="002741A7">
        <w:trPr>
          <w:gridBefore w:val="1"/>
          <w:gridAfter w:val="5"/>
          <w:wBefore w:w="22" w:type="dxa"/>
          <w:wAfter w:w="2250" w:type="dxa"/>
        </w:trPr>
        <w:tc>
          <w:tcPr>
            <w:tcW w:w="3654" w:type="dxa"/>
            <w:tcBorders>
              <w:top w:val="nil"/>
              <w:left w:val="nil"/>
              <w:bottom w:val="nil"/>
              <w:right w:val="nil"/>
            </w:tcBorders>
          </w:tcPr>
          <w:p w14:paraId="0730BCAD" w14:textId="77777777" w:rsidR="005F4312" w:rsidRPr="005F4312" w:rsidRDefault="005F4312" w:rsidP="005F4312">
            <w:pPr>
              <w:widowControl w:val="0"/>
              <w:autoSpaceDE w:val="0"/>
              <w:autoSpaceDN w:val="0"/>
              <w:adjustRightInd w:val="0"/>
              <w:spacing w:after="0" w:line="240" w:lineRule="auto"/>
              <w:rPr>
                <w:rFonts w:ascii="Times New Roman" w:hAnsi="Times New Roman" w:cs="Times New Roman"/>
                <w:sz w:val="20"/>
                <w:szCs w:val="20"/>
              </w:rPr>
            </w:pPr>
            <w:r w:rsidRPr="005F4312">
              <w:rPr>
                <w:rFonts w:ascii="Times New Roman" w:hAnsi="Times New Roman" w:cs="Times New Roman"/>
                <w:sz w:val="20"/>
                <w:szCs w:val="20"/>
              </w:rPr>
              <w:t>(10) Institutional Confidence</w:t>
            </w:r>
            <w:r w:rsidRPr="005F4312">
              <w:rPr>
                <w:rFonts w:ascii="Times New Roman" w:hAnsi="Times New Roman" w:cs="Times New Roman"/>
                <w:sz w:val="20"/>
                <w:szCs w:val="20"/>
                <w:vertAlign w:val="superscript"/>
              </w:rPr>
              <w:t>†</w:t>
            </w:r>
          </w:p>
        </w:tc>
        <w:tc>
          <w:tcPr>
            <w:tcW w:w="720" w:type="dxa"/>
            <w:tcBorders>
              <w:top w:val="nil"/>
              <w:left w:val="nil"/>
              <w:bottom w:val="nil"/>
              <w:right w:val="nil"/>
            </w:tcBorders>
          </w:tcPr>
          <w:p w14:paraId="73C2F430" w14:textId="568A0A1D"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0.26</w:t>
            </w:r>
          </w:p>
        </w:tc>
        <w:tc>
          <w:tcPr>
            <w:tcW w:w="720" w:type="dxa"/>
            <w:tcBorders>
              <w:top w:val="nil"/>
              <w:left w:val="nil"/>
              <w:bottom w:val="nil"/>
              <w:right w:val="nil"/>
            </w:tcBorders>
          </w:tcPr>
          <w:p w14:paraId="191ED03F" w14:textId="08B2D940"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0.59</w:t>
            </w:r>
          </w:p>
        </w:tc>
        <w:tc>
          <w:tcPr>
            <w:tcW w:w="720" w:type="dxa"/>
            <w:tcBorders>
              <w:top w:val="nil"/>
              <w:left w:val="nil"/>
              <w:bottom w:val="nil"/>
              <w:right w:val="nil"/>
            </w:tcBorders>
          </w:tcPr>
          <w:p w14:paraId="4E27CFA3" w14:textId="50451024"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-0.09</w:t>
            </w:r>
          </w:p>
        </w:tc>
        <w:tc>
          <w:tcPr>
            <w:tcW w:w="720" w:type="dxa"/>
            <w:tcBorders>
              <w:top w:val="nil"/>
              <w:left w:val="nil"/>
              <w:bottom w:val="nil"/>
              <w:right w:val="nil"/>
            </w:tcBorders>
          </w:tcPr>
          <w:p w14:paraId="68557661" w14:textId="04890F25"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0.14</w:t>
            </w:r>
          </w:p>
        </w:tc>
        <w:tc>
          <w:tcPr>
            <w:tcW w:w="720" w:type="dxa"/>
            <w:tcBorders>
              <w:top w:val="nil"/>
              <w:left w:val="nil"/>
              <w:bottom w:val="nil"/>
              <w:right w:val="nil"/>
            </w:tcBorders>
          </w:tcPr>
          <w:p w14:paraId="31AB6319" w14:textId="1916BEA8"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0.11</w:t>
            </w:r>
          </w:p>
        </w:tc>
        <w:tc>
          <w:tcPr>
            <w:tcW w:w="720" w:type="dxa"/>
            <w:tcBorders>
              <w:top w:val="nil"/>
              <w:left w:val="nil"/>
              <w:bottom w:val="nil"/>
              <w:right w:val="nil"/>
            </w:tcBorders>
          </w:tcPr>
          <w:p w14:paraId="1705733A" w14:textId="189D000F"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-0.03</w:t>
            </w:r>
          </w:p>
        </w:tc>
        <w:tc>
          <w:tcPr>
            <w:tcW w:w="720" w:type="dxa"/>
            <w:tcBorders>
              <w:top w:val="nil"/>
              <w:left w:val="nil"/>
              <w:bottom w:val="nil"/>
              <w:right w:val="nil"/>
            </w:tcBorders>
          </w:tcPr>
          <w:p w14:paraId="472233F0" w14:textId="5A180ECC"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0.75</w:t>
            </w:r>
          </w:p>
        </w:tc>
        <w:tc>
          <w:tcPr>
            <w:tcW w:w="720" w:type="dxa"/>
            <w:tcBorders>
              <w:top w:val="nil"/>
              <w:left w:val="nil"/>
              <w:bottom w:val="nil"/>
              <w:right w:val="nil"/>
            </w:tcBorders>
          </w:tcPr>
          <w:p w14:paraId="062F5D0D" w14:textId="67FC8FA8"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0.17</w:t>
            </w:r>
          </w:p>
        </w:tc>
        <w:tc>
          <w:tcPr>
            <w:tcW w:w="720" w:type="dxa"/>
            <w:tcBorders>
              <w:top w:val="nil"/>
              <w:left w:val="nil"/>
              <w:bottom w:val="nil"/>
              <w:right w:val="nil"/>
            </w:tcBorders>
          </w:tcPr>
          <w:p w14:paraId="62116D8C" w14:textId="5F202148"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0.09</w:t>
            </w:r>
          </w:p>
        </w:tc>
        <w:tc>
          <w:tcPr>
            <w:tcW w:w="720" w:type="dxa"/>
            <w:tcBorders>
              <w:top w:val="nil"/>
              <w:left w:val="nil"/>
              <w:bottom w:val="nil"/>
              <w:right w:val="nil"/>
            </w:tcBorders>
          </w:tcPr>
          <w:p w14:paraId="51A48C0B" w14:textId="6EA9ADA8"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1.00</w:t>
            </w:r>
          </w:p>
        </w:tc>
        <w:tc>
          <w:tcPr>
            <w:tcW w:w="720" w:type="dxa"/>
            <w:tcBorders>
              <w:top w:val="nil"/>
              <w:left w:val="nil"/>
              <w:bottom w:val="nil"/>
              <w:right w:val="nil"/>
            </w:tcBorders>
          </w:tcPr>
          <w:p w14:paraId="309D6953" w14:textId="24AB2828"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p>
        </w:tc>
      </w:tr>
      <w:tr w:rsidR="005F4312" w:rsidRPr="005F4312" w14:paraId="19C8169C" w14:textId="77777777" w:rsidTr="002741A7">
        <w:trPr>
          <w:gridBefore w:val="1"/>
          <w:gridAfter w:val="4"/>
          <w:wBefore w:w="22" w:type="dxa"/>
          <w:wAfter w:w="1530" w:type="dxa"/>
        </w:trPr>
        <w:tc>
          <w:tcPr>
            <w:tcW w:w="3654" w:type="dxa"/>
            <w:tcBorders>
              <w:top w:val="nil"/>
              <w:left w:val="nil"/>
              <w:bottom w:val="nil"/>
              <w:right w:val="nil"/>
            </w:tcBorders>
          </w:tcPr>
          <w:p w14:paraId="6A5B1A37" w14:textId="77777777" w:rsidR="005F4312" w:rsidRPr="005F4312" w:rsidRDefault="005F4312" w:rsidP="005F4312">
            <w:pPr>
              <w:widowControl w:val="0"/>
              <w:autoSpaceDE w:val="0"/>
              <w:autoSpaceDN w:val="0"/>
              <w:adjustRightInd w:val="0"/>
              <w:spacing w:after="0" w:line="240" w:lineRule="auto"/>
              <w:rPr>
                <w:rFonts w:ascii="Times New Roman" w:hAnsi="Times New Roman" w:cs="Times New Roman"/>
                <w:sz w:val="20"/>
                <w:szCs w:val="20"/>
              </w:rPr>
            </w:pPr>
            <w:r w:rsidRPr="005F4312">
              <w:rPr>
                <w:rFonts w:ascii="Times New Roman" w:hAnsi="Times New Roman" w:cs="Times New Roman"/>
                <w:sz w:val="20"/>
                <w:szCs w:val="20"/>
              </w:rPr>
              <w:t>(11)      Percent 2010 Census Response</w:t>
            </w:r>
          </w:p>
        </w:tc>
        <w:tc>
          <w:tcPr>
            <w:tcW w:w="720" w:type="dxa"/>
            <w:tcBorders>
              <w:top w:val="nil"/>
              <w:left w:val="nil"/>
              <w:bottom w:val="nil"/>
              <w:right w:val="nil"/>
            </w:tcBorders>
          </w:tcPr>
          <w:p w14:paraId="44099B47" w14:textId="7E77F273"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-0.04</w:t>
            </w:r>
          </w:p>
        </w:tc>
        <w:tc>
          <w:tcPr>
            <w:tcW w:w="720" w:type="dxa"/>
            <w:tcBorders>
              <w:top w:val="nil"/>
              <w:left w:val="nil"/>
              <w:bottom w:val="nil"/>
              <w:right w:val="nil"/>
            </w:tcBorders>
          </w:tcPr>
          <w:p w14:paraId="3F96D0D4" w14:textId="5A9D1FAF"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0.39</w:t>
            </w:r>
          </w:p>
        </w:tc>
        <w:tc>
          <w:tcPr>
            <w:tcW w:w="720" w:type="dxa"/>
            <w:tcBorders>
              <w:top w:val="nil"/>
              <w:left w:val="nil"/>
              <w:bottom w:val="nil"/>
              <w:right w:val="nil"/>
            </w:tcBorders>
          </w:tcPr>
          <w:p w14:paraId="17D62D49" w14:textId="58D56ACB"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0.47</w:t>
            </w:r>
          </w:p>
        </w:tc>
        <w:tc>
          <w:tcPr>
            <w:tcW w:w="720" w:type="dxa"/>
            <w:tcBorders>
              <w:top w:val="nil"/>
              <w:left w:val="nil"/>
              <w:bottom w:val="nil"/>
              <w:right w:val="nil"/>
            </w:tcBorders>
          </w:tcPr>
          <w:p w14:paraId="0E93FBF3" w14:textId="0E6ECF02"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-0.49</w:t>
            </w:r>
          </w:p>
        </w:tc>
        <w:tc>
          <w:tcPr>
            <w:tcW w:w="720" w:type="dxa"/>
            <w:tcBorders>
              <w:top w:val="nil"/>
              <w:left w:val="nil"/>
              <w:bottom w:val="nil"/>
              <w:right w:val="nil"/>
            </w:tcBorders>
          </w:tcPr>
          <w:p w14:paraId="5E35561E" w14:textId="4C082A5C"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-0.42</w:t>
            </w:r>
          </w:p>
        </w:tc>
        <w:tc>
          <w:tcPr>
            <w:tcW w:w="720" w:type="dxa"/>
            <w:tcBorders>
              <w:top w:val="nil"/>
              <w:left w:val="nil"/>
              <w:bottom w:val="nil"/>
              <w:right w:val="nil"/>
            </w:tcBorders>
          </w:tcPr>
          <w:p w14:paraId="3F35A99F" w14:textId="704DF2D2"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0.40</w:t>
            </w:r>
          </w:p>
        </w:tc>
        <w:tc>
          <w:tcPr>
            <w:tcW w:w="720" w:type="dxa"/>
            <w:tcBorders>
              <w:top w:val="nil"/>
              <w:left w:val="nil"/>
              <w:bottom w:val="nil"/>
              <w:right w:val="nil"/>
            </w:tcBorders>
          </w:tcPr>
          <w:p w14:paraId="08B901BF" w14:textId="7969559A"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0.12</w:t>
            </w:r>
          </w:p>
        </w:tc>
        <w:tc>
          <w:tcPr>
            <w:tcW w:w="720" w:type="dxa"/>
            <w:tcBorders>
              <w:top w:val="nil"/>
              <w:left w:val="nil"/>
              <w:bottom w:val="nil"/>
              <w:right w:val="nil"/>
            </w:tcBorders>
          </w:tcPr>
          <w:p w14:paraId="3C84ACB7" w14:textId="5905E3C3"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0.79</w:t>
            </w:r>
          </w:p>
        </w:tc>
        <w:tc>
          <w:tcPr>
            <w:tcW w:w="720" w:type="dxa"/>
            <w:tcBorders>
              <w:top w:val="nil"/>
              <w:left w:val="nil"/>
              <w:bottom w:val="nil"/>
              <w:right w:val="nil"/>
            </w:tcBorders>
          </w:tcPr>
          <w:p w14:paraId="48E2C863" w14:textId="51FFA28E"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0.07</w:t>
            </w:r>
          </w:p>
        </w:tc>
        <w:tc>
          <w:tcPr>
            <w:tcW w:w="720" w:type="dxa"/>
            <w:tcBorders>
              <w:top w:val="nil"/>
              <w:left w:val="nil"/>
              <w:bottom w:val="nil"/>
              <w:right w:val="nil"/>
            </w:tcBorders>
          </w:tcPr>
          <w:p w14:paraId="3F2E6AFC" w14:textId="570BFEF2"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0.07</w:t>
            </w:r>
          </w:p>
        </w:tc>
        <w:tc>
          <w:tcPr>
            <w:tcW w:w="720" w:type="dxa"/>
            <w:tcBorders>
              <w:top w:val="nil"/>
              <w:left w:val="nil"/>
              <w:bottom w:val="nil"/>
              <w:right w:val="nil"/>
            </w:tcBorders>
          </w:tcPr>
          <w:p w14:paraId="72CB2A66" w14:textId="02407032"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1.00</w:t>
            </w:r>
          </w:p>
        </w:tc>
        <w:tc>
          <w:tcPr>
            <w:tcW w:w="720" w:type="dxa"/>
            <w:tcBorders>
              <w:top w:val="nil"/>
              <w:left w:val="nil"/>
              <w:bottom w:val="nil"/>
              <w:right w:val="nil"/>
            </w:tcBorders>
          </w:tcPr>
          <w:p w14:paraId="7726779F" w14:textId="41CFB2E1"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p>
        </w:tc>
      </w:tr>
      <w:tr w:rsidR="005F4312" w:rsidRPr="005F4312" w14:paraId="0C37EB5B" w14:textId="77777777" w:rsidTr="002741A7">
        <w:trPr>
          <w:gridBefore w:val="1"/>
          <w:gridAfter w:val="3"/>
          <w:wBefore w:w="22" w:type="dxa"/>
          <w:wAfter w:w="810" w:type="dxa"/>
        </w:trPr>
        <w:tc>
          <w:tcPr>
            <w:tcW w:w="3654" w:type="dxa"/>
            <w:tcBorders>
              <w:top w:val="nil"/>
              <w:left w:val="nil"/>
              <w:bottom w:val="nil"/>
              <w:right w:val="nil"/>
            </w:tcBorders>
          </w:tcPr>
          <w:p w14:paraId="2C181E4A" w14:textId="77777777" w:rsidR="005F4312" w:rsidRPr="005F4312" w:rsidRDefault="005F4312" w:rsidP="005F4312">
            <w:pPr>
              <w:widowControl w:val="0"/>
              <w:autoSpaceDE w:val="0"/>
              <w:autoSpaceDN w:val="0"/>
              <w:adjustRightInd w:val="0"/>
              <w:spacing w:after="0" w:line="240" w:lineRule="auto"/>
              <w:rPr>
                <w:rFonts w:ascii="Times New Roman" w:hAnsi="Times New Roman" w:cs="Times New Roman"/>
                <w:sz w:val="20"/>
                <w:szCs w:val="20"/>
              </w:rPr>
            </w:pPr>
            <w:r w:rsidRPr="005F4312">
              <w:rPr>
                <w:rFonts w:ascii="Times New Roman" w:hAnsi="Times New Roman" w:cs="Times New Roman"/>
                <w:sz w:val="20"/>
                <w:szCs w:val="20"/>
              </w:rPr>
              <w:t>(12)      Percent Voting in 2012</w:t>
            </w:r>
          </w:p>
        </w:tc>
        <w:tc>
          <w:tcPr>
            <w:tcW w:w="720" w:type="dxa"/>
            <w:tcBorders>
              <w:top w:val="nil"/>
              <w:left w:val="nil"/>
              <w:bottom w:val="nil"/>
              <w:right w:val="nil"/>
            </w:tcBorders>
          </w:tcPr>
          <w:p w14:paraId="344EB887" w14:textId="7D1CDF50"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-0.09</w:t>
            </w:r>
          </w:p>
        </w:tc>
        <w:tc>
          <w:tcPr>
            <w:tcW w:w="720" w:type="dxa"/>
            <w:tcBorders>
              <w:top w:val="nil"/>
              <w:left w:val="nil"/>
              <w:bottom w:val="nil"/>
              <w:right w:val="nil"/>
            </w:tcBorders>
          </w:tcPr>
          <w:p w14:paraId="4B09DCFF" w14:textId="57B00643"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0.28</w:t>
            </w:r>
          </w:p>
        </w:tc>
        <w:tc>
          <w:tcPr>
            <w:tcW w:w="720" w:type="dxa"/>
            <w:tcBorders>
              <w:top w:val="nil"/>
              <w:left w:val="nil"/>
              <w:bottom w:val="nil"/>
              <w:right w:val="nil"/>
            </w:tcBorders>
          </w:tcPr>
          <w:p w14:paraId="54700731" w14:textId="16ED0F09"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0.41</w:t>
            </w:r>
          </w:p>
        </w:tc>
        <w:tc>
          <w:tcPr>
            <w:tcW w:w="720" w:type="dxa"/>
            <w:tcBorders>
              <w:top w:val="nil"/>
              <w:left w:val="nil"/>
              <w:bottom w:val="nil"/>
              <w:right w:val="nil"/>
            </w:tcBorders>
          </w:tcPr>
          <w:p w14:paraId="68D0B37F" w14:textId="1F6685D1"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-0.42</w:t>
            </w:r>
          </w:p>
        </w:tc>
        <w:tc>
          <w:tcPr>
            <w:tcW w:w="720" w:type="dxa"/>
            <w:tcBorders>
              <w:top w:val="nil"/>
              <w:left w:val="nil"/>
              <w:bottom w:val="nil"/>
              <w:right w:val="nil"/>
            </w:tcBorders>
          </w:tcPr>
          <w:p w14:paraId="29830108" w14:textId="3B286995"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-0.39</w:t>
            </w:r>
          </w:p>
        </w:tc>
        <w:tc>
          <w:tcPr>
            <w:tcW w:w="720" w:type="dxa"/>
            <w:tcBorders>
              <w:top w:val="nil"/>
              <w:left w:val="nil"/>
              <w:bottom w:val="nil"/>
              <w:right w:val="nil"/>
            </w:tcBorders>
          </w:tcPr>
          <w:p w14:paraId="21CB46FB" w14:textId="18675DFC"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0.33</w:t>
            </w:r>
          </w:p>
        </w:tc>
        <w:tc>
          <w:tcPr>
            <w:tcW w:w="720" w:type="dxa"/>
            <w:tcBorders>
              <w:top w:val="nil"/>
              <w:left w:val="nil"/>
              <w:bottom w:val="nil"/>
              <w:right w:val="nil"/>
            </w:tcBorders>
          </w:tcPr>
          <w:p w14:paraId="0E6ED212" w14:textId="508D52C1"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0.04</w:t>
            </w:r>
          </w:p>
        </w:tc>
        <w:tc>
          <w:tcPr>
            <w:tcW w:w="720" w:type="dxa"/>
            <w:tcBorders>
              <w:top w:val="nil"/>
              <w:left w:val="nil"/>
              <w:bottom w:val="nil"/>
              <w:right w:val="nil"/>
            </w:tcBorders>
          </w:tcPr>
          <w:p w14:paraId="4C7DA992" w14:textId="58AC9785"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0.52</w:t>
            </w:r>
          </w:p>
        </w:tc>
        <w:tc>
          <w:tcPr>
            <w:tcW w:w="720" w:type="dxa"/>
            <w:tcBorders>
              <w:top w:val="nil"/>
              <w:left w:val="nil"/>
              <w:bottom w:val="nil"/>
              <w:right w:val="nil"/>
            </w:tcBorders>
          </w:tcPr>
          <w:p w14:paraId="0BDF2640" w14:textId="703DA83F"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0.12</w:t>
            </w:r>
          </w:p>
        </w:tc>
        <w:tc>
          <w:tcPr>
            <w:tcW w:w="720" w:type="dxa"/>
            <w:tcBorders>
              <w:top w:val="nil"/>
              <w:left w:val="nil"/>
              <w:bottom w:val="nil"/>
              <w:right w:val="nil"/>
            </w:tcBorders>
          </w:tcPr>
          <w:p w14:paraId="0ACB216C" w14:textId="086C7E6A"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-0.07</w:t>
            </w:r>
          </w:p>
        </w:tc>
        <w:tc>
          <w:tcPr>
            <w:tcW w:w="720" w:type="dxa"/>
            <w:tcBorders>
              <w:top w:val="nil"/>
              <w:left w:val="nil"/>
              <w:bottom w:val="nil"/>
              <w:right w:val="nil"/>
            </w:tcBorders>
          </w:tcPr>
          <w:p w14:paraId="2DCDDA3E" w14:textId="453A4FFF"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0.92</w:t>
            </w:r>
          </w:p>
        </w:tc>
        <w:tc>
          <w:tcPr>
            <w:tcW w:w="720" w:type="dxa"/>
            <w:tcBorders>
              <w:top w:val="nil"/>
              <w:left w:val="nil"/>
              <w:bottom w:val="nil"/>
              <w:right w:val="nil"/>
            </w:tcBorders>
          </w:tcPr>
          <w:p w14:paraId="4D3A443B" w14:textId="691BB8E9"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1.00</w:t>
            </w:r>
          </w:p>
        </w:tc>
        <w:tc>
          <w:tcPr>
            <w:tcW w:w="720" w:type="dxa"/>
            <w:tcBorders>
              <w:top w:val="nil"/>
              <w:left w:val="nil"/>
              <w:bottom w:val="nil"/>
              <w:right w:val="nil"/>
            </w:tcBorders>
          </w:tcPr>
          <w:p w14:paraId="4F585EC1" w14:textId="5281EA56"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p>
        </w:tc>
      </w:tr>
      <w:tr w:rsidR="005F4312" w:rsidRPr="000007D2" w14:paraId="36EFEF00" w14:textId="77777777" w:rsidTr="002741A7">
        <w:trPr>
          <w:gridBefore w:val="1"/>
          <w:gridAfter w:val="1"/>
          <w:wBefore w:w="22" w:type="dxa"/>
          <w:wAfter w:w="90" w:type="dxa"/>
          <w:trHeight w:val="73"/>
        </w:trPr>
        <w:tc>
          <w:tcPr>
            <w:tcW w:w="3654" w:type="dxa"/>
            <w:tcBorders>
              <w:top w:val="nil"/>
              <w:left w:val="nil"/>
              <w:bottom w:val="nil"/>
              <w:right w:val="nil"/>
            </w:tcBorders>
          </w:tcPr>
          <w:p w14:paraId="584CC259" w14:textId="77777777" w:rsidR="005F4312" w:rsidRPr="005F4312" w:rsidRDefault="005F4312" w:rsidP="005F4312">
            <w:pPr>
              <w:widowControl w:val="0"/>
              <w:autoSpaceDE w:val="0"/>
              <w:autoSpaceDN w:val="0"/>
              <w:adjustRightInd w:val="0"/>
              <w:spacing w:after="0" w:line="240" w:lineRule="auto"/>
              <w:rPr>
                <w:rFonts w:ascii="Times New Roman" w:hAnsi="Times New Roman" w:cs="Times New Roman"/>
                <w:sz w:val="20"/>
                <w:szCs w:val="20"/>
              </w:rPr>
            </w:pPr>
            <w:r w:rsidRPr="005F4312">
              <w:rPr>
                <w:rFonts w:ascii="Times New Roman" w:hAnsi="Times New Roman" w:cs="Times New Roman"/>
                <w:sz w:val="20"/>
                <w:szCs w:val="20"/>
              </w:rPr>
              <w:t>(13)      Percent Voting in 2016</w:t>
            </w:r>
          </w:p>
        </w:tc>
        <w:tc>
          <w:tcPr>
            <w:tcW w:w="720" w:type="dxa"/>
            <w:tcBorders>
              <w:top w:val="nil"/>
              <w:left w:val="nil"/>
              <w:bottom w:val="nil"/>
              <w:right w:val="nil"/>
            </w:tcBorders>
          </w:tcPr>
          <w:p w14:paraId="13C8A454" w14:textId="6791A33A"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0.04</w:t>
            </w:r>
          </w:p>
        </w:tc>
        <w:tc>
          <w:tcPr>
            <w:tcW w:w="720" w:type="dxa"/>
            <w:tcBorders>
              <w:top w:val="nil"/>
              <w:left w:val="nil"/>
              <w:bottom w:val="nil"/>
              <w:right w:val="nil"/>
            </w:tcBorders>
          </w:tcPr>
          <w:p w14:paraId="1354F5BF" w14:textId="592FC714"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0.33</w:t>
            </w:r>
          </w:p>
        </w:tc>
        <w:tc>
          <w:tcPr>
            <w:tcW w:w="720" w:type="dxa"/>
            <w:tcBorders>
              <w:top w:val="nil"/>
              <w:left w:val="nil"/>
              <w:bottom w:val="nil"/>
              <w:right w:val="nil"/>
            </w:tcBorders>
          </w:tcPr>
          <w:p w14:paraId="3D6461F3" w14:textId="18F53065"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0.26</w:t>
            </w:r>
          </w:p>
        </w:tc>
        <w:tc>
          <w:tcPr>
            <w:tcW w:w="720" w:type="dxa"/>
            <w:tcBorders>
              <w:top w:val="nil"/>
              <w:left w:val="nil"/>
              <w:bottom w:val="nil"/>
              <w:right w:val="nil"/>
            </w:tcBorders>
          </w:tcPr>
          <w:p w14:paraId="4F0E7EA5" w14:textId="114E5C46"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-0.27</w:t>
            </w:r>
          </w:p>
        </w:tc>
        <w:tc>
          <w:tcPr>
            <w:tcW w:w="720" w:type="dxa"/>
            <w:tcBorders>
              <w:top w:val="nil"/>
              <w:left w:val="nil"/>
              <w:bottom w:val="nil"/>
              <w:right w:val="nil"/>
            </w:tcBorders>
          </w:tcPr>
          <w:p w14:paraId="7A1D51D6" w14:textId="0636AB25"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-0.26</w:t>
            </w:r>
          </w:p>
        </w:tc>
        <w:tc>
          <w:tcPr>
            <w:tcW w:w="720" w:type="dxa"/>
            <w:tcBorders>
              <w:top w:val="nil"/>
              <w:left w:val="nil"/>
              <w:bottom w:val="nil"/>
              <w:right w:val="nil"/>
            </w:tcBorders>
          </w:tcPr>
          <w:p w14:paraId="51D96D09" w14:textId="7A506961"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0.20</w:t>
            </w:r>
          </w:p>
        </w:tc>
        <w:tc>
          <w:tcPr>
            <w:tcW w:w="720" w:type="dxa"/>
            <w:tcBorders>
              <w:top w:val="nil"/>
              <w:left w:val="nil"/>
              <w:bottom w:val="nil"/>
              <w:right w:val="nil"/>
            </w:tcBorders>
          </w:tcPr>
          <w:p w14:paraId="1D38DA7F" w14:textId="79E79E41"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0.21</w:t>
            </w:r>
          </w:p>
        </w:tc>
        <w:tc>
          <w:tcPr>
            <w:tcW w:w="720" w:type="dxa"/>
            <w:tcBorders>
              <w:top w:val="nil"/>
              <w:left w:val="nil"/>
              <w:bottom w:val="nil"/>
              <w:right w:val="nil"/>
            </w:tcBorders>
          </w:tcPr>
          <w:p w14:paraId="29230704" w14:textId="45AF12BB"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0.49</w:t>
            </w:r>
          </w:p>
        </w:tc>
        <w:tc>
          <w:tcPr>
            <w:tcW w:w="720" w:type="dxa"/>
            <w:tcBorders>
              <w:top w:val="nil"/>
              <w:left w:val="nil"/>
              <w:bottom w:val="nil"/>
              <w:right w:val="nil"/>
            </w:tcBorders>
          </w:tcPr>
          <w:p w14:paraId="3FD0E5DE" w14:textId="686E7828"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0.19</w:t>
            </w:r>
          </w:p>
        </w:tc>
        <w:tc>
          <w:tcPr>
            <w:tcW w:w="720" w:type="dxa"/>
            <w:tcBorders>
              <w:top w:val="nil"/>
              <w:left w:val="nil"/>
              <w:bottom w:val="nil"/>
              <w:right w:val="nil"/>
            </w:tcBorders>
          </w:tcPr>
          <w:p w14:paraId="4C0F3F14" w14:textId="710489C5"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0.10</w:t>
            </w:r>
          </w:p>
        </w:tc>
        <w:tc>
          <w:tcPr>
            <w:tcW w:w="720" w:type="dxa"/>
            <w:tcBorders>
              <w:top w:val="nil"/>
              <w:left w:val="nil"/>
              <w:bottom w:val="nil"/>
              <w:right w:val="nil"/>
            </w:tcBorders>
          </w:tcPr>
          <w:p w14:paraId="7FF3BC67" w14:textId="56263257"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0.90</w:t>
            </w:r>
          </w:p>
        </w:tc>
        <w:tc>
          <w:tcPr>
            <w:tcW w:w="720" w:type="dxa"/>
            <w:tcBorders>
              <w:top w:val="nil"/>
              <w:left w:val="nil"/>
              <w:bottom w:val="nil"/>
              <w:right w:val="nil"/>
            </w:tcBorders>
          </w:tcPr>
          <w:p w14:paraId="448FA8F7" w14:textId="1266237A"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0.95</w:t>
            </w:r>
          </w:p>
        </w:tc>
        <w:tc>
          <w:tcPr>
            <w:tcW w:w="720" w:type="dxa"/>
            <w:tcBorders>
              <w:top w:val="nil"/>
              <w:left w:val="nil"/>
              <w:bottom w:val="nil"/>
              <w:right w:val="nil"/>
            </w:tcBorders>
          </w:tcPr>
          <w:p w14:paraId="5651D4C9" w14:textId="736BBA10"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1.00</w:t>
            </w:r>
          </w:p>
        </w:tc>
        <w:tc>
          <w:tcPr>
            <w:tcW w:w="720" w:type="dxa"/>
            <w:gridSpan w:val="2"/>
            <w:tcBorders>
              <w:top w:val="nil"/>
              <w:left w:val="nil"/>
              <w:bottom w:val="nil"/>
              <w:right w:val="nil"/>
            </w:tcBorders>
          </w:tcPr>
          <w:p w14:paraId="1C5D00AF" w14:textId="6955DDF0"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p>
        </w:tc>
      </w:tr>
      <w:tr w:rsidR="005F4312" w:rsidRPr="000007D2" w14:paraId="593B40D0" w14:textId="77777777" w:rsidTr="002741A7">
        <w:trPr>
          <w:gridBefore w:val="1"/>
          <w:gridAfter w:val="1"/>
          <w:wBefore w:w="22" w:type="dxa"/>
          <w:wAfter w:w="90" w:type="dxa"/>
          <w:trHeight w:val="333"/>
        </w:trPr>
        <w:tc>
          <w:tcPr>
            <w:tcW w:w="3654" w:type="dxa"/>
            <w:tcBorders>
              <w:top w:val="nil"/>
              <w:left w:val="nil"/>
              <w:bottom w:val="nil"/>
              <w:right w:val="nil"/>
            </w:tcBorders>
          </w:tcPr>
          <w:p w14:paraId="2DB09A09" w14:textId="77777777" w:rsidR="005F4312" w:rsidRPr="005F4312" w:rsidRDefault="005F4312" w:rsidP="005F4312">
            <w:pPr>
              <w:widowControl w:val="0"/>
              <w:autoSpaceDE w:val="0"/>
              <w:autoSpaceDN w:val="0"/>
              <w:adjustRightInd w:val="0"/>
              <w:spacing w:after="0" w:line="240" w:lineRule="auto"/>
              <w:rPr>
                <w:rFonts w:ascii="Times New Roman" w:hAnsi="Times New Roman" w:cs="Times New Roman"/>
                <w:sz w:val="20"/>
                <w:szCs w:val="20"/>
              </w:rPr>
            </w:pPr>
            <w:r w:rsidRPr="005F4312">
              <w:rPr>
                <w:rFonts w:ascii="Times New Roman" w:hAnsi="Times New Roman" w:cs="Times New Roman"/>
                <w:sz w:val="20"/>
                <w:szCs w:val="20"/>
              </w:rPr>
              <w:t xml:space="preserve">(14) Collective Efficacy </w:t>
            </w:r>
            <w:r w:rsidRPr="005F4312">
              <w:rPr>
                <w:rFonts w:ascii="Times New Roman" w:hAnsi="Times New Roman" w:cs="Times New Roman"/>
                <w:sz w:val="20"/>
                <w:szCs w:val="20"/>
                <w:vertAlign w:val="superscript"/>
              </w:rPr>
              <w:t>†</w:t>
            </w:r>
          </w:p>
        </w:tc>
        <w:tc>
          <w:tcPr>
            <w:tcW w:w="720" w:type="dxa"/>
            <w:tcBorders>
              <w:top w:val="nil"/>
              <w:left w:val="nil"/>
              <w:bottom w:val="nil"/>
              <w:right w:val="nil"/>
            </w:tcBorders>
          </w:tcPr>
          <w:p w14:paraId="6B12063C" w14:textId="06CDE13E"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-0.19</w:t>
            </w:r>
          </w:p>
        </w:tc>
        <w:tc>
          <w:tcPr>
            <w:tcW w:w="720" w:type="dxa"/>
            <w:tcBorders>
              <w:top w:val="nil"/>
              <w:left w:val="nil"/>
              <w:bottom w:val="nil"/>
              <w:right w:val="nil"/>
            </w:tcBorders>
          </w:tcPr>
          <w:p w14:paraId="2D862A21" w14:textId="2346AA84"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0.38</w:t>
            </w:r>
          </w:p>
        </w:tc>
        <w:tc>
          <w:tcPr>
            <w:tcW w:w="720" w:type="dxa"/>
            <w:tcBorders>
              <w:top w:val="nil"/>
              <w:left w:val="nil"/>
              <w:bottom w:val="nil"/>
              <w:right w:val="nil"/>
            </w:tcBorders>
          </w:tcPr>
          <w:p w14:paraId="0F0AF10F" w14:textId="69085D1F"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0.27</w:t>
            </w:r>
          </w:p>
        </w:tc>
        <w:tc>
          <w:tcPr>
            <w:tcW w:w="720" w:type="dxa"/>
            <w:tcBorders>
              <w:top w:val="nil"/>
              <w:left w:val="nil"/>
              <w:bottom w:val="nil"/>
              <w:right w:val="nil"/>
            </w:tcBorders>
          </w:tcPr>
          <w:p w14:paraId="31CE815A" w14:textId="00E95FEF"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-0.25</w:t>
            </w:r>
          </w:p>
        </w:tc>
        <w:tc>
          <w:tcPr>
            <w:tcW w:w="720" w:type="dxa"/>
            <w:tcBorders>
              <w:top w:val="nil"/>
              <w:left w:val="nil"/>
              <w:bottom w:val="nil"/>
              <w:right w:val="nil"/>
            </w:tcBorders>
          </w:tcPr>
          <w:p w14:paraId="5A451650" w14:textId="1411F5FF"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-0.29</w:t>
            </w:r>
          </w:p>
        </w:tc>
        <w:tc>
          <w:tcPr>
            <w:tcW w:w="720" w:type="dxa"/>
            <w:tcBorders>
              <w:top w:val="nil"/>
              <w:left w:val="nil"/>
              <w:bottom w:val="nil"/>
              <w:right w:val="nil"/>
            </w:tcBorders>
          </w:tcPr>
          <w:p w14:paraId="2775D2E1" w14:textId="1016E486"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0.22</w:t>
            </w:r>
          </w:p>
        </w:tc>
        <w:tc>
          <w:tcPr>
            <w:tcW w:w="720" w:type="dxa"/>
            <w:tcBorders>
              <w:top w:val="nil"/>
              <w:left w:val="nil"/>
              <w:bottom w:val="nil"/>
              <w:right w:val="nil"/>
            </w:tcBorders>
          </w:tcPr>
          <w:p w14:paraId="6E27D714" w14:textId="5949A017"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0.01</w:t>
            </w:r>
          </w:p>
        </w:tc>
        <w:tc>
          <w:tcPr>
            <w:tcW w:w="720" w:type="dxa"/>
            <w:tcBorders>
              <w:top w:val="nil"/>
              <w:left w:val="nil"/>
              <w:bottom w:val="nil"/>
              <w:right w:val="nil"/>
            </w:tcBorders>
          </w:tcPr>
          <w:p w14:paraId="09731633" w14:textId="788F6569"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0.22</w:t>
            </w:r>
          </w:p>
        </w:tc>
        <w:tc>
          <w:tcPr>
            <w:tcW w:w="720" w:type="dxa"/>
            <w:tcBorders>
              <w:top w:val="nil"/>
              <w:left w:val="nil"/>
              <w:bottom w:val="nil"/>
              <w:right w:val="nil"/>
            </w:tcBorders>
          </w:tcPr>
          <w:p w14:paraId="1F2766CA" w14:textId="30326794"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0.01</w:t>
            </w:r>
          </w:p>
        </w:tc>
        <w:tc>
          <w:tcPr>
            <w:tcW w:w="720" w:type="dxa"/>
            <w:tcBorders>
              <w:top w:val="nil"/>
              <w:left w:val="nil"/>
              <w:bottom w:val="nil"/>
              <w:right w:val="nil"/>
            </w:tcBorders>
          </w:tcPr>
          <w:p w14:paraId="459F1911" w14:textId="18BC6B1D"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0.01</w:t>
            </w:r>
          </w:p>
        </w:tc>
        <w:tc>
          <w:tcPr>
            <w:tcW w:w="720" w:type="dxa"/>
            <w:tcBorders>
              <w:top w:val="nil"/>
              <w:left w:val="nil"/>
              <w:bottom w:val="nil"/>
              <w:right w:val="nil"/>
            </w:tcBorders>
          </w:tcPr>
          <w:p w14:paraId="0391782C" w14:textId="0F6602EB"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0.23</w:t>
            </w:r>
          </w:p>
        </w:tc>
        <w:tc>
          <w:tcPr>
            <w:tcW w:w="720" w:type="dxa"/>
            <w:tcBorders>
              <w:top w:val="nil"/>
              <w:left w:val="nil"/>
              <w:bottom w:val="nil"/>
              <w:right w:val="nil"/>
            </w:tcBorders>
          </w:tcPr>
          <w:p w14:paraId="7EBBDF09" w14:textId="578A9A81"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0.19</w:t>
            </w:r>
          </w:p>
        </w:tc>
        <w:tc>
          <w:tcPr>
            <w:tcW w:w="720" w:type="dxa"/>
            <w:tcBorders>
              <w:top w:val="nil"/>
              <w:left w:val="nil"/>
              <w:bottom w:val="nil"/>
              <w:right w:val="nil"/>
            </w:tcBorders>
          </w:tcPr>
          <w:p w14:paraId="08685F2C" w14:textId="7B563C59"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0.15</w:t>
            </w:r>
          </w:p>
        </w:tc>
        <w:tc>
          <w:tcPr>
            <w:tcW w:w="720" w:type="dxa"/>
            <w:gridSpan w:val="2"/>
            <w:tcBorders>
              <w:top w:val="nil"/>
              <w:left w:val="nil"/>
              <w:bottom w:val="nil"/>
              <w:right w:val="nil"/>
            </w:tcBorders>
          </w:tcPr>
          <w:p w14:paraId="2717DB0D" w14:textId="36561B58" w:rsidR="005F4312" w:rsidRPr="005F4312" w:rsidRDefault="005F4312" w:rsidP="005F4312">
            <w:pPr>
              <w:widowControl w:val="0"/>
              <w:tabs>
                <w:tab w:val="decimal" w:pos="73"/>
              </w:tabs>
              <w:autoSpaceDE w:val="0"/>
              <w:autoSpaceDN w:val="0"/>
              <w:adjustRightInd w:val="0"/>
              <w:spacing w:after="0" w:line="240" w:lineRule="auto"/>
              <w:jc w:val="right"/>
              <w:rPr>
                <w:rFonts w:ascii="Times New Roman" w:hAnsi="Times New Roman" w:cs="Times New Roman"/>
                <w:sz w:val="20"/>
                <w:szCs w:val="20"/>
              </w:rPr>
            </w:pPr>
            <w:r w:rsidRPr="005F4312">
              <w:rPr>
                <w:rFonts w:ascii="Times New Roman" w:hAnsi="Times New Roman" w:cs="Times New Roman"/>
                <w:sz w:val="20"/>
                <w:szCs w:val="20"/>
              </w:rPr>
              <w:t>1.00</w:t>
            </w:r>
          </w:p>
        </w:tc>
      </w:tr>
      <w:tr w:rsidR="005F4312" w:rsidRPr="001C2973" w14:paraId="5754A887" w14:textId="77777777" w:rsidTr="002741A7">
        <w:trPr>
          <w:gridBefore w:val="1"/>
          <w:wBefore w:w="22" w:type="dxa"/>
          <w:trHeight w:val="333"/>
        </w:trPr>
        <w:tc>
          <w:tcPr>
            <w:tcW w:w="13824" w:type="dxa"/>
            <w:gridSpan w:val="17"/>
            <w:tcBorders>
              <w:top w:val="single" w:sz="4" w:space="0" w:color="auto"/>
              <w:left w:val="nil"/>
              <w:bottom w:val="nil"/>
              <w:right w:val="nil"/>
            </w:tcBorders>
          </w:tcPr>
          <w:p w14:paraId="196C2D59" w14:textId="309555E4" w:rsidR="005F4312" w:rsidRPr="000007D2" w:rsidRDefault="005F4312" w:rsidP="005F4312">
            <w:pPr>
              <w:widowControl w:val="0"/>
              <w:autoSpaceDE w:val="0"/>
              <w:autoSpaceDN w:val="0"/>
              <w:adjustRightInd w:val="0"/>
              <w:spacing w:after="0" w:line="240" w:lineRule="auto"/>
              <w:rPr>
                <w:rFonts w:ascii="Times New Roman" w:hAnsi="Times New Roman" w:cs="Times New Roman"/>
                <w:sz w:val="20"/>
                <w:szCs w:val="20"/>
              </w:rPr>
            </w:pPr>
            <w:r w:rsidRPr="000007D2">
              <w:rPr>
                <w:rFonts w:ascii="Times New Roman" w:hAnsi="Times New Roman" w:cs="Times New Roman"/>
                <w:sz w:val="20"/>
                <w:szCs w:val="20"/>
              </w:rPr>
              <w:t>n = 8</w:t>
            </w:r>
            <w:r>
              <w:rPr>
                <w:rFonts w:ascii="Times New Roman" w:hAnsi="Times New Roman" w:cs="Times New Roman"/>
                <w:sz w:val="20"/>
                <w:szCs w:val="20"/>
              </w:rPr>
              <w:t>,893</w:t>
            </w:r>
          </w:p>
          <w:p w14:paraId="104715F9" w14:textId="13E02806" w:rsidR="005F4312" w:rsidRPr="000007D2" w:rsidRDefault="005F4312" w:rsidP="005F4312">
            <w:pPr>
              <w:widowControl w:val="0"/>
              <w:autoSpaceDE w:val="0"/>
              <w:autoSpaceDN w:val="0"/>
              <w:adjustRightInd w:val="0"/>
              <w:spacing w:after="0" w:line="240" w:lineRule="auto"/>
              <w:rPr>
                <w:rFonts w:ascii="Times New Roman" w:hAnsi="Times New Roman" w:cs="Times New Roman"/>
                <w:sz w:val="20"/>
                <w:szCs w:val="20"/>
              </w:rPr>
            </w:pPr>
            <w:r w:rsidRPr="000007D2">
              <w:rPr>
                <w:rFonts w:ascii="Times New Roman" w:hAnsi="Times New Roman" w:cs="Times New Roman"/>
                <w:sz w:val="20"/>
                <w:szCs w:val="20"/>
              </w:rPr>
              <w:t>*Rate per 10,000</w:t>
            </w:r>
          </w:p>
          <w:p w14:paraId="1222AD07" w14:textId="77777777" w:rsidR="005F4312" w:rsidRPr="000007D2" w:rsidRDefault="005F4312" w:rsidP="005F4312">
            <w:pPr>
              <w:widowControl w:val="0"/>
              <w:autoSpaceDE w:val="0"/>
              <w:autoSpaceDN w:val="0"/>
              <w:adjustRightInd w:val="0"/>
              <w:spacing w:after="0" w:line="240" w:lineRule="auto"/>
              <w:rPr>
                <w:rFonts w:ascii="Times New Roman" w:hAnsi="Times New Roman" w:cs="Times New Roman"/>
                <w:sz w:val="20"/>
                <w:szCs w:val="20"/>
              </w:rPr>
            </w:pPr>
            <w:r w:rsidRPr="000007D2">
              <w:rPr>
                <w:rFonts w:ascii="Times New Roman" w:hAnsi="Times New Roman" w:cs="Times New Roman"/>
                <w:sz w:val="20"/>
                <w:szCs w:val="20"/>
                <w:vertAlign w:val="superscript"/>
              </w:rPr>
              <w:t>†</w:t>
            </w:r>
            <w:r w:rsidRPr="000007D2">
              <w:rPr>
                <w:rFonts w:ascii="Times New Roman" w:hAnsi="Times New Roman" w:cs="Times New Roman"/>
                <w:sz w:val="20"/>
                <w:szCs w:val="20"/>
              </w:rPr>
              <w:t>Standardized composite indices</w:t>
            </w:r>
          </w:p>
        </w:tc>
      </w:tr>
    </w:tbl>
    <w:p w14:paraId="65D22BB7" w14:textId="77777777" w:rsidR="001422D2" w:rsidRPr="001C2973" w:rsidRDefault="001422D2" w:rsidP="001422D2">
      <w:pPr>
        <w:spacing w:line="480" w:lineRule="auto"/>
        <w:rPr>
          <w:rFonts w:ascii="Times New Roman" w:hAnsi="Times New Roman" w:cs="Times New Roman"/>
          <w:sz w:val="24"/>
          <w:szCs w:val="24"/>
        </w:rPr>
      </w:pPr>
    </w:p>
    <w:bookmarkEnd w:id="3"/>
    <w:p w14:paraId="4AE4022B" w14:textId="77777777" w:rsidR="001422D2" w:rsidRPr="001C2973" w:rsidRDefault="001422D2" w:rsidP="001422D2">
      <w:pPr>
        <w:rPr>
          <w:rFonts w:ascii="Times New Roman" w:hAnsi="Times New Roman" w:cs="Times New Roman"/>
          <w:sz w:val="24"/>
          <w:szCs w:val="24"/>
        </w:rPr>
        <w:sectPr w:rsidR="001422D2" w:rsidRPr="001C2973" w:rsidSect="002741A7">
          <w:pgSz w:w="15840" w:h="12240" w:orient="landscape"/>
          <w:pgMar w:top="1440" w:right="1440" w:bottom="1440" w:left="1440" w:header="720" w:footer="720" w:gutter="0"/>
          <w:cols w:space="720"/>
          <w:docGrid w:linePitch="360"/>
        </w:sectPr>
      </w:pPr>
    </w:p>
    <w:p w14:paraId="2833FAAC" w14:textId="77777777" w:rsidR="001422D2" w:rsidRPr="001C2973" w:rsidRDefault="001422D2" w:rsidP="001422D2">
      <w:pPr>
        <w:rPr>
          <w:rFonts w:ascii="Times New Roman" w:hAnsi="Times New Roman" w:cs="Times New Roman"/>
          <w:sz w:val="24"/>
          <w:szCs w:val="24"/>
        </w:rPr>
      </w:pPr>
    </w:p>
    <w:p w14:paraId="6D246429" w14:textId="77777777" w:rsidR="001422D2" w:rsidRPr="001C2973" w:rsidRDefault="001422D2" w:rsidP="001422D2">
      <w:pPr>
        <w:spacing w:line="480" w:lineRule="auto"/>
        <w:rPr>
          <w:rFonts w:ascii="Times New Roman" w:hAnsi="Times New Roman" w:cs="Times New Roman"/>
          <w:sz w:val="24"/>
          <w:szCs w:val="24"/>
        </w:rPr>
      </w:pPr>
    </w:p>
    <w:bookmarkEnd w:id="1"/>
    <w:tbl>
      <w:tblPr>
        <w:tblW w:w="0" w:type="auto"/>
        <w:tblLayout w:type="fixed"/>
        <w:tblLook w:val="0000" w:firstRow="0" w:lastRow="0" w:firstColumn="0" w:lastColumn="0" w:noHBand="0" w:noVBand="0"/>
      </w:tblPr>
      <w:tblGrid>
        <w:gridCol w:w="8030"/>
      </w:tblGrid>
      <w:tr w:rsidR="001422D2" w:rsidRPr="001C2973" w14:paraId="70CA69C7" w14:textId="77777777" w:rsidTr="002741A7">
        <w:tc>
          <w:tcPr>
            <w:tcW w:w="8030" w:type="dxa"/>
            <w:tcBorders>
              <w:top w:val="nil"/>
              <w:left w:val="nil"/>
              <w:bottom w:val="nil"/>
              <w:right w:val="nil"/>
            </w:tcBorders>
          </w:tcPr>
          <w:p w14:paraId="28236445" w14:textId="77777777" w:rsidR="001422D2" w:rsidRPr="001C2973" w:rsidRDefault="001422D2" w:rsidP="002741A7">
            <w:pPr>
              <w:rPr>
                <w:rFonts w:ascii="Times New Roman" w:hAnsi="Times New Roman" w:cs="Times New Roman"/>
                <w:sz w:val="20"/>
                <w:szCs w:val="20"/>
              </w:rPr>
            </w:pPr>
          </w:p>
        </w:tc>
      </w:tr>
    </w:tbl>
    <w:p w14:paraId="2048F8C5" w14:textId="115F9C8E" w:rsidR="001422D2" w:rsidRPr="001C2973" w:rsidRDefault="001422D2" w:rsidP="001422D2">
      <w:pPr>
        <w:widowControl w:val="0"/>
        <w:autoSpaceDE w:val="0"/>
        <w:autoSpaceDN w:val="0"/>
        <w:adjustRightInd w:val="0"/>
        <w:spacing w:after="0" w:line="240" w:lineRule="auto"/>
        <w:rPr>
          <w:rFonts w:ascii="Times New Roman" w:hAnsi="Times New Roman" w:cs="Times New Roman"/>
          <w:b/>
          <w:sz w:val="24"/>
          <w:szCs w:val="24"/>
        </w:rPr>
      </w:pPr>
      <w:bookmarkStart w:id="4" w:name="_Hlk98592485"/>
      <w:bookmarkStart w:id="5" w:name="_Hlk86673726"/>
      <w:r w:rsidRPr="001C2973">
        <w:rPr>
          <w:rFonts w:ascii="Times New Roman" w:hAnsi="Times New Roman" w:cs="Times New Roman"/>
          <w:b/>
          <w:sz w:val="24"/>
          <w:szCs w:val="20"/>
        </w:rPr>
        <w:t>Summary of results in T</w:t>
      </w:r>
      <w:r w:rsidRPr="001C2973">
        <w:rPr>
          <w:rFonts w:ascii="Times New Roman" w:hAnsi="Times New Roman" w:cs="Times New Roman"/>
          <w:b/>
          <w:sz w:val="24"/>
          <w:szCs w:val="24"/>
        </w:rPr>
        <w:t>ables S</w:t>
      </w:r>
      <w:r w:rsidR="0043468B">
        <w:rPr>
          <w:rFonts w:ascii="Times New Roman" w:hAnsi="Times New Roman" w:cs="Times New Roman"/>
          <w:b/>
          <w:sz w:val="24"/>
          <w:szCs w:val="24"/>
        </w:rPr>
        <w:t>1</w:t>
      </w:r>
    </w:p>
    <w:bookmarkEnd w:id="4"/>
    <w:p w14:paraId="2A7C729D" w14:textId="77777777" w:rsidR="001422D2" w:rsidRPr="001C2973" w:rsidRDefault="001422D2" w:rsidP="001422D2">
      <w:pPr>
        <w:widowControl w:val="0"/>
        <w:autoSpaceDE w:val="0"/>
        <w:autoSpaceDN w:val="0"/>
        <w:adjustRightInd w:val="0"/>
        <w:spacing w:after="0" w:line="240" w:lineRule="auto"/>
        <w:rPr>
          <w:rFonts w:ascii="Times New Roman" w:hAnsi="Times New Roman" w:cs="Times New Roman"/>
          <w:b/>
          <w:sz w:val="24"/>
          <w:szCs w:val="24"/>
        </w:rPr>
      </w:pPr>
    </w:p>
    <w:bookmarkEnd w:id="5"/>
    <w:p w14:paraId="5F88C3A8" w14:textId="4E3934F3" w:rsidR="001422D2" w:rsidRPr="001C2973" w:rsidRDefault="001422D2" w:rsidP="001422D2">
      <w:pPr>
        <w:spacing w:line="480" w:lineRule="auto"/>
        <w:rPr>
          <w:rFonts w:ascii="Times New Roman" w:hAnsi="Times New Roman" w:cs="Times New Roman"/>
          <w:sz w:val="24"/>
          <w:szCs w:val="24"/>
        </w:rPr>
      </w:pPr>
      <w:r w:rsidRPr="001C2973">
        <w:rPr>
          <w:rFonts w:ascii="Times New Roman" w:hAnsi="Times New Roman" w:cs="Times New Roman"/>
          <w:sz w:val="24"/>
          <w:szCs w:val="24"/>
        </w:rPr>
        <w:tab/>
        <w:t>Spearman’s correlation coefficients (Table S</w:t>
      </w:r>
      <w:r w:rsidR="0043468B">
        <w:rPr>
          <w:rFonts w:ascii="Times New Roman" w:hAnsi="Times New Roman" w:cs="Times New Roman"/>
          <w:sz w:val="24"/>
          <w:szCs w:val="24"/>
        </w:rPr>
        <w:t>1</w:t>
      </w:r>
      <w:r w:rsidRPr="001C2973">
        <w:rPr>
          <w:rFonts w:ascii="Times New Roman" w:hAnsi="Times New Roman" w:cs="Times New Roman"/>
          <w:sz w:val="24"/>
          <w:szCs w:val="24"/>
        </w:rPr>
        <w:t>) suggest a mixed relationship between social capital indices and CVD mortality rates. The overall relationship between the full social capital index and CVD mortality rates was</w:t>
      </w:r>
      <w:r w:rsidR="00EF45FE">
        <w:rPr>
          <w:rFonts w:ascii="Times New Roman" w:hAnsi="Times New Roman" w:cs="Times New Roman"/>
          <w:sz w:val="24"/>
          <w:szCs w:val="24"/>
        </w:rPr>
        <w:t xml:space="preserve"> very weak</w:t>
      </w:r>
      <w:r w:rsidRPr="001C2973">
        <w:rPr>
          <w:rFonts w:ascii="Times New Roman" w:hAnsi="Times New Roman" w:cs="Times New Roman"/>
          <w:sz w:val="24"/>
          <w:szCs w:val="24"/>
        </w:rPr>
        <w:t xml:space="preserve"> and negative (-0.0</w:t>
      </w:r>
      <w:r w:rsidR="00EF45FE">
        <w:rPr>
          <w:rFonts w:ascii="Times New Roman" w:hAnsi="Times New Roman" w:cs="Times New Roman"/>
          <w:sz w:val="24"/>
          <w:szCs w:val="24"/>
        </w:rPr>
        <w:t>1</w:t>
      </w:r>
      <w:r w:rsidRPr="001C2973">
        <w:rPr>
          <w:rFonts w:ascii="Times New Roman" w:hAnsi="Times New Roman" w:cs="Times New Roman"/>
          <w:sz w:val="24"/>
          <w:szCs w:val="24"/>
        </w:rPr>
        <w:t>). Both the relationship between family unity and CVD mortality (-0.</w:t>
      </w:r>
      <w:r w:rsidR="00EF45FE">
        <w:rPr>
          <w:rFonts w:ascii="Times New Roman" w:hAnsi="Times New Roman" w:cs="Times New Roman"/>
          <w:sz w:val="24"/>
          <w:szCs w:val="24"/>
        </w:rPr>
        <w:t>34</w:t>
      </w:r>
      <w:r w:rsidRPr="001C2973">
        <w:rPr>
          <w:rFonts w:ascii="Times New Roman" w:hAnsi="Times New Roman" w:cs="Times New Roman"/>
          <w:sz w:val="24"/>
          <w:szCs w:val="24"/>
        </w:rPr>
        <w:t>) and the relationship between collective efficacy and CVD mortality (-0.1</w:t>
      </w:r>
      <w:r w:rsidR="00EF45FE">
        <w:rPr>
          <w:rFonts w:ascii="Times New Roman" w:hAnsi="Times New Roman" w:cs="Times New Roman"/>
          <w:sz w:val="24"/>
          <w:szCs w:val="24"/>
        </w:rPr>
        <w:t>9</w:t>
      </w:r>
      <w:r w:rsidRPr="001C2973">
        <w:rPr>
          <w:rFonts w:ascii="Times New Roman" w:hAnsi="Times New Roman" w:cs="Times New Roman"/>
          <w:sz w:val="24"/>
          <w:szCs w:val="24"/>
        </w:rPr>
        <w:t>) were also modest and negative. The relationship</w:t>
      </w:r>
      <w:r w:rsidR="00EF45FE">
        <w:rPr>
          <w:rFonts w:ascii="Times New Roman" w:hAnsi="Times New Roman" w:cs="Times New Roman"/>
          <w:sz w:val="24"/>
          <w:szCs w:val="24"/>
        </w:rPr>
        <w:t xml:space="preserve">s </w:t>
      </w:r>
      <w:r w:rsidRPr="001C2973">
        <w:rPr>
          <w:rFonts w:ascii="Times New Roman" w:hAnsi="Times New Roman" w:cs="Times New Roman"/>
          <w:sz w:val="24"/>
          <w:szCs w:val="24"/>
        </w:rPr>
        <w:t xml:space="preserve">between informal civil </w:t>
      </w:r>
      <w:r w:rsidR="00EF45FE" w:rsidRPr="001C2973">
        <w:rPr>
          <w:rFonts w:ascii="Times New Roman" w:hAnsi="Times New Roman" w:cs="Times New Roman"/>
          <w:sz w:val="24"/>
          <w:szCs w:val="24"/>
        </w:rPr>
        <w:t>society</w:t>
      </w:r>
      <w:r w:rsidRPr="001C2973">
        <w:rPr>
          <w:rFonts w:ascii="Times New Roman" w:hAnsi="Times New Roman" w:cs="Times New Roman"/>
          <w:sz w:val="24"/>
          <w:szCs w:val="24"/>
        </w:rPr>
        <w:t xml:space="preserve"> and CVD</w:t>
      </w:r>
      <w:r w:rsidR="00EF45FE">
        <w:rPr>
          <w:rFonts w:ascii="Times New Roman" w:hAnsi="Times New Roman" w:cs="Times New Roman"/>
          <w:sz w:val="24"/>
          <w:szCs w:val="24"/>
        </w:rPr>
        <w:t xml:space="preserve"> mortality </w:t>
      </w:r>
      <w:r w:rsidR="00EF45FE" w:rsidRPr="001C2973">
        <w:rPr>
          <w:rFonts w:ascii="Times New Roman" w:hAnsi="Times New Roman" w:cs="Times New Roman"/>
          <w:sz w:val="24"/>
          <w:szCs w:val="24"/>
        </w:rPr>
        <w:t>(0.</w:t>
      </w:r>
      <w:r w:rsidR="00EF45FE">
        <w:rPr>
          <w:rFonts w:ascii="Times New Roman" w:hAnsi="Times New Roman" w:cs="Times New Roman"/>
          <w:sz w:val="24"/>
          <w:szCs w:val="24"/>
        </w:rPr>
        <w:t>2</w:t>
      </w:r>
      <w:r w:rsidR="00EF45FE" w:rsidRPr="001C2973">
        <w:rPr>
          <w:rFonts w:ascii="Times New Roman" w:hAnsi="Times New Roman" w:cs="Times New Roman"/>
          <w:sz w:val="24"/>
          <w:szCs w:val="24"/>
        </w:rPr>
        <w:t>3)</w:t>
      </w:r>
      <w:r w:rsidR="00EF45FE">
        <w:rPr>
          <w:rFonts w:ascii="Times New Roman" w:hAnsi="Times New Roman" w:cs="Times New Roman"/>
          <w:sz w:val="24"/>
          <w:szCs w:val="24"/>
        </w:rPr>
        <w:t xml:space="preserve"> as well as </w:t>
      </w:r>
      <w:r w:rsidR="00EF45FE" w:rsidRPr="001C2973">
        <w:rPr>
          <w:rFonts w:ascii="Times New Roman" w:hAnsi="Times New Roman" w:cs="Times New Roman"/>
          <w:sz w:val="24"/>
          <w:szCs w:val="24"/>
        </w:rPr>
        <w:t>institutional confidence</w:t>
      </w:r>
      <w:r w:rsidR="00EF45FE">
        <w:rPr>
          <w:rFonts w:ascii="Times New Roman" w:hAnsi="Times New Roman" w:cs="Times New Roman"/>
          <w:sz w:val="24"/>
          <w:szCs w:val="24"/>
        </w:rPr>
        <w:t xml:space="preserve"> and CVD mortality (0.26) were both moderate and positive. There </w:t>
      </w:r>
      <w:r w:rsidRPr="001C2973">
        <w:rPr>
          <w:rFonts w:ascii="Times New Roman" w:hAnsi="Times New Roman" w:cs="Times New Roman"/>
          <w:sz w:val="24"/>
          <w:szCs w:val="24"/>
        </w:rPr>
        <w:t xml:space="preserve">also evidence that </w:t>
      </w:r>
      <w:r w:rsidR="00EF45FE">
        <w:rPr>
          <w:rFonts w:ascii="Times New Roman" w:hAnsi="Times New Roman" w:cs="Times New Roman"/>
          <w:sz w:val="24"/>
          <w:szCs w:val="24"/>
        </w:rPr>
        <w:t xml:space="preserve">the unique </w:t>
      </w:r>
      <w:r w:rsidRPr="001C2973">
        <w:rPr>
          <w:rFonts w:ascii="Times New Roman" w:hAnsi="Times New Roman" w:cs="Times New Roman"/>
          <w:sz w:val="24"/>
          <w:szCs w:val="24"/>
        </w:rPr>
        <w:t>social capital sub-indices share unique relationships with CVD mortality</w:t>
      </w:r>
      <w:r w:rsidR="00EF45FE">
        <w:rPr>
          <w:rFonts w:ascii="Times New Roman" w:hAnsi="Times New Roman" w:cs="Times New Roman"/>
          <w:sz w:val="24"/>
          <w:szCs w:val="24"/>
        </w:rPr>
        <w:t xml:space="preserve"> that run in different directions, rendering the effect of the full social capital index difficult to detect</w:t>
      </w:r>
      <w:r w:rsidRPr="001C2973">
        <w:rPr>
          <w:rFonts w:ascii="Times New Roman" w:hAnsi="Times New Roman" w:cs="Times New Roman"/>
          <w:sz w:val="24"/>
          <w:szCs w:val="24"/>
        </w:rPr>
        <w:t>. The indicators that compose sub-indices tend to be moderately to strongly and positively correlated amongst themselves, and with the scores of their respective sub-indices, indicating that indices and indicators are measuring similar concepts.</w:t>
      </w:r>
    </w:p>
    <w:p w14:paraId="1CC6E1FE" w14:textId="77777777" w:rsidR="001422D2" w:rsidRPr="001C2973" w:rsidRDefault="001422D2" w:rsidP="001422D2">
      <w:pPr>
        <w:rPr>
          <w:rFonts w:ascii="Times New Roman" w:hAnsi="Times New Roman" w:cs="Times New Roman"/>
          <w:sz w:val="24"/>
          <w:szCs w:val="24"/>
        </w:rPr>
      </w:pPr>
      <w:r w:rsidRPr="001C2973">
        <w:rPr>
          <w:rFonts w:ascii="Times New Roman" w:hAnsi="Times New Roman" w:cs="Times New Roman"/>
          <w:sz w:val="24"/>
          <w:szCs w:val="24"/>
        </w:rPr>
        <w:br w:type="page"/>
      </w:r>
    </w:p>
    <w:p w14:paraId="14D89E93" w14:textId="77777777" w:rsidR="001422D2" w:rsidRPr="001C2973" w:rsidRDefault="001422D2" w:rsidP="001422D2">
      <w:pPr>
        <w:rPr>
          <w:rFonts w:ascii="Times New Roman" w:hAnsi="Times New Roman" w:cs="Times New Roman"/>
          <w:sz w:val="24"/>
          <w:szCs w:val="24"/>
        </w:rPr>
      </w:pPr>
      <w:r w:rsidRPr="001C2973">
        <w:rPr>
          <w:rFonts w:ascii="Times New Roman" w:hAnsi="Times New Roman" w:cs="Times New Roman"/>
          <w:b/>
          <w:sz w:val="24"/>
          <w:szCs w:val="24"/>
        </w:rPr>
        <w:lastRenderedPageBreak/>
        <w:t xml:space="preserve">Supplementary Figure S1. </w:t>
      </w:r>
      <w:r w:rsidRPr="001C2973">
        <w:rPr>
          <w:rFonts w:ascii="Times New Roman" w:hAnsi="Times New Roman" w:cs="Times New Roman"/>
          <w:sz w:val="24"/>
          <w:szCs w:val="24"/>
        </w:rPr>
        <w:t xml:space="preserve">Distribution of Informal Civil Society Coefficient </w:t>
      </w:r>
    </w:p>
    <w:p w14:paraId="554823F3" w14:textId="7C1AFCE5" w:rsidR="001422D2" w:rsidRPr="001C2973" w:rsidRDefault="001422D2" w:rsidP="001422D2">
      <w:pPr>
        <w:rPr>
          <w:rFonts w:ascii="Times New Roman" w:hAnsi="Times New Roman" w:cs="Times New Roman"/>
          <w:sz w:val="24"/>
          <w:szCs w:val="24"/>
        </w:rPr>
      </w:pPr>
    </w:p>
    <w:p w14:paraId="4B98041B" w14:textId="0912241E" w:rsidR="001422D2" w:rsidRPr="001C2973" w:rsidRDefault="00F32AB2" w:rsidP="001422D2">
      <w:pPr>
        <w:rPr>
          <w:rFonts w:ascii="Times New Roman" w:hAnsi="Times New Roman" w:cs="Times New Roman"/>
          <w:b/>
          <w:sz w:val="24"/>
          <w:szCs w:val="24"/>
          <w:lang w:val="en-GB"/>
        </w:rPr>
      </w:pPr>
      <w:r>
        <w:rPr>
          <w:noProof/>
        </w:rPr>
        <w:drawing>
          <wp:inline distT="0" distB="0" distL="0" distR="0" wp14:anchorId="1800439B" wp14:editId="68D15B14">
            <wp:extent cx="5025711" cy="3657600"/>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52261" cy="3676922"/>
                    </a:xfrm>
                    <a:prstGeom prst="rect">
                      <a:avLst/>
                    </a:prstGeom>
                    <a:noFill/>
                    <a:ln>
                      <a:noFill/>
                    </a:ln>
                  </pic:spPr>
                </pic:pic>
              </a:graphicData>
            </a:graphic>
          </wp:inline>
        </w:drawing>
      </w:r>
      <w:r w:rsidR="001422D2" w:rsidRPr="001C2973">
        <w:rPr>
          <w:rFonts w:ascii="Times New Roman" w:hAnsi="Times New Roman" w:cs="Times New Roman"/>
          <w:b/>
          <w:sz w:val="24"/>
          <w:szCs w:val="24"/>
          <w:lang w:val="en-GB"/>
        </w:rPr>
        <w:br w:type="page"/>
      </w:r>
    </w:p>
    <w:p w14:paraId="21E2700E" w14:textId="77777777" w:rsidR="001422D2" w:rsidRPr="001C2973" w:rsidRDefault="001422D2" w:rsidP="001422D2">
      <w:pPr>
        <w:spacing w:after="0" w:line="240" w:lineRule="auto"/>
        <w:ind w:left="720" w:hanging="720"/>
        <w:rPr>
          <w:rFonts w:ascii="Times New Roman" w:hAnsi="Times New Roman" w:cs="Times New Roman"/>
          <w:sz w:val="24"/>
          <w:szCs w:val="24"/>
          <w:lang w:val="en-GB"/>
        </w:rPr>
      </w:pPr>
      <w:r w:rsidRPr="001C2973">
        <w:rPr>
          <w:rFonts w:ascii="Times New Roman" w:hAnsi="Times New Roman" w:cs="Times New Roman"/>
          <w:b/>
          <w:sz w:val="24"/>
          <w:szCs w:val="24"/>
          <w:lang w:val="en-GB"/>
        </w:rPr>
        <w:lastRenderedPageBreak/>
        <w:t xml:space="preserve">Supplemental Figure S2. </w:t>
      </w:r>
      <w:r w:rsidRPr="001C2973">
        <w:rPr>
          <w:rFonts w:ascii="Times New Roman" w:hAnsi="Times New Roman" w:cs="Times New Roman"/>
          <w:sz w:val="24"/>
          <w:szCs w:val="24"/>
        </w:rPr>
        <w:t>Distribution of Confidence in Institutions Coefficient</w:t>
      </w:r>
    </w:p>
    <w:p w14:paraId="06F18050" w14:textId="77777777" w:rsidR="001422D2" w:rsidRPr="001C2973" w:rsidRDefault="001422D2" w:rsidP="001422D2">
      <w:pPr>
        <w:spacing w:after="0" w:line="240" w:lineRule="auto"/>
        <w:ind w:left="720" w:hanging="720"/>
        <w:rPr>
          <w:rFonts w:ascii="Times New Roman" w:hAnsi="Times New Roman" w:cs="Times New Roman"/>
          <w:b/>
          <w:sz w:val="24"/>
          <w:szCs w:val="24"/>
          <w:lang w:val="en-GB"/>
        </w:rPr>
      </w:pPr>
    </w:p>
    <w:p w14:paraId="79D42B84" w14:textId="61BF5E23" w:rsidR="001422D2" w:rsidRPr="001C2973" w:rsidRDefault="001422D2" w:rsidP="001422D2">
      <w:pPr>
        <w:spacing w:after="0" w:line="240" w:lineRule="auto"/>
        <w:ind w:left="720" w:hanging="720"/>
        <w:rPr>
          <w:rFonts w:ascii="Times New Roman" w:hAnsi="Times New Roman" w:cs="Times New Roman"/>
          <w:b/>
          <w:sz w:val="24"/>
          <w:szCs w:val="24"/>
          <w:lang w:val="en-GB"/>
        </w:rPr>
      </w:pPr>
    </w:p>
    <w:p w14:paraId="5B965878" w14:textId="74BDD948" w:rsidR="001422D2" w:rsidRPr="001C2973" w:rsidRDefault="00F32AB2" w:rsidP="001422D2">
      <w:pPr>
        <w:rPr>
          <w:rFonts w:ascii="Times New Roman" w:hAnsi="Times New Roman" w:cs="Times New Roman"/>
          <w:b/>
          <w:sz w:val="24"/>
          <w:szCs w:val="24"/>
          <w:lang w:val="en-GB"/>
        </w:rPr>
      </w:pPr>
      <w:r w:rsidRPr="00F32AB2">
        <w:rPr>
          <w:rFonts w:ascii="Times New Roman" w:hAnsi="Times New Roman" w:cs="Times New Roman"/>
          <w:b/>
          <w:noProof/>
          <w:sz w:val="24"/>
          <w:szCs w:val="24"/>
          <w:lang w:val="en-GB"/>
        </w:rPr>
        <w:drawing>
          <wp:inline distT="0" distB="0" distL="0" distR="0" wp14:anchorId="32459E03" wp14:editId="33CBA07F">
            <wp:extent cx="5029200" cy="3657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029200" cy="3657600"/>
                    </a:xfrm>
                    <a:prstGeom prst="rect">
                      <a:avLst/>
                    </a:prstGeom>
                    <a:noFill/>
                    <a:ln>
                      <a:noFill/>
                    </a:ln>
                  </pic:spPr>
                </pic:pic>
              </a:graphicData>
            </a:graphic>
          </wp:inline>
        </w:drawing>
      </w:r>
      <w:r w:rsidR="001422D2" w:rsidRPr="001C2973">
        <w:rPr>
          <w:rFonts w:ascii="Times New Roman" w:hAnsi="Times New Roman" w:cs="Times New Roman"/>
          <w:b/>
          <w:sz w:val="24"/>
          <w:szCs w:val="24"/>
          <w:lang w:val="en-GB"/>
        </w:rPr>
        <w:br w:type="page"/>
      </w:r>
    </w:p>
    <w:p w14:paraId="31CCD4A1" w14:textId="77777777" w:rsidR="001422D2" w:rsidRPr="001C2973" w:rsidRDefault="001422D2" w:rsidP="001422D2">
      <w:pPr>
        <w:widowControl w:val="0"/>
        <w:autoSpaceDE w:val="0"/>
        <w:autoSpaceDN w:val="0"/>
        <w:adjustRightInd w:val="0"/>
        <w:spacing w:after="0" w:line="240" w:lineRule="auto"/>
        <w:rPr>
          <w:rFonts w:ascii="Times New Roman" w:hAnsi="Times New Roman" w:cs="Times New Roman"/>
          <w:b/>
          <w:sz w:val="24"/>
          <w:szCs w:val="24"/>
        </w:rPr>
      </w:pPr>
      <w:r w:rsidRPr="001C2973">
        <w:rPr>
          <w:rFonts w:ascii="Times New Roman" w:hAnsi="Times New Roman" w:cs="Times New Roman"/>
          <w:b/>
          <w:sz w:val="24"/>
          <w:szCs w:val="20"/>
        </w:rPr>
        <w:lastRenderedPageBreak/>
        <w:t>Summary of Figures</w:t>
      </w:r>
      <w:r w:rsidRPr="001C2973">
        <w:rPr>
          <w:rFonts w:ascii="Times New Roman" w:hAnsi="Times New Roman" w:cs="Times New Roman"/>
          <w:b/>
          <w:sz w:val="24"/>
          <w:szCs w:val="24"/>
        </w:rPr>
        <w:t xml:space="preserve"> S1-S2</w:t>
      </w:r>
    </w:p>
    <w:p w14:paraId="1A05E095" w14:textId="77777777" w:rsidR="001422D2" w:rsidRPr="001C2973" w:rsidRDefault="001422D2" w:rsidP="001422D2">
      <w:pPr>
        <w:widowControl w:val="0"/>
        <w:autoSpaceDE w:val="0"/>
        <w:autoSpaceDN w:val="0"/>
        <w:adjustRightInd w:val="0"/>
        <w:spacing w:after="0" w:line="240" w:lineRule="auto"/>
        <w:rPr>
          <w:rFonts w:ascii="Times New Roman" w:hAnsi="Times New Roman" w:cs="Times New Roman"/>
          <w:sz w:val="24"/>
          <w:szCs w:val="20"/>
        </w:rPr>
      </w:pPr>
    </w:p>
    <w:p w14:paraId="12C70A3D" w14:textId="793BCC65" w:rsidR="001422D2" w:rsidRPr="001C2973" w:rsidRDefault="001422D2" w:rsidP="00BD7DD2">
      <w:pPr>
        <w:widowControl w:val="0"/>
        <w:autoSpaceDE w:val="0"/>
        <w:autoSpaceDN w:val="0"/>
        <w:adjustRightInd w:val="0"/>
        <w:spacing w:after="0" w:line="480" w:lineRule="auto"/>
        <w:ind w:firstLine="720"/>
        <w:rPr>
          <w:rFonts w:ascii="Times New Roman" w:hAnsi="Times New Roman" w:cs="Times New Roman"/>
          <w:sz w:val="24"/>
          <w:szCs w:val="20"/>
        </w:rPr>
      </w:pPr>
      <w:r w:rsidRPr="001C2973">
        <w:rPr>
          <w:rFonts w:ascii="Times New Roman" w:hAnsi="Times New Roman" w:cs="Times New Roman"/>
          <w:sz w:val="24"/>
          <w:szCs w:val="20"/>
        </w:rPr>
        <w:t>Figure S1 shows the distribution of the Informal Civil Society Index coefficient for all 106 counties over the course of the 2013-2018 study period. We excluded these data for several reasons. First, these variables were designed to be treated as continuous. However, both variables only take on 6 values over the course of the study. Second, the coefficients represent mean-standardized scores on a scale created to measure state-level social capital. For both coefficients, all values fall within 1.5 standard deviations of the mean coefficient score. The lack of variation within counties over time coupled with little variation between counties across space indicates that these variables capture a static state-level social capital variable, as opposed to the longitudinal county-level measures.</w:t>
      </w:r>
    </w:p>
    <w:p w14:paraId="78E072BD" w14:textId="77777777" w:rsidR="001422D2" w:rsidRPr="001C2973" w:rsidRDefault="001422D2" w:rsidP="001422D2">
      <w:pPr>
        <w:rPr>
          <w:rFonts w:ascii="Times New Roman" w:hAnsi="Times New Roman" w:cs="Times New Roman"/>
          <w:sz w:val="24"/>
          <w:szCs w:val="20"/>
        </w:rPr>
      </w:pPr>
      <w:r w:rsidRPr="001C2973">
        <w:rPr>
          <w:rFonts w:ascii="Times New Roman" w:hAnsi="Times New Roman" w:cs="Times New Roman"/>
          <w:sz w:val="24"/>
          <w:szCs w:val="20"/>
        </w:rPr>
        <w:br w:type="page"/>
      </w:r>
    </w:p>
    <w:p w14:paraId="607096FC" w14:textId="061D492A" w:rsidR="00951277" w:rsidRPr="000007D2" w:rsidRDefault="00B961FF" w:rsidP="000007D2">
      <w:pPr>
        <w:spacing w:line="240" w:lineRule="auto"/>
        <w:rPr>
          <w:rFonts w:ascii="Times New Roman" w:hAnsi="Times New Roman" w:cs="Times New Roman"/>
          <w:b/>
          <w:sz w:val="24"/>
          <w:szCs w:val="24"/>
        </w:rPr>
      </w:pPr>
      <w:r w:rsidRPr="001C2973">
        <w:rPr>
          <w:rFonts w:ascii="Times New Roman" w:hAnsi="Times New Roman" w:cs="Times New Roman"/>
        </w:rPr>
        <w:lastRenderedPageBreak/>
        <w:t xml:space="preserve"> </w:t>
      </w:r>
    </w:p>
    <w:p w14:paraId="7FCB4FD7" w14:textId="7C19B678" w:rsidR="00951277" w:rsidRPr="001C2973" w:rsidRDefault="00951277" w:rsidP="00951277">
      <w:pPr>
        <w:widowControl w:val="0"/>
        <w:autoSpaceDE w:val="0"/>
        <w:autoSpaceDN w:val="0"/>
        <w:adjustRightInd w:val="0"/>
        <w:spacing w:after="0" w:line="240" w:lineRule="auto"/>
        <w:rPr>
          <w:rFonts w:ascii="Times New Roman" w:hAnsi="Times New Roman" w:cs="Times New Roman"/>
          <w:b/>
          <w:sz w:val="24"/>
          <w:szCs w:val="24"/>
        </w:rPr>
      </w:pPr>
      <w:r w:rsidRPr="001C2973">
        <w:rPr>
          <w:rFonts w:ascii="Times New Roman" w:hAnsi="Times New Roman" w:cs="Times New Roman"/>
          <w:b/>
          <w:sz w:val="24"/>
          <w:szCs w:val="24"/>
        </w:rPr>
        <w:t>References</w:t>
      </w:r>
    </w:p>
    <w:p w14:paraId="017A0AAA" w14:textId="77777777" w:rsidR="00951277" w:rsidRPr="001C2973" w:rsidRDefault="00951277" w:rsidP="00951277">
      <w:pPr>
        <w:widowControl w:val="0"/>
        <w:autoSpaceDE w:val="0"/>
        <w:autoSpaceDN w:val="0"/>
        <w:adjustRightInd w:val="0"/>
        <w:spacing w:after="0" w:line="240" w:lineRule="auto"/>
        <w:rPr>
          <w:rFonts w:ascii="Times New Roman" w:hAnsi="Times New Roman" w:cs="Times New Roman"/>
          <w:b/>
          <w:sz w:val="24"/>
          <w:szCs w:val="24"/>
        </w:rPr>
      </w:pPr>
    </w:p>
    <w:p w14:paraId="54CB7A58" w14:textId="6E6B2B8C" w:rsidR="00951277" w:rsidRPr="001C2973" w:rsidRDefault="00951277" w:rsidP="00951277">
      <w:pPr>
        <w:widowControl w:val="0"/>
        <w:autoSpaceDE w:val="0"/>
        <w:autoSpaceDN w:val="0"/>
        <w:adjustRightInd w:val="0"/>
        <w:spacing w:after="0" w:line="240" w:lineRule="auto"/>
        <w:ind w:left="720" w:hanging="720"/>
        <w:rPr>
          <w:rFonts w:ascii="Times New Roman" w:hAnsi="Times New Roman" w:cs="Times New Roman"/>
          <w:noProof/>
          <w:sz w:val="24"/>
          <w:szCs w:val="24"/>
        </w:rPr>
      </w:pPr>
      <w:r w:rsidRPr="001C2973">
        <w:rPr>
          <w:rFonts w:ascii="Times New Roman" w:hAnsi="Times New Roman" w:cs="Times New Roman"/>
          <w:sz w:val="24"/>
          <w:szCs w:val="24"/>
        </w:rPr>
        <w:fldChar w:fldCharType="begin" w:fldLock="1"/>
      </w:r>
      <w:r w:rsidRPr="001C2973">
        <w:rPr>
          <w:rFonts w:ascii="Times New Roman" w:hAnsi="Times New Roman" w:cs="Times New Roman"/>
          <w:sz w:val="24"/>
          <w:szCs w:val="24"/>
        </w:rPr>
        <w:instrText>ADDIN paperpile_bibliography &lt;pp-bibliography&gt;&lt;first-reference-indices&gt;&lt;formatting&gt;1&lt;/formatting&gt;&lt;space-after&gt;1&lt;/space-after&gt;&lt;/first-reference-indices&gt;&lt;/pp-bibliography&gt; \* MERGEFORMAT</w:instrText>
      </w:r>
      <w:r w:rsidRPr="001C2973">
        <w:rPr>
          <w:rFonts w:ascii="Times New Roman" w:hAnsi="Times New Roman" w:cs="Times New Roman"/>
          <w:sz w:val="24"/>
          <w:szCs w:val="24"/>
        </w:rPr>
        <w:fldChar w:fldCharType="separate"/>
      </w:r>
      <w:r w:rsidRPr="001C2973">
        <w:rPr>
          <w:rFonts w:ascii="Times New Roman" w:hAnsi="Times New Roman" w:cs="Times New Roman"/>
          <w:noProof/>
          <w:sz w:val="24"/>
          <w:szCs w:val="24"/>
        </w:rPr>
        <w:t>“North American Industry Classification System.” 2017. Executive Office of the President &amp; The Office of Management and Budget. census.gov/naics.</w:t>
      </w:r>
    </w:p>
    <w:p w14:paraId="723645B9" w14:textId="77777777" w:rsidR="00951277" w:rsidRPr="001C2973" w:rsidRDefault="00951277" w:rsidP="00951277">
      <w:pPr>
        <w:widowControl w:val="0"/>
        <w:autoSpaceDE w:val="0"/>
        <w:autoSpaceDN w:val="0"/>
        <w:adjustRightInd w:val="0"/>
        <w:spacing w:after="0" w:line="240" w:lineRule="auto"/>
        <w:ind w:left="720" w:hanging="720"/>
        <w:rPr>
          <w:rFonts w:ascii="Times New Roman" w:hAnsi="Times New Roman" w:cs="Times New Roman"/>
          <w:noProof/>
          <w:sz w:val="24"/>
          <w:szCs w:val="24"/>
        </w:rPr>
      </w:pPr>
      <w:r w:rsidRPr="001C2973">
        <w:rPr>
          <w:rFonts w:ascii="Times New Roman" w:hAnsi="Times New Roman" w:cs="Times New Roman"/>
          <w:noProof/>
          <w:sz w:val="24"/>
          <w:szCs w:val="24"/>
        </w:rPr>
        <w:t>Robert Wood Johnson. 2020. “Violent Crime Rates.” County Health Rankings and Roadmaps. 2020. https://www.countyhealthrankings.org/explore-health-rankings/measures-data-sources/county-health-rankings-model/health-factors/social-and-economic-factors/community-safety/violent-crime-rate.</w:t>
      </w:r>
    </w:p>
    <w:p w14:paraId="3E0A9AC5" w14:textId="77777777" w:rsidR="00951277" w:rsidRPr="001C2973" w:rsidRDefault="00951277" w:rsidP="00951277">
      <w:pPr>
        <w:widowControl w:val="0"/>
        <w:autoSpaceDE w:val="0"/>
        <w:autoSpaceDN w:val="0"/>
        <w:adjustRightInd w:val="0"/>
        <w:spacing w:after="0" w:line="240" w:lineRule="auto"/>
        <w:ind w:left="720" w:hanging="720"/>
        <w:rPr>
          <w:rFonts w:ascii="Times New Roman" w:hAnsi="Times New Roman" w:cs="Times New Roman"/>
          <w:noProof/>
          <w:sz w:val="24"/>
          <w:szCs w:val="24"/>
        </w:rPr>
      </w:pPr>
      <w:r w:rsidRPr="001C2973">
        <w:rPr>
          <w:rFonts w:ascii="Times New Roman" w:hAnsi="Times New Roman" w:cs="Times New Roman"/>
          <w:noProof/>
          <w:sz w:val="24"/>
          <w:szCs w:val="24"/>
        </w:rPr>
        <w:t>United States Joint Economic Committee. 2018. “The Geography of Social Capital in America - Analysis - United States Joint Economic Committee.” April 11, 2018. https://www.jec.senate.gov/public/index.cfm/republicans/2018/4/the-geography-of-social-capital-in-america.</w:t>
      </w:r>
    </w:p>
    <w:p w14:paraId="708A6975" w14:textId="77777777" w:rsidR="00951277" w:rsidRPr="001C2973" w:rsidRDefault="00951277" w:rsidP="00951277">
      <w:pPr>
        <w:widowControl w:val="0"/>
        <w:autoSpaceDE w:val="0"/>
        <w:autoSpaceDN w:val="0"/>
        <w:adjustRightInd w:val="0"/>
        <w:spacing w:after="0" w:line="240" w:lineRule="auto"/>
        <w:ind w:left="720" w:hanging="720"/>
        <w:rPr>
          <w:rFonts w:ascii="Times New Roman" w:hAnsi="Times New Roman" w:cs="Times New Roman"/>
          <w:noProof/>
          <w:sz w:val="24"/>
          <w:szCs w:val="24"/>
        </w:rPr>
      </w:pPr>
      <w:r w:rsidRPr="001C2973">
        <w:rPr>
          <w:rFonts w:ascii="Times New Roman" w:hAnsi="Times New Roman" w:cs="Times New Roman"/>
          <w:noProof/>
          <w:sz w:val="24"/>
          <w:szCs w:val="24"/>
        </w:rPr>
        <w:t>U.S. Census Bureau. 2018. “American FactFinder - Community Facts,” October. https://factfinder.census.gov/faces/nav/jsf/pages/community_facts.xhtml?src=bkmk.</w:t>
      </w:r>
    </w:p>
    <w:p w14:paraId="612DA416" w14:textId="0555C6C6" w:rsidR="00951277" w:rsidRPr="001C2973" w:rsidRDefault="00951277" w:rsidP="00951277">
      <w:pPr>
        <w:widowControl w:val="0"/>
        <w:autoSpaceDE w:val="0"/>
        <w:autoSpaceDN w:val="0"/>
        <w:adjustRightInd w:val="0"/>
        <w:spacing w:after="0" w:line="240" w:lineRule="auto"/>
        <w:ind w:left="720" w:hanging="720"/>
        <w:rPr>
          <w:rFonts w:ascii="Times New Roman" w:hAnsi="Times New Roman" w:cs="Times New Roman"/>
          <w:noProof/>
          <w:sz w:val="24"/>
          <w:szCs w:val="24"/>
        </w:rPr>
      </w:pPr>
      <w:r w:rsidRPr="001C2973">
        <w:rPr>
          <w:rFonts w:ascii="Times New Roman" w:hAnsi="Times New Roman" w:cs="Times New Roman"/>
          <w:noProof/>
          <w:sz w:val="24"/>
          <w:szCs w:val="24"/>
        </w:rPr>
        <w:t>US Census Bureau. 2019 “2010 Census Participation Rates.” Accessed September 19, 2020. https://www.census.gov/data/datasets/2010/dec/2010-participation-rates.html.</w:t>
      </w:r>
    </w:p>
    <w:p w14:paraId="422128EE" w14:textId="2EFCD5A2" w:rsidR="00951277" w:rsidRPr="001C2973" w:rsidRDefault="00951277" w:rsidP="00951277">
      <w:pPr>
        <w:widowControl w:val="0"/>
        <w:autoSpaceDE w:val="0"/>
        <w:autoSpaceDN w:val="0"/>
        <w:adjustRightInd w:val="0"/>
        <w:spacing w:after="0" w:line="240" w:lineRule="auto"/>
        <w:ind w:left="720" w:hanging="720"/>
        <w:rPr>
          <w:rFonts w:ascii="Times New Roman" w:hAnsi="Times New Roman" w:cs="Times New Roman"/>
          <w:sz w:val="24"/>
          <w:szCs w:val="24"/>
        </w:rPr>
      </w:pPr>
      <w:r w:rsidRPr="001C2973">
        <w:rPr>
          <w:rFonts w:ascii="Times New Roman" w:hAnsi="Times New Roman" w:cs="Times New Roman"/>
          <w:noProof/>
          <w:sz w:val="24"/>
          <w:szCs w:val="24"/>
        </w:rPr>
        <w:t>U.S. Election Assistance Commission. 2019. “Surveys and Data.” Election Administration and Voting Survey (EAVS) Datasets, Codebooks, and Survey Instruments. 2019. https://www.eac.gov/research-and-data/datasets-codebooks-and-surveys.</w:t>
      </w:r>
      <w:r w:rsidRPr="001C2973">
        <w:rPr>
          <w:rFonts w:ascii="Times New Roman" w:hAnsi="Times New Roman" w:cs="Times New Roman"/>
          <w:sz w:val="24"/>
          <w:szCs w:val="24"/>
        </w:rPr>
        <w:fldChar w:fldCharType="end"/>
      </w:r>
    </w:p>
    <w:sectPr w:rsidR="00951277" w:rsidRPr="001C2973">
      <w:pgSz w:w="12240" w:h="15840"/>
      <w:pgMar w:top="1440" w:right="1440" w:bottom="1440" w:left="144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152855" w16cex:dateUtc="2022-04-28T19:51:00Z"/>
  <w16cex:commentExtensible w16cex:durableId="26041B71" w16cex:dateUtc="2022-04-15T21:27:00Z"/>
  <w16cex:commentExtensible w16cex:durableId="261528D7" w16cex:dateUtc="2022-04-28T19:53:00Z"/>
  <w16cex:commentExtensible w16cex:durableId="26152910" w16cex:dateUtc="2022-04-28T19:54: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D1C577" w14:textId="77777777" w:rsidR="002D5CC7" w:rsidRDefault="002D5CC7">
      <w:pPr>
        <w:spacing w:after="0" w:line="240" w:lineRule="auto"/>
      </w:pPr>
      <w:r>
        <w:separator/>
      </w:r>
    </w:p>
  </w:endnote>
  <w:endnote w:type="continuationSeparator" w:id="0">
    <w:p w14:paraId="17779A97" w14:textId="77777777" w:rsidR="002D5CC7" w:rsidRDefault="002D5C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73199277"/>
      <w:docPartObj>
        <w:docPartGallery w:val="Page Numbers (Bottom of Page)"/>
        <w:docPartUnique/>
      </w:docPartObj>
    </w:sdtPr>
    <w:sdtEndPr>
      <w:rPr>
        <w:rFonts w:ascii="Times New Roman" w:hAnsi="Times New Roman" w:cs="Times New Roman"/>
        <w:noProof/>
        <w:sz w:val="24"/>
        <w:szCs w:val="24"/>
      </w:rPr>
    </w:sdtEndPr>
    <w:sdtContent>
      <w:p w14:paraId="32A853C8" w14:textId="77777777" w:rsidR="002D5CC7" w:rsidRPr="00B92C15" w:rsidRDefault="002D5CC7">
        <w:pPr>
          <w:pStyle w:val="Footer"/>
          <w:jc w:val="center"/>
          <w:rPr>
            <w:rFonts w:ascii="Times New Roman" w:hAnsi="Times New Roman" w:cs="Times New Roman"/>
            <w:sz w:val="24"/>
            <w:szCs w:val="24"/>
          </w:rPr>
        </w:pPr>
        <w:r w:rsidRPr="00B92C15">
          <w:rPr>
            <w:rFonts w:ascii="Times New Roman" w:hAnsi="Times New Roman" w:cs="Times New Roman"/>
            <w:sz w:val="24"/>
            <w:szCs w:val="24"/>
          </w:rPr>
          <w:fldChar w:fldCharType="begin"/>
        </w:r>
        <w:r w:rsidRPr="00B92C15">
          <w:rPr>
            <w:rFonts w:ascii="Times New Roman" w:hAnsi="Times New Roman" w:cs="Times New Roman"/>
            <w:sz w:val="24"/>
            <w:szCs w:val="24"/>
          </w:rPr>
          <w:instrText xml:space="preserve"> PAGE   \* MERGEFORMAT </w:instrText>
        </w:r>
        <w:r w:rsidRPr="00B92C15">
          <w:rPr>
            <w:rFonts w:ascii="Times New Roman" w:hAnsi="Times New Roman" w:cs="Times New Roman"/>
            <w:sz w:val="24"/>
            <w:szCs w:val="24"/>
          </w:rPr>
          <w:fldChar w:fldCharType="separate"/>
        </w:r>
        <w:r w:rsidRPr="00B92C15">
          <w:rPr>
            <w:rFonts w:ascii="Times New Roman" w:hAnsi="Times New Roman" w:cs="Times New Roman"/>
            <w:noProof/>
            <w:sz w:val="24"/>
            <w:szCs w:val="24"/>
          </w:rPr>
          <w:t>2</w:t>
        </w:r>
        <w:r w:rsidRPr="00B92C15">
          <w:rPr>
            <w:rFonts w:ascii="Times New Roman" w:hAnsi="Times New Roman" w:cs="Times New Roman"/>
            <w:noProof/>
            <w:sz w:val="24"/>
            <w:szCs w:val="24"/>
          </w:rPr>
          <w:fldChar w:fldCharType="end"/>
        </w:r>
      </w:p>
    </w:sdtContent>
  </w:sdt>
  <w:p w14:paraId="7EA2E93B" w14:textId="77777777" w:rsidR="002D5CC7" w:rsidRPr="00B92C15" w:rsidRDefault="002D5CC7">
    <w:pPr>
      <w:pStyle w:val="Footer"/>
      <w:rPr>
        <w:rFonts w:ascii="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69AD47" w14:textId="77777777" w:rsidR="002D5CC7" w:rsidRDefault="002D5CC7">
      <w:pPr>
        <w:spacing w:after="0" w:line="240" w:lineRule="auto"/>
      </w:pPr>
      <w:r>
        <w:separator/>
      </w:r>
    </w:p>
  </w:footnote>
  <w:footnote w:type="continuationSeparator" w:id="0">
    <w:p w14:paraId="0C35EFD4" w14:textId="77777777" w:rsidR="002D5CC7" w:rsidRDefault="002D5C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2C045" w14:textId="77777777" w:rsidR="002D5CC7" w:rsidRDefault="002D5CC7">
    <w:pPr>
      <w:pStyle w:val="Header"/>
    </w:pPr>
  </w:p>
  <w:p w14:paraId="7896BF26" w14:textId="77777777" w:rsidR="002D5CC7" w:rsidRDefault="002D5CC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B035FB"/>
    <w:multiLevelType w:val="hybridMultilevel"/>
    <w:tmpl w:val="8B3C172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3B740A8"/>
    <w:multiLevelType w:val="hybridMultilevel"/>
    <w:tmpl w:val="136A2696"/>
    <w:lvl w:ilvl="0" w:tplc="5534344A">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pile-clusterType" w:val="normal"/>
    <w:docVar w:name="paperpile-doc-id" w:val="B751P811L392I923"/>
    <w:docVar w:name="paperpile-doc-name" w:val="HHP_Supplemental File_RR_FINAL.docx"/>
    <w:docVar w:name="paperpile-includeDoi" w:val="false"/>
    <w:docVar w:name="paperpile-styleFile" w:val="chicago-author-date.csl"/>
    <w:docVar w:name="paperpile-styleId" w:val="pp-chicago-author-date"/>
    <w:docVar w:name="paperpile-styleLabel" w:val="Chicago Manual of Style 17th edition (author-date)"/>
    <w:docVar w:name="paperpile-styleLocale" w:val="en-US"/>
  </w:docVars>
  <w:rsids>
    <w:rsidRoot w:val="001422D2"/>
    <w:rsid w:val="000007D2"/>
    <w:rsid w:val="000F3C73"/>
    <w:rsid w:val="001422D2"/>
    <w:rsid w:val="00153DAB"/>
    <w:rsid w:val="0019426A"/>
    <w:rsid w:val="001C2973"/>
    <w:rsid w:val="002741A7"/>
    <w:rsid w:val="0027441C"/>
    <w:rsid w:val="002D5CC7"/>
    <w:rsid w:val="00394CBD"/>
    <w:rsid w:val="003A31B0"/>
    <w:rsid w:val="003F0BA0"/>
    <w:rsid w:val="0043468B"/>
    <w:rsid w:val="00485FF3"/>
    <w:rsid w:val="005301DB"/>
    <w:rsid w:val="00552063"/>
    <w:rsid w:val="0056728F"/>
    <w:rsid w:val="00581731"/>
    <w:rsid w:val="00585F28"/>
    <w:rsid w:val="005D5C82"/>
    <w:rsid w:val="005F4312"/>
    <w:rsid w:val="006501D9"/>
    <w:rsid w:val="00831E5F"/>
    <w:rsid w:val="0086798B"/>
    <w:rsid w:val="00951277"/>
    <w:rsid w:val="009D7E7F"/>
    <w:rsid w:val="00A67FE7"/>
    <w:rsid w:val="00A7339A"/>
    <w:rsid w:val="00A84FC5"/>
    <w:rsid w:val="00AA64A9"/>
    <w:rsid w:val="00B961FF"/>
    <w:rsid w:val="00BD7DD2"/>
    <w:rsid w:val="00D61A24"/>
    <w:rsid w:val="00E911DE"/>
    <w:rsid w:val="00EF45FE"/>
    <w:rsid w:val="00F32AB2"/>
    <w:rsid w:val="00F36B91"/>
    <w:rsid w:val="00FA1D24"/>
    <w:rsid w:val="00FA7369"/>
    <w:rsid w:val="00FC42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71A6D4"/>
  <w15:chartTrackingRefBased/>
  <w15:docId w15:val="{E66A2628-9EBA-4C1A-B33A-7DA68B7BF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422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22D2"/>
    <w:pPr>
      <w:ind w:left="720"/>
      <w:contextualSpacing/>
    </w:pPr>
  </w:style>
  <w:style w:type="paragraph" w:styleId="Header">
    <w:name w:val="header"/>
    <w:basedOn w:val="Normal"/>
    <w:link w:val="HeaderChar"/>
    <w:uiPriority w:val="99"/>
    <w:unhideWhenUsed/>
    <w:rsid w:val="001422D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422D2"/>
  </w:style>
  <w:style w:type="paragraph" w:styleId="Footer">
    <w:name w:val="footer"/>
    <w:basedOn w:val="Normal"/>
    <w:link w:val="FooterChar"/>
    <w:uiPriority w:val="99"/>
    <w:unhideWhenUsed/>
    <w:rsid w:val="001422D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422D2"/>
  </w:style>
  <w:style w:type="character" w:styleId="CommentReference">
    <w:name w:val="annotation reference"/>
    <w:basedOn w:val="DefaultParagraphFont"/>
    <w:uiPriority w:val="99"/>
    <w:semiHidden/>
    <w:unhideWhenUsed/>
    <w:rsid w:val="001422D2"/>
    <w:rPr>
      <w:sz w:val="16"/>
      <w:szCs w:val="16"/>
    </w:rPr>
  </w:style>
  <w:style w:type="paragraph" w:styleId="CommentText">
    <w:name w:val="annotation text"/>
    <w:basedOn w:val="Normal"/>
    <w:link w:val="CommentTextChar"/>
    <w:uiPriority w:val="99"/>
    <w:unhideWhenUsed/>
    <w:rsid w:val="001422D2"/>
    <w:pPr>
      <w:spacing w:line="240" w:lineRule="auto"/>
    </w:pPr>
    <w:rPr>
      <w:sz w:val="20"/>
      <w:szCs w:val="20"/>
    </w:rPr>
  </w:style>
  <w:style w:type="character" w:customStyle="1" w:styleId="CommentTextChar">
    <w:name w:val="Comment Text Char"/>
    <w:basedOn w:val="DefaultParagraphFont"/>
    <w:link w:val="CommentText"/>
    <w:uiPriority w:val="99"/>
    <w:rsid w:val="001422D2"/>
    <w:rPr>
      <w:sz w:val="20"/>
      <w:szCs w:val="20"/>
    </w:rPr>
  </w:style>
  <w:style w:type="paragraph" w:styleId="BalloonText">
    <w:name w:val="Balloon Text"/>
    <w:basedOn w:val="Normal"/>
    <w:link w:val="BalloonTextChar"/>
    <w:uiPriority w:val="99"/>
    <w:semiHidden/>
    <w:unhideWhenUsed/>
    <w:rsid w:val="001422D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22D2"/>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0F3C73"/>
    <w:rPr>
      <w:b/>
      <w:bCs/>
    </w:rPr>
  </w:style>
  <w:style w:type="character" w:customStyle="1" w:styleId="CommentSubjectChar">
    <w:name w:val="Comment Subject Char"/>
    <w:basedOn w:val="CommentTextChar"/>
    <w:link w:val="CommentSubject"/>
    <w:uiPriority w:val="99"/>
    <w:semiHidden/>
    <w:rsid w:val="000F3C7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emf"/><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tiff"/><Relationship Id="rId2" Type="http://schemas.openxmlformats.org/officeDocument/2006/relationships/customXml" Target="../customXml/item2.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C4D88FFF3156240A24ED54B6DADBEEE" ma:contentTypeVersion="10" ma:contentTypeDescription="Create a new document." ma:contentTypeScope="" ma:versionID="8e5181ed0d625ced56fbbae6fb3b8a81">
  <xsd:schema xmlns:xsd="http://www.w3.org/2001/XMLSchema" xmlns:xs="http://www.w3.org/2001/XMLSchema" xmlns:p="http://schemas.microsoft.com/office/2006/metadata/properties" xmlns:ns3="89259774-86e7-4fbc-81e2-57f40eb2d65a" targetNamespace="http://schemas.microsoft.com/office/2006/metadata/properties" ma:root="true" ma:fieldsID="b7c17a86388ea7357df76769a8d49be9" ns3:_="">
    <xsd:import namespace="89259774-86e7-4fbc-81e2-57f40eb2d65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59774-86e7-4fbc-81e2-57f40eb2d6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A44983-8884-4038-83E2-93A67F002A1C}">
  <ds:schemaRefs>
    <ds:schemaRef ds:uri="http://schemas.microsoft.com/sharepoint/v3/contenttype/forms"/>
  </ds:schemaRefs>
</ds:datastoreItem>
</file>

<file path=customXml/itemProps2.xml><?xml version="1.0" encoding="utf-8"?>
<ds:datastoreItem xmlns:ds="http://schemas.openxmlformats.org/officeDocument/2006/customXml" ds:itemID="{804C295E-4842-4249-A658-3808404AB998}">
  <ds:schemaRefs>
    <ds:schemaRef ds:uri="http://purl.org/dc/elements/1.1/"/>
    <ds:schemaRef ds:uri="http://schemas.microsoft.com/office/2006/metadata/properties"/>
    <ds:schemaRef ds:uri="89259774-86e7-4fbc-81e2-57f40eb2d65a"/>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www.w3.org/XML/1998/namespace"/>
    <ds:schemaRef ds:uri="http://purl.org/dc/dcmitype/"/>
  </ds:schemaRefs>
</ds:datastoreItem>
</file>

<file path=customXml/itemProps3.xml><?xml version="1.0" encoding="utf-8"?>
<ds:datastoreItem xmlns:ds="http://schemas.openxmlformats.org/officeDocument/2006/customXml" ds:itemID="{7F2EC960-63B3-499A-80D7-9DA1880A8E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9259774-86e7-4fbc-81e2-57f40eb2d6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2612</Words>
  <Characters>14894</Characters>
  <Application>Microsoft Office Word</Application>
  <DocSecurity>0</DocSecurity>
  <Lines>124</Lines>
  <Paragraphs>34</Paragraphs>
  <ScaleCrop>false</ScaleCrop>
  <HeadingPairs>
    <vt:vector size="2" baseType="variant">
      <vt:variant>
        <vt:lpstr>Title</vt:lpstr>
      </vt:variant>
      <vt:variant>
        <vt:i4>1</vt:i4>
      </vt:variant>
    </vt:vector>
  </HeadingPairs>
  <TitlesOfParts>
    <vt:vector size="1" baseType="lpstr">
      <vt:lpstr/>
    </vt:vector>
  </TitlesOfParts>
  <Company>Emory University RSPH</Company>
  <LinksUpToDate>false</LinksUpToDate>
  <CharactersWithSpaces>17472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McCann, Zach</dc:creator>
  <cp:keywords/>
  <dc:description/>
  <cp:lastModifiedBy>McCann, Zach</cp:lastModifiedBy>
  <cp:revision>5</cp:revision>
  <dcterms:created xsi:type="dcterms:W3CDTF">2022-05-02T19:38:00Z</dcterms:created>
  <dcterms:modified xsi:type="dcterms:W3CDTF">2022-05-10T16:07:00Z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0x0101002C4D88FFF3156240A24ED54B6DADBEEE</vt:lpwstr>
  </property>
</Properties>
</file>