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462" w:type="dxa"/>
        <w:tblInd w:w="-722" w:type="dxa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2072"/>
        <w:gridCol w:w="2031"/>
        <w:gridCol w:w="1076"/>
        <w:gridCol w:w="1225"/>
        <w:gridCol w:w="993"/>
        <w:gridCol w:w="1170"/>
        <w:gridCol w:w="1325"/>
      </w:tblGrid>
      <w:tr>
        <w:trPr>
          <w:trHeight w:val="337" w:hRule="atLeast"/>
        </w:trPr>
        <w:tc>
          <w:tcPr>
            <w:tcW w:w="10462" w:type="dxa"/>
            <w:gridSpan w:val="8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Table S1  Cases of complications in different methods of induction.</w:t>
            </w:r>
          </w:p>
        </w:tc>
      </w:tr>
      <w:tr>
        <w:tblPrEx>
          <w:shd w:val="clear"/>
        </w:tblPrEx>
        <w:trPr>
          <w:trHeight w:val="654" w:hRule="atLeast"/>
        </w:trPr>
        <w:tc>
          <w:tcPr>
            <w:tcW w:w="5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20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Groups</w:t>
            </w:r>
          </w:p>
        </w:tc>
        <w:tc>
          <w:tcPr>
            <w:tcW w:w="20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Hemorrhage&gt;500ml, n, (%)</w:t>
            </w:r>
          </w:p>
        </w:tc>
        <w:tc>
          <w:tcPr>
            <w:tcW w:w="10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kern w:val="0"/>
                <w:szCs w:val="21"/>
                <w:bdr w:val="none" w:color="auto" w:sz="0" w:space="0"/>
                <w:lang w:val="en-US" w:bidi="ar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Hematuria,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</w:t>
            </w:r>
          </w:p>
        </w:tc>
        <w:tc>
          <w:tcPr>
            <w:tcW w:w="12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Rectal injury, n</w:t>
            </w: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bdr w:val="none" w:color="auto" w:sz="0" w:space="0"/>
                <w:lang w:val="en-US"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Total,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P</w:t>
            </w: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OR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eastAsia="zh-CN" w:bidi="ar"/>
              </w:rPr>
              <w:t>(95%CI)</w:t>
            </w:r>
          </w:p>
        </w:tc>
      </w:tr>
      <w:tr>
        <w:tblPrEx>
          <w:shd w:val="clear"/>
        </w:tblPrEx>
        <w:trPr>
          <w:trHeight w:val="1192" w:hRule="atLeast"/>
        </w:trPr>
        <w:tc>
          <w:tcPr>
            <w:tcW w:w="570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N=84</w:t>
            </w:r>
          </w:p>
        </w:tc>
        <w:tc>
          <w:tcPr>
            <w:tcW w:w="2072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Ethacridine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N=51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(60.71%)</w:t>
            </w:r>
          </w:p>
        </w:tc>
        <w:tc>
          <w:tcPr>
            <w:tcW w:w="2031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(3.92)</w:t>
            </w:r>
          </w:p>
        </w:tc>
        <w:tc>
          <w:tcPr>
            <w:tcW w:w="1076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93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(5.88)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P=0.097</w:t>
            </w:r>
          </w:p>
        </w:tc>
        <w:tc>
          <w:tcPr>
            <w:tcW w:w="1325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OR, 0.27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eastAsia="zh-CN" w:bidi="ar"/>
              </w:rPr>
              <w:t>(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0.05,1.27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eastAsia="zh-CN" w:bidi="ar"/>
              </w:rPr>
              <w:t>)</w:t>
            </w:r>
          </w:p>
        </w:tc>
      </w:tr>
      <w:tr>
        <w:tblPrEx>
          <w:shd w:val="clear"/>
        </w:tblPrEx>
        <w:trPr>
          <w:trHeight w:val="1250" w:hRule="atLeast"/>
        </w:trPr>
        <w:tc>
          <w:tcPr>
            <w:tcW w:w="57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Non-Ethacridine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N=33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(39.29%)</w:t>
            </w:r>
          </w:p>
        </w:tc>
        <w:tc>
          <w:tcPr>
            <w:tcW w:w="20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(9.09)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(12.12)</w:t>
            </w:r>
          </w:p>
        </w:tc>
        <w:tc>
          <w:tcPr>
            <w:tcW w:w="117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5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 Regular" w:hAnsi="Times New Roman Regular" w:eastAsia="宋体" w:cs="Times New Roman Regular"/>
          <w:color w:val="000000"/>
          <w:kern w:val="0"/>
          <w:sz w:val="28"/>
          <w:szCs w:val="28"/>
          <w:lang w:val="en-US" w:bidi="ar"/>
        </w:rPr>
      </w:pPr>
      <w:r>
        <w:rPr>
          <w:rFonts w:hint="default" w:ascii="Times New Roman Regular" w:hAnsi="Times New Roman Regular" w:eastAsia="Times New Roman Regular" w:cs="Times New Roman Regular"/>
          <w:kern w:val="2"/>
          <w:sz w:val="24"/>
          <w:szCs w:val="24"/>
          <w:lang w:val="en-US" w:eastAsia="zh-CN" w:bidi="ar"/>
        </w:rPr>
        <w:t>Table S1 shows c</w:t>
      </w:r>
      <w:r>
        <w:rPr>
          <w:rFonts w:hint="default" w:ascii="Times New Roman Regular" w:hAnsi="Times New Roman Regular" w:eastAsia="宋体" w:cs="Times New Roman Regular"/>
          <w:color w:val="000000"/>
          <w:kern w:val="0"/>
          <w:sz w:val="24"/>
          <w:szCs w:val="24"/>
          <w:lang w:val="en-US" w:eastAsia="zh-CN" w:bidi="ar"/>
        </w:rPr>
        <w:t xml:space="preserve">ases of complications in different methods of induction. </w:t>
      </w:r>
      <w:r>
        <w:rPr>
          <w:rFonts w:hint="default" w:ascii="Times New Roman Regular" w:hAnsi="Times New Roman Regular" w:eastAsia="Times New Roman Regular" w:cs="Times New Roman Regular"/>
          <w:kern w:val="2"/>
          <w:sz w:val="24"/>
          <w:szCs w:val="24"/>
          <w:lang w:val="en-US" w:eastAsia="zh-CN" w:bidi="ar"/>
        </w:rPr>
        <w:t xml:space="preserve">The complication rate of ethacridine lactate group was 5.88%(3/51). However, the </w:t>
      </w:r>
      <w:bookmarkStart w:id="0" w:name="_GoBack"/>
      <w:bookmarkEnd w:id="0"/>
      <w:r>
        <w:rPr>
          <w:rFonts w:hint="default" w:ascii="Times New Roman Regular" w:hAnsi="Times New Roman Regular" w:eastAsia="Times New Roman Regular" w:cs="Times New Roman Regular"/>
          <w:kern w:val="2"/>
          <w:sz w:val="24"/>
          <w:szCs w:val="24"/>
          <w:lang w:val="en-US" w:eastAsia="zh-CN" w:bidi="ar"/>
        </w:rPr>
        <w:t>complication rate in non-ethacridine lactate patients was 12.12%(4/33). After logistic regression the analyses, no statistical difference was found between ethacridine lactate induction and increased adverse complications(P=0.097, OR, 0.27</w:t>
      </w:r>
      <w:r>
        <w:rPr>
          <w:rFonts w:hint="default" w:ascii="Times New Roman Regular" w:hAnsi="Times New Roman Regular" w:eastAsia="Times New Roman Regular" w:cs="Times New Roman Regular"/>
          <w:kern w:val="2"/>
          <w:sz w:val="24"/>
          <w:szCs w:val="24"/>
          <w:lang w:eastAsia="zh-CN" w:bidi="ar"/>
        </w:rPr>
        <w:t xml:space="preserve">, 95%CI, </w:t>
      </w:r>
      <w:r>
        <w:rPr>
          <w:rFonts w:hint="default" w:ascii="Times New Roman Regular" w:hAnsi="Times New Roman Regular" w:eastAsia="Times New Roman Regular" w:cs="Times New Roman Regular"/>
          <w:kern w:val="2"/>
          <w:sz w:val="24"/>
          <w:szCs w:val="24"/>
          <w:lang w:val="en-US" w:eastAsia="zh-CN" w:bidi="ar"/>
        </w:rPr>
        <w:t>0.05</w:t>
      </w:r>
      <w:r>
        <w:rPr>
          <w:rFonts w:hint="default" w:ascii="Times New Roman Regular" w:hAnsi="Times New Roman Regular" w:eastAsia="Times New Roman Regular" w:cs="Times New Roman Regular"/>
          <w:kern w:val="2"/>
          <w:sz w:val="24"/>
          <w:szCs w:val="24"/>
          <w:lang w:eastAsia="zh-CN" w:bidi="ar"/>
        </w:rPr>
        <w:t xml:space="preserve"> to </w:t>
      </w:r>
      <w:r>
        <w:rPr>
          <w:rFonts w:hint="default" w:ascii="Times New Roman Regular" w:hAnsi="Times New Roman Regular" w:eastAsia="Times New Roman Regular" w:cs="Times New Roman Regular"/>
          <w:kern w:val="2"/>
          <w:sz w:val="24"/>
          <w:szCs w:val="24"/>
          <w:lang w:val="en-US" w:eastAsia="zh-CN" w:bidi="ar"/>
        </w:rPr>
        <w:t>1.27).</w:t>
      </w:r>
    </w:p>
    <w:p/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@宋体">
    <w:altName w:val="华文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Cambria Math">
    <w:altName w:val="Kingsoft Math"/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9A2C4"/>
    <w:rsid w:val="5379A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Office_3.8.1.6116_F1E327BC-269C-435d-A152-05C5408002CA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2022-05-12T22:57:00Z</dcterms:created>
  <dc:creator>xueruihong</dc:creator>
  <cp:lastModifiedBy>xueruihong</cp:lastModifiedBy>
  <dcterms:modified xsi:type="dcterms:W3CDTF">2022-05-12T23:02:41Z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</Properties>
</file>