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D44F8D" w14:textId="77777777" w:rsidR="00B229AD" w:rsidRDefault="00B229AD" w:rsidP="00B229AD">
      <w:pPr>
        <w:spacing w:line="480" w:lineRule="auto"/>
        <w:outlineLvl w:val="0"/>
        <w:rPr>
          <w:rFonts w:ascii="Georgia" w:hAnsi="Georgia"/>
          <w:b/>
          <w:sz w:val="30"/>
          <w:szCs w:val="30"/>
        </w:rPr>
      </w:pPr>
      <w:r>
        <w:rPr>
          <w:rFonts w:ascii="Georgia" w:hAnsi="Georgia"/>
          <w:b/>
          <w:sz w:val="30"/>
          <w:szCs w:val="30"/>
        </w:rPr>
        <w:t>Methods</w:t>
      </w:r>
    </w:p>
    <w:p w14:paraId="2EFC9842" w14:textId="77777777" w:rsidR="00B229AD" w:rsidRPr="005F67A8" w:rsidRDefault="00B229AD" w:rsidP="00B229AD">
      <w:pPr>
        <w:spacing w:line="480" w:lineRule="auto"/>
        <w:outlineLvl w:val="0"/>
        <w:rPr>
          <w:rFonts w:ascii="Georgia" w:hAnsi="Georgia"/>
          <w:b/>
          <w:sz w:val="30"/>
          <w:szCs w:val="30"/>
        </w:rPr>
      </w:pPr>
    </w:p>
    <w:p w14:paraId="2B69F31F" w14:textId="77777777" w:rsidR="00B229AD" w:rsidRDefault="00B229AD" w:rsidP="00B229AD">
      <w:pPr>
        <w:spacing w:line="480" w:lineRule="auto"/>
        <w:rPr>
          <w:rFonts w:ascii="Georgia" w:hAnsi="Georgia"/>
          <w:b/>
          <w:sz w:val="26"/>
          <w:szCs w:val="26"/>
        </w:rPr>
      </w:pPr>
      <w:r>
        <w:rPr>
          <w:rFonts w:ascii="Georgia" w:hAnsi="Georgia"/>
          <w:b/>
          <w:sz w:val="26"/>
          <w:szCs w:val="26"/>
        </w:rPr>
        <w:t>Data collection</w:t>
      </w:r>
    </w:p>
    <w:p w14:paraId="1AA0A942" w14:textId="77777777" w:rsidR="00B229AD" w:rsidRDefault="00B229AD" w:rsidP="00B229AD">
      <w:pPr>
        <w:spacing w:line="480" w:lineRule="auto"/>
        <w:rPr>
          <w:rFonts w:ascii="Times" w:hAnsi="Times"/>
        </w:rPr>
      </w:pPr>
    </w:p>
    <w:p w14:paraId="2089F6E9" w14:textId="77777777" w:rsidR="00B229AD" w:rsidRDefault="00B229AD" w:rsidP="00B229AD">
      <w:pPr>
        <w:spacing w:line="480" w:lineRule="auto"/>
        <w:rPr>
          <w:rFonts w:ascii="Georgia" w:hAnsi="Georgia"/>
          <w:sz w:val="22"/>
          <w:szCs w:val="22"/>
        </w:rPr>
      </w:pPr>
      <w:r>
        <w:rPr>
          <w:rFonts w:ascii="Georgia" w:hAnsi="Georgia"/>
          <w:sz w:val="22"/>
          <w:szCs w:val="22"/>
        </w:rPr>
        <w:t xml:space="preserve">The data source for this study was the WHO Global </w:t>
      </w:r>
      <w:proofErr w:type="spellStart"/>
      <w:r>
        <w:rPr>
          <w:rFonts w:ascii="Georgia" w:hAnsi="Georgia"/>
          <w:sz w:val="22"/>
          <w:szCs w:val="22"/>
        </w:rPr>
        <w:t>AGEing</w:t>
      </w:r>
      <w:proofErr w:type="spellEnd"/>
      <w:r>
        <w:rPr>
          <w:rFonts w:ascii="Georgia" w:hAnsi="Georgia"/>
          <w:sz w:val="22"/>
          <w:szCs w:val="22"/>
        </w:rPr>
        <w:t xml:space="preserve"> and Adult Health (SAGE), a longitudinal study of health and ageing in China, Ghana, India, Mexico, </w:t>
      </w:r>
      <w:proofErr w:type="gramStart"/>
      <w:r>
        <w:rPr>
          <w:rFonts w:ascii="Georgia" w:hAnsi="Georgia"/>
          <w:sz w:val="22"/>
          <w:szCs w:val="22"/>
        </w:rPr>
        <w:t>Russia</w:t>
      </w:r>
      <w:proofErr w:type="gramEnd"/>
      <w:r>
        <w:rPr>
          <w:rFonts w:ascii="Georgia" w:hAnsi="Georgia"/>
          <w:sz w:val="22"/>
          <w:szCs w:val="22"/>
        </w:rPr>
        <w:t xml:space="preserve"> and South Africa. The aim of SAGE was to provide reliable data on aging people and their health status in low- and middle-income countries </w:t>
      </w:r>
      <w:r>
        <w:rPr>
          <w:rFonts w:ascii="Georgia" w:hAnsi="Georgia"/>
          <w:color w:val="000000" w:themeColor="text1"/>
          <w:sz w:val="22"/>
          <w:szCs w:val="22"/>
        </w:rPr>
        <w:fldChar w:fldCharType="begin"/>
      </w:r>
      <w:r>
        <w:rPr>
          <w:rFonts w:ascii="Georgia" w:hAnsi="Georgia"/>
          <w:color w:val="000000" w:themeColor="text1"/>
          <w:sz w:val="22"/>
          <w:szCs w:val="22"/>
        </w:rPr>
        <w:instrText xml:space="preserve"> ADDIN ZOTERO_ITEM CSL_CITATION {"citationID":"sr42doqe3","properties":{"formattedCitation":"(26)","plainCitation":"(26)"},"citationItems":[{"id":541,"uris":["http://zotero.org/users/3016898/items/JHIPZH9D"],"uri":["http://zotero.org/users/3016898/items/JHIPZH9D"],"itemData":{"id":541,"type":"article-journal","title":"Data Resource Profile: The World Health Organization Study on global AGEing and adult health (SAGE)","container-title":"International Journal of Epidemiology","page":"1639-1649","volume":"41","issue":"6","source":"PubMed Central","abstract":"Population ageing is rapidly becoming a global issue and will have a major impact on health policies and programmes. The World Health Organization’s Study on global AGEing and adult health (SAGE) aims to address the gap in reliable data and scientific knowledge on ageing and health in low- and middle-income countries. SAGE is a longitudinal study with nationally representative samples of persons aged 50+ years in China, Ghana, India, Mexico, Russia and South Africa, with a smaller sample of adults aged 18–49 years in each country for comparisons. Instruments are compatible with other large high-income country longitudinal ageing studies. Wave 1 was conducted during 2007–2010 and included a total of 34 124 respondents aged 50+ and 8340 aged 18–49. In four countries, a subsample consisting of 8160 respondents participated in Wave 1 and the 2002/04 World Health Survey (referred to as SAGE Wave 0). Wave 2 data collection will start in 2012/13, following up all Wave 1 respondents. Wave 3 is planned for 2014/15. SAGE is committed to the public release of study instruments, protocols and meta- and micro-data: access is provided upon completion of a Users Agreement available through WHO’s SAGE website (www.who.int/healthinfo/systems/sage) and WHO’s archive using the National Data Archive application (http://apps.who.int/healthinfo/systems/surveydata).","DOI":"10.1093/ije/dys210","ISSN":"0300-5771","note":"PMID: 23283715\nPMCID: PMC3535754","shortTitle":"Data Resource Profile","journalAbbreviation":"Int J Epidemiol","author":[{"family":"Kowal","given":"Paul"},{"family":"Chatterji","given":"Somnath"},{"family":"Naidoo","given":"Nirmala"},{"family":"Biritwum","given":"Richard"},{"family":"Fan","given":"Wu"},{"family":"Lopez Ridaura","given":"Ruy"},{"family":"Maximova","given":"Tamara"},{"family":"Arokiasamy","given":"Perianayagam"},{"family":"Phaswana-Mafuya","given":"Nancy"},{"family":"Williams","given":"Sharon"},{"family":"Snodgrass","given":"J Josh"},{"family":"Minicuci","given":"Nadia"},{"family":"D'Este","given":"Catherine"},{"family":"Peltzer","given":"Karl"},{"family":"Boerma","given":"J Ties"},{"family":"Yawson","given":"A."},{"family":"Mensah","given":"G."},{"family":"Yong","given":"J."},{"family":"Guo","given":"Y."},{"family":"Zheng","given":"Y."},{"family":"Parasuraman","given":"P."},{"family":"Lhungdim","given":"H."},{"family":"Sekher","given":"TV."},{"family":"Rosa","given":"R."},{"family":"Belov","given":"VB."},{"family":"Lushkina","given":"NP"},{"family":"Peltzer","given":"K."},{"family":"Makiwane","given":"M."},{"family":"Zuma","given":"K."},{"family":"Ramlagan","given":"S."},{"family":"Davids","given":"A."},{"family":"Mbelle","given":"N."},{"family":"Matseke","given":"G."},{"family":"Schneider","given":"M."},{"family":"Tabane","given":"C."},{"family":"Tollman","given":"S."},{"family":"Kahn","given":"K."},{"family":"Ng","given":"N."},{"family":"Juvekar","given":"S."},{"family":"Sankoh","given":"O."},{"family":"Debpuur","given":"CY."},{"family":"Nguyen","given":"TK Chuc"},{"family":"Gomez-Olive","given":"FX."},{"family":"Hakimi","given":"M."},{"family":"Hirve","given":"S."},{"family":"Abdullah","given":"S."},{"family":"Hodgson","given":"A."},{"family":"Kyobutungi","given":"C."},{"family":"Egondi","given":"T."},{"family":"Mayombana","given":"C."},{"family":"Minh","given":"HV."},{"family":"Mwanyangala","given":"MA."},{"family":"Razzaque","given":"A."},{"family":"Wilopo","given":"S."},{"family":"Streatfield","given":"PK."},{"family":"Byass","given":"P."},{"family":"Wall","given":"S."},{"family":"Scholten","given":"F."},{"family":"Mugisha","given":"J."},{"family":"Seeley","given":"J."},{"family":"Kinyanda","given":"E."},{"family":"Nyirenda","given":"M."},{"family":"Mutevedzi","given":"P."},{"family":"Newell","given":"M-L."}],"issued":{"date-parts":[["2012",12]]}}}],"schema":"https://github.com/citation-style-language/schema/raw/master/csl-citation.json"} </w:instrText>
      </w:r>
      <w:r>
        <w:rPr>
          <w:rFonts w:ascii="Georgia" w:hAnsi="Georgia"/>
          <w:color w:val="000000" w:themeColor="text1"/>
          <w:sz w:val="22"/>
          <w:szCs w:val="22"/>
        </w:rPr>
        <w:fldChar w:fldCharType="separate"/>
      </w:r>
      <w:r>
        <w:rPr>
          <w:rFonts w:ascii="Georgia" w:hAnsi="Georgia"/>
          <w:color w:val="000000" w:themeColor="text1"/>
          <w:sz w:val="22"/>
          <w:szCs w:val="22"/>
        </w:rPr>
        <w:t>(20)</w:t>
      </w:r>
      <w:r>
        <w:rPr>
          <w:rFonts w:ascii="Georgia" w:hAnsi="Georgia"/>
          <w:color w:val="000000" w:themeColor="text1"/>
          <w:sz w:val="22"/>
          <w:szCs w:val="22"/>
        </w:rPr>
        <w:fldChar w:fldCharType="end"/>
      </w:r>
      <w:r>
        <w:rPr>
          <w:rFonts w:ascii="Georgia" w:hAnsi="Georgia"/>
          <w:color w:val="000000" w:themeColor="text1"/>
          <w:sz w:val="22"/>
          <w:szCs w:val="22"/>
        </w:rPr>
        <w:t>. The present</w:t>
      </w:r>
      <w:r>
        <w:rPr>
          <w:rFonts w:ascii="Georgia" w:hAnsi="Georgia"/>
          <w:sz w:val="22"/>
          <w:szCs w:val="22"/>
        </w:rPr>
        <w:t xml:space="preserve"> study used data from Wave 1 (2007-2010) in </w:t>
      </w:r>
      <w:proofErr w:type="gramStart"/>
      <w:r>
        <w:rPr>
          <w:rFonts w:ascii="Georgia" w:hAnsi="Georgia"/>
          <w:sz w:val="22"/>
          <w:szCs w:val="22"/>
        </w:rPr>
        <w:t xml:space="preserve">the </w:t>
      </w:r>
      <w:r>
        <w:rPr>
          <w:rFonts w:ascii="Georgia" w:hAnsi="Georgia" w:hint="eastAsia"/>
          <w:sz w:val="22"/>
          <w:szCs w:val="22"/>
        </w:rPr>
        <w:t>China</w:t>
      </w:r>
      <w:proofErr w:type="gramEnd"/>
      <w:r>
        <w:rPr>
          <w:rFonts w:ascii="Georgia" w:hAnsi="Georgia" w:hint="eastAsia"/>
          <w:sz w:val="22"/>
          <w:szCs w:val="22"/>
        </w:rPr>
        <w:t>.</w:t>
      </w:r>
      <w:r>
        <w:rPr>
          <w:rFonts w:ascii="Georgia" w:hAnsi="Georgia"/>
          <w:sz w:val="22"/>
          <w:szCs w:val="22"/>
        </w:rPr>
        <w:t xml:space="preserve"> In the SAGE study, the elderly population was defined as aged 50 years and above. This age cut-off was based on the WHO definition of younger and older adults in Low- and middle-income countries </w:t>
      </w:r>
      <w:r>
        <w:rPr>
          <w:rFonts w:ascii="Georgia" w:hAnsi="Georgia"/>
          <w:color w:val="000000" w:themeColor="text1"/>
          <w:sz w:val="22"/>
          <w:szCs w:val="22"/>
        </w:rPr>
        <w:t xml:space="preserve">(20). </w:t>
      </w:r>
      <w:r>
        <w:rPr>
          <w:rFonts w:ascii="Georgia" w:hAnsi="Georgia"/>
          <w:sz w:val="22"/>
          <w:szCs w:val="22"/>
        </w:rPr>
        <w:t xml:space="preserve">Data were collected from Guangdong, Hubei, Jilin, Shanxi, Zhejiang, Shanghai, </w:t>
      </w:r>
      <w:proofErr w:type="gramStart"/>
      <w:r>
        <w:rPr>
          <w:rFonts w:ascii="Georgia" w:hAnsi="Georgia"/>
          <w:sz w:val="22"/>
          <w:szCs w:val="22"/>
        </w:rPr>
        <w:t>Shandong</w:t>
      </w:r>
      <w:proofErr w:type="gramEnd"/>
      <w:r>
        <w:rPr>
          <w:rFonts w:ascii="Georgia" w:hAnsi="Georgia"/>
          <w:sz w:val="22"/>
          <w:szCs w:val="22"/>
        </w:rPr>
        <w:t xml:space="preserve"> and Yunnan with considering geographical and economic effects. </w:t>
      </w:r>
      <w:r w:rsidRPr="00D92370">
        <w:rPr>
          <w:rFonts w:ascii="Georgia" w:hAnsi="Georgia"/>
          <w:color w:val="FF0000"/>
          <w:sz w:val="22"/>
          <w:szCs w:val="22"/>
        </w:rPr>
        <w:t>The</w:t>
      </w:r>
      <w:r w:rsidRPr="00D92370">
        <w:rPr>
          <w:rFonts w:ascii="Georgia" w:hAnsi="Georgia" w:hint="eastAsia"/>
          <w:color w:val="FF0000"/>
          <w:sz w:val="22"/>
          <w:szCs w:val="22"/>
        </w:rPr>
        <w:t xml:space="preserve"> sample design</w:t>
      </w:r>
      <w:r w:rsidRPr="00D92370">
        <w:rPr>
          <w:rFonts w:ascii="Georgia" w:hAnsi="Georgia"/>
          <w:color w:val="FF0000"/>
          <w:sz w:val="22"/>
          <w:szCs w:val="22"/>
        </w:rPr>
        <w:t xml:space="preserve"> followed a stratified multistage cluster </w:t>
      </w:r>
      <w:r w:rsidRPr="00D92370">
        <w:rPr>
          <w:rFonts w:ascii="Georgia" w:hAnsi="Georgia" w:hint="eastAsia"/>
          <w:color w:val="FF0000"/>
          <w:sz w:val="22"/>
          <w:szCs w:val="22"/>
        </w:rPr>
        <w:t>principle</w:t>
      </w:r>
      <w:r>
        <w:rPr>
          <w:rFonts w:ascii="Georgia" w:hAnsi="Georgia"/>
          <w:sz w:val="22"/>
          <w:szCs w:val="22"/>
        </w:rPr>
        <w:t xml:space="preserve">. </w:t>
      </w:r>
      <w:r w:rsidRPr="00D92370">
        <w:rPr>
          <w:rFonts w:ascii="Georgia" w:hAnsi="Georgia"/>
          <w:color w:val="FF0000"/>
          <w:sz w:val="22"/>
          <w:szCs w:val="22"/>
        </w:rPr>
        <w:t xml:space="preserve">One district (urban) and one county (rural) was randomly selected from each province, </w:t>
      </w:r>
      <w:r w:rsidRPr="00D92370">
        <w:rPr>
          <w:rFonts w:ascii="Georgia" w:hAnsi="Georgia" w:hint="eastAsia"/>
          <w:color w:val="FF0000"/>
          <w:sz w:val="22"/>
          <w:szCs w:val="22"/>
        </w:rPr>
        <w:t>and from each district/county, 4 communities/townships were picked out probability proportion</w:t>
      </w:r>
      <w:r>
        <w:rPr>
          <w:rFonts w:ascii="Georgia" w:hAnsi="Georgia" w:hint="eastAsia"/>
          <w:color w:val="FF0000"/>
          <w:sz w:val="22"/>
          <w:szCs w:val="22"/>
        </w:rPr>
        <w:t>al to size.</w:t>
      </w:r>
      <w:r w:rsidRPr="00D92370">
        <w:rPr>
          <w:rFonts w:ascii="Georgia" w:hAnsi="Georgia" w:hint="eastAsia"/>
          <w:color w:val="FF0000"/>
          <w:sz w:val="22"/>
          <w:szCs w:val="22"/>
        </w:rPr>
        <w:t xml:space="preserve"> Similarly, 2 residential blocks/villages were selected probability proportional to size from each community/township. </w:t>
      </w:r>
      <w:r>
        <w:rPr>
          <w:rFonts w:ascii="Georgia" w:hAnsi="Georgia" w:hint="eastAsia"/>
          <w:color w:val="FF0000"/>
          <w:sz w:val="22"/>
          <w:szCs w:val="22"/>
        </w:rPr>
        <w:t xml:space="preserve">Afterwards, 84 households were randomly selected in each picked residential block/village: 70 were over 50 years households and 14 were between 18 to 49 years </w:t>
      </w:r>
      <w:proofErr w:type="gramStart"/>
      <w:r>
        <w:rPr>
          <w:rFonts w:ascii="Georgia" w:hAnsi="Georgia" w:hint="eastAsia"/>
          <w:color w:val="FF0000"/>
          <w:sz w:val="22"/>
          <w:szCs w:val="22"/>
        </w:rPr>
        <w:t>households(</w:t>
      </w:r>
      <w:proofErr w:type="gramEnd"/>
      <w:r>
        <w:rPr>
          <w:rFonts w:ascii="Georgia" w:hAnsi="Georgia" w:hint="eastAsia"/>
          <w:color w:val="FF0000"/>
          <w:sz w:val="22"/>
          <w:szCs w:val="22"/>
        </w:rPr>
        <w:t xml:space="preserve">20). </w:t>
      </w:r>
      <w:r>
        <w:rPr>
          <w:rFonts w:ascii="Georgia" w:hAnsi="Georgia"/>
          <w:sz w:val="22"/>
          <w:szCs w:val="22"/>
        </w:rPr>
        <w:t>All the eligible households were included in conducting household interviews, and individual interviews were from the eligible respondents in the household roster</w:t>
      </w:r>
      <w:proofErr w:type="gramStart"/>
      <w:r>
        <w:rPr>
          <w:rFonts w:ascii="Georgia" w:hAnsi="Georgia"/>
          <w:sz w:val="22"/>
          <w:szCs w:val="22"/>
        </w:rPr>
        <w:t>. .</w:t>
      </w:r>
      <w:proofErr w:type="gramEnd"/>
      <w:r>
        <w:rPr>
          <w:rFonts w:ascii="Georgia" w:hAnsi="Georgia"/>
          <w:sz w:val="22"/>
          <w:szCs w:val="22"/>
        </w:rPr>
        <w:t xml:space="preserve"> All these questionnaires were piloted as part of the pretest in 2005, then translated into </w:t>
      </w:r>
      <w:r w:rsidRPr="00EA793D">
        <w:rPr>
          <w:rFonts w:ascii="Georgia" w:hAnsi="Georgia" w:hint="eastAsia"/>
          <w:color w:val="FF0000"/>
          <w:sz w:val="22"/>
          <w:szCs w:val="22"/>
        </w:rPr>
        <w:t>local language from English</w:t>
      </w:r>
      <w:r w:rsidRPr="00EA793D">
        <w:rPr>
          <w:rFonts w:ascii="Georgia" w:hAnsi="Georgia"/>
          <w:color w:val="FF0000"/>
          <w:sz w:val="22"/>
          <w:szCs w:val="22"/>
        </w:rPr>
        <w:t xml:space="preserve"> </w:t>
      </w:r>
      <w:r>
        <w:rPr>
          <w:rFonts w:ascii="Georgia" w:hAnsi="Georgia"/>
          <w:color w:val="FF0000"/>
          <w:sz w:val="22"/>
          <w:szCs w:val="22"/>
        </w:rPr>
        <w:t xml:space="preserve">followed those developed by the World Health </w:t>
      </w:r>
      <w:proofErr w:type="gramStart"/>
      <w:r>
        <w:rPr>
          <w:rFonts w:ascii="Georgia" w:hAnsi="Georgia"/>
          <w:color w:val="FF0000"/>
          <w:sz w:val="22"/>
          <w:szCs w:val="22"/>
        </w:rPr>
        <w:t>Survey</w:t>
      </w:r>
      <w:r>
        <w:rPr>
          <w:rFonts w:ascii="Georgia" w:hAnsi="Georgia" w:hint="eastAsia"/>
          <w:color w:val="FF0000"/>
          <w:sz w:val="22"/>
          <w:szCs w:val="22"/>
        </w:rPr>
        <w:t>(</w:t>
      </w:r>
      <w:proofErr w:type="gramEnd"/>
      <w:r>
        <w:rPr>
          <w:rFonts w:ascii="Georgia" w:hAnsi="Georgia" w:hint="eastAsia"/>
          <w:color w:val="FF0000"/>
          <w:sz w:val="22"/>
          <w:szCs w:val="22"/>
        </w:rPr>
        <w:t>WHS)</w:t>
      </w:r>
      <w:r>
        <w:rPr>
          <w:rFonts w:ascii="Georgia" w:hAnsi="Georgia"/>
          <w:color w:val="FF0000"/>
          <w:sz w:val="22"/>
          <w:szCs w:val="22"/>
        </w:rPr>
        <w:t>.</w:t>
      </w:r>
      <w:r w:rsidRPr="00E673A3">
        <w:rPr>
          <w:rFonts w:ascii="Georgia" w:hAnsi="Georgia"/>
          <w:sz w:val="22"/>
          <w:szCs w:val="22"/>
        </w:rPr>
        <w:t xml:space="preserve"> </w:t>
      </w:r>
      <w:r>
        <w:rPr>
          <w:rFonts w:ascii="Georgia" w:hAnsi="Georgia" w:hint="eastAsia"/>
          <w:color w:val="FF0000"/>
          <w:sz w:val="22"/>
          <w:szCs w:val="22"/>
        </w:rPr>
        <w:t xml:space="preserve">A strict translation protocol designed by a team of bilingual experts, focused back-translations, and in-depth linguistic analysis had been used to ensure the cultural </w:t>
      </w:r>
      <w:proofErr w:type="gramStart"/>
      <w:r>
        <w:rPr>
          <w:rFonts w:ascii="Georgia" w:hAnsi="Georgia" w:hint="eastAsia"/>
          <w:color w:val="FF0000"/>
          <w:sz w:val="22"/>
          <w:szCs w:val="22"/>
        </w:rPr>
        <w:t>issues(</w:t>
      </w:r>
      <w:proofErr w:type="gramEnd"/>
      <w:r>
        <w:rPr>
          <w:rFonts w:ascii="Georgia" w:hAnsi="Georgia" w:hint="eastAsia"/>
          <w:color w:val="FF0000"/>
          <w:sz w:val="22"/>
          <w:szCs w:val="22"/>
        </w:rPr>
        <w:t xml:space="preserve">21). </w:t>
      </w:r>
      <w:r>
        <w:rPr>
          <w:rFonts w:ascii="Georgia" w:hAnsi="Georgia"/>
          <w:sz w:val="22"/>
          <w:szCs w:val="22"/>
        </w:rPr>
        <w:t xml:space="preserve">At last, 10278 household surveys and 15050 individual </w:t>
      </w:r>
      <w:r>
        <w:rPr>
          <w:rFonts w:ascii="Georgia" w:hAnsi="Georgia"/>
          <w:sz w:val="22"/>
          <w:szCs w:val="22"/>
        </w:rPr>
        <w:lastRenderedPageBreak/>
        <w:t xml:space="preserve">surveys had been collected. Post-stratification weights were used in both household and individual level analysis to adjust for province, locality, </w:t>
      </w:r>
      <w:proofErr w:type="gramStart"/>
      <w:r>
        <w:rPr>
          <w:rFonts w:ascii="Georgia" w:hAnsi="Georgia"/>
          <w:sz w:val="22"/>
          <w:szCs w:val="22"/>
        </w:rPr>
        <w:t>age</w:t>
      </w:r>
      <w:proofErr w:type="gramEnd"/>
      <w:r>
        <w:rPr>
          <w:rFonts w:ascii="Georgia" w:hAnsi="Georgia"/>
          <w:sz w:val="22"/>
          <w:szCs w:val="22"/>
        </w:rPr>
        <w:t xml:space="preserve"> and sex distributions.</w:t>
      </w:r>
    </w:p>
    <w:p w14:paraId="67D20961" w14:textId="77777777" w:rsidR="00B229AD" w:rsidRPr="00EF2E6F" w:rsidRDefault="00B229AD" w:rsidP="00B229AD">
      <w:pPr>
        <w:spacing w:line="480" w:lineRule="auto"/>
        <w:rPr>
          <w:rFonts w:ascii="Georgia" w:hAnsi="Georgia"/>
          <w:sz w:val="22"/>
          <w:szCs w:val="22"/>
        </w:rPr>
      </w:pPr>
    </w:p>
    <w:p w14:paraId="7FBECC0A" w14:textId="77777777" w:rsidR="00B229AD" w:rsidRDefault="00B229AD" w:rsidP="00B229AD">
      <w:pPr>
        <w:spacing w:line="480" w:lineRule="auto"/>
        <w:outlineLvl w:val="0"/>
        <w:rPr>
          <w:rFonts w:ascii="Georgia" w:hAnsi="Georgia"/>
          <w:sz w:val="22"/>
          <w:szCs w:val="22"/>
        </w:rPr>
      </w:pPr>
      <w:r>
        <w:rPr>
          <w:rFonts w:ascii="Georgia" w:hAnsi="Georgia" w:hint="eastAsia"/>
          <w:sz w:val="22"/>
          <w:szCs w:val="22"/>
        </w:rPr>
        <w:t>In</w:t>
      </w:r>
      <w:r>
        <w:rPr>
          <w:rFonts w:ascii="Georgia" w:hAnsi="Georgia"/>
          <w:sz w:val="22"/>
          <w:szCs w:val="22"/>
        </w:rPr>
        <w:t xml:space="preserve"> </w:t>
      </w:r>
      <w:r>
        <w:rPr>
          <w:rFonts w:ascii="Georgia" w:hAnsi="Georgia" w:hint="eastAsia"/>
          <w:sz w:val="22"/>
          <w:szCs w:val="22"/>
        </w:rPr>
        <w:t>this study,</w:t>
      </w:r>
      <w:r>
        <w:rPr>
          <w:rFonts w:ascii="Georgia" w:hAnsi="Georgia"/>
          <w:sz w:val="22"/>
          <w:szCs w:val="22"/>
        </w:rPr>
        <w:t xml:space="preserve"> 237 people </w:t>
      </w:r>
      <w:r>
        <w:rPr>
          <w:rFonts w:ascii="Georgia" w:hAnsi="Georgia" w:hint="eastAsia"/>
          <w:sz w:val="22"/>
          <w:szCs w:val="22"/>
        </w:rPr>
        <w:t>were excluded for</w:t>
      </w:r>
      <w:r>
        <w:rPr>
          <w:rFonts w:ascii="Georgia" w:hAnsi="Georgia"/>
          <w:sz w:val="22"/>
          <w:szCs w:val="22"/>
        </w:rPr>
        <w:t xml:space="preserve"> not complet</w:t>
      </w:r>
      <w:r>
        <w:rPr>
          <w:rFonts w:ascii="Georgia" w:hAnsi="Georgia" w:hint="eastAsia"/>
          <w:sz w:val="22"/>
          <w:szCs w:val="22"/>
        </w:rPr>
        <w:t>ing</w:t>
      </w:r>
      <w:r>
        <w:rPr>
          <w:rFonts w:ascii="Georgia" w:hAnsi="Georgia"/>
          <w:sz w:val="22"/>
          <w:szCs w:val="22"/>
        </w:rPr>
        <w:t xml:space="preserve"> the survey</w:t>
      </w:r>
      <w:r>
        <w:rPr>
          <w:rFonts w:ascii="Georgia" w:hAnsi="Georgia" w:hint="eastAsia"/>
          <w:sz w:val="22"/>
          <w:szCs w:val="22"/>
        </w:rPr>
        <w:t xml:space="preserve">, </w:t>
      </w:r>
      <w:r>
        <w:rPr>
          <w:rFonts w:ascii="Georgia" w:hAnsi="Georgia"/>
          <w:sz w:val="22"/>
          <w:szCs w:val="22"/>
        </w:rPr>
        <w:t>12</w:t>
      </w:r>
      <w:r>
        <w:rPr>
          <w:rFonts w:ascii="Georgia" w:hAnsi="Georgia" w:hint="eastAsia"/>
          <w:sz w:val="22"/>
          <w:szCs w:val="22"/>
        </w:rPr>
        <w:t>6</w:t>
      </w:r>
      <w:r>
        <w:rPr>
          <w:rFonts w:ascii="Georgia" w:hAnsi="Georgia"/>
          <w:sz w:val="22"/>
          <w:szCs w:val="22"/>
        </w:rPr>
        <w:t>5 people were</w:t>
      </w:r>
      <w:r>
        <w:rPr>
          <w:rFonts w:ascii="Georgia" w:hAnsi="Georgia" w:hint="eastAsia"/>
          <w:sz w:val="22"/>
          <w:szCs w:val="22"/>
        </w:rPr>
        <w:t xml:space="preserve"> then </w:t>
      </w:r>
      <w:r>
        <w:rPr>
          <w:rFonts w:ascii="Georgia" w:hAnsi="Georgia"/>
          <w:sz w:val="22"/>
          <w:szCs w:val="22"/>
        </w:rPr>
        <w:t xml:space="preserve">excluded </w:t>
      </w:r>
      <w:r>
        <w:rPr>
          <w:rFonts w:ascii="Georgia" w:hAnsi="Georgia" w:hint="eastAsia"/>
          <w:sz w:val="22"/>
          <w:szCs w:val="22"/>
        </w:rPr>
        <w:t xml:space="preserve">for analysis </w:t>
      </w:r>
      <w:r>
        <w:rPr>
          <w:rFonts w:ascii="Georgia" w:hAnsi="Georgia"/>
          <w:sz w:val="22"/>
          <w:szCs w:val="22"/>
        </w:rPr>
        <w:t xml:space="preserve">because their ages were under 50 years. </w:t>
      </w:r>
      <w:r w:rsidRPr="00492C49">
        <w:rPr>
          <w:rFonts w:ascii="Georgia" w:hAnsi="Georgia" w:hint="eastAsia"/>
          <w:color w:val="FF0000"/>
          <w:sz w:val="22"/>
          <w:szCs w:val="22"/>
        </w:rPr>
        <w:t>Missing check was</w:t>
      </w:r>
      <w:r>
        <w:rPr>
          <w:rFonts w:ascii="Georgia" w:hAnsi="Georgia" w:hint="eastAsia"/>
          <w:color w:val="FF0000"/>
          <w:sz w:val="22"/>
          <w:szCs w:val="22"/>
        </w:rPr>
        <w:t xml:space="preserve"> applied</w:t>
      </w:r>
      <w:r w:rsidRPr="00492C49">
        <w:rPr>
          <w:rFonts w:ascii="Georgia" w:hAnsi="Georgia" w:hint="eastAsia"/>
          <w:color w:val="FF0000"/>
          <w:sz w:val="22"/>
          <w:szCs w:val="22"/>
        </w:rPr>
        <w:t xml:space="preserve"> </w:t>
      </w:r>
      <w:r>
        <w:rPr>
          <w:rFonts w:ascii="Georgia" w:hAnsi="Georgia" w:hint="eastAsia"/>
          <w:color w:val="FF0000"/>
          <w:sz w:val="22"/>
          <w:szCs w:val="22"/>
        </w:rPr>
        <w:t>to screen out the</w:t>
      </w:r>
      <w:r w:rsidRPr="00492C49">
        <w:rPr>
          <w:rFonts w:ascii="Georgia" w:hAnsi="Georgia" w:hint="eastAsia"/>
          <w:color w:val="FF0000"/>
          <w:sz w:val="22"/>
          <w:szCs w:val="22"/>
        </w:rPr>
        <w:t xml:space="preserve"> respondents </w:t>
      </w:r>
      <w:r>
        <w:rPr>
          <w:rFonts w:ascii="Georgia" w:hAnsi="Georgia" w:hint="eastAsia"/>
          <w:color w:val="FF0000"/>
          <w:sz w:val="22"/>
          <w:szCs w:val="22"/>
        </w:rPr>
        <w:t>who answered all the</w:t>
      </w:r>
      <w:r w:rsidRPr="00492C49">
        <w:rPr>
          <w:rFonts w:ascii="Georgia" w:hAnsi="Georgia" w:hint="eastAsia"/>
          <w:color w:val="FF0000"/>
          <w:sz w:val="22"/>
          <w:szCs w:val="22"/>
        </w:rPr>
        <w:t xml:space="preserve"> </w:t>
      </w:r>
      <w:proofErr w:type="gramStart"/>
      <w:r w:rsidRPr="00492C49">
        <w:rPr>
          <w:rFonts w:ascii="Georgia" w:hAnsi="Georgia" w:hint="eastAsia"/>
          <w:color w:val="FF0000"/>
          <w:sz w:val="22"/>
          <w:szCs w:val="22"/>
        </w:rPr>
        <w:t>questions</w:t>
      </w:r>
      <w:r>
        <w:rPr>
          <w:rFonts w:ascii="Georgia" w:hAnsi="Georgia" w:hint="eastAsia"/>
          <w:color w:val="FF0000"/>
          <w:sz w:val="22"/>
          <w:szCs w:val="22"/>
        </w:rPr>
        <w:t>(</w:t>
      </w:r>
      <w:proofErr w:type="gramEnd"/>
      <w:r>
        <w:rPr>
          <w:rFonts w:ascii="Georgia" w:hAnsi="Georgia" w:hint="eastAsia"/>
          <w:color w:val="FF0000"/>
          <w:sz w:val="22"/>
          <w:szCs w:val="22"/>
        </w:rPr>
        <w:t>22)</w:t>
      </w:r>
      <w:r>
        <w:rPr>
          <w:rFonts w:ascii="Georgia" w:hAnsi="Georgia" w:hint="eastAsia"/>
          <w:sz w:val="22"/>
          <w:szCs w:val="22"/>
        </w:rPr>
        <w:t>.  A</w:t>
      </w:r>
      <w:r>
        <w:rPr>
          <w:rFonts w:ascii="Georgia" w:hAnsi="Georgia"/>
          <w:sz w:val="22"/>
          <w:szCs w:val="22"/>
        </w:rPr>
        <w:t xml:space="preserve">fter </w:t>
      </w:r>
      <w:r>
        <w:rPr>
          <w:rFonts w:ascii="Georgia" w:hAnsi="Georgia" w:hint="eastAsia"/>
          <w:sz w:val="22"/>
          <w:szCs w:val="22"/>
        </w:rPr>
        <w:t xml:space="preserve">the </w:t>
      </w:r>
      <w:r>
        <w:rPr>
          <w:rFonts w:ascii="Georgia" w:hAnsi="Georgia"/>
          <w:sz w:val="22"/>
          <w:szCs w:val="22"/>
        </w:rPr>
        <w:t xml:space="preserve">missing check, 10099 </w:t>
      </w:r>
      <w:r>
        <w:rPr>
          <w:rFonts w:ascii="Georgia" w:hAnsi="Georgia" w:hint="eastAsia"/>
          <w:sz w:val="22"/>
          <w:szCs w:val="22"/>
        </w:rPr>
        <w:t xml:space="preserve">who completed the questionnaires </w:t>
      </w:r>
      <w:r>
        <w:rPr>
          <w:rFonts w:ascii="Georgia" w:hAnsi="Georgia"/>
          <w:sz w:val="22"/>
          <w:szCs w:val="22"/>
        </w:rPr>
        <w:t>were derived from 15050 of Chinese sample for future analysis</w:t>
      </w:r>
      <w:r>
        <w:rPr>
          <w:rFonts w:ascii="Georgia" w:hAnsi="Georgia" w:hint="eastAsia"/>
          <w:sz w:val="22"/>
          <w:szCs w:val="22"/>
        </w:rPr>
        <w:t xml:space="preserve"> (figure 1).</w:t>
      </w:r>
    </w:p>
    <w:p w14:paraId="55A69ADC" w14:textId="77777777" w:rsidR="00B229AD" w:rsidRDefault="00B229AD" w:rsidP="00B229AD">
      <w:pPr>
        <w:spacing w:line="480" w:lineRule="auto"/>
        <w:outlineLvl w:val="0"/>
        <w:rPr>
          <w:rFonts w:ascii="Georgia" w:hAnsi="Georgia"/>
          <w:b/>
          <w:sz w:val="26"/>
          <w:szCs w:val="26"/>
        </w:rPr>
      </w:pPr>
    </w:p>
    <w:p w14:paraId="738FD43E" w14:textId="77777777" w:rsidR="00B229AD" w:rsidRDefault="00B229AD" w:rsidP="00B229AD">
      <w:pPr>
        <w:spacing w:line="480" w:lineRule="auto"/>
        <w:outlineLvl w:val="0"/>
        <w:rPr>
          <w:rFonts w:ascii="Georgia" w:hAnsi="Georgia"/>
          <w:b/>
          <w:sz w:val="26"/>
          <w:szCs w:val="26"/>
        </w:rPr>
      </w:pPr>
      <w:r>
        <w:rPr>
          <w:rFonts w:ascii="Georgia" w:hAnsi="Georgia"/>
          <w:b/>
          <w:sz w:val="26"/>
          <w:szCs w:val="26"/>
        </w:rPr>
        <w:t>Variables selection</w:t>
      </w:r>
    </w:p>
    <w:p w14:paraId="6FCE450F" w14:textId="77777777" w:rsidR="00B229AD" w:rsidRDefault="00B229AD" w:rsidP="00B229AD">
      <w:pPr>
        <w:spacing w:line="480" w:lineRule="auto"/>
        <w:outlineLvl w:val="0"/>
        <w:rPr>
          <w:rFonts w:ascii="Georgia" w:hAnsi="Georgia"/>
        </w:rPr>
      </w:pPr>
    </w:p>
    <w:p w14:paraId="573C3813" w14:textId="77777777" w:rsidR="00B229AD" w:rsidRDefault="00B229AD" w:rsidP="00B229AD">
      <w:pPr>
        <w:spacing w:line="480" w:lineRule="auto"/>
        <w:outlineLvl w:val="0"/>
        <w:rPr>
          <w:rFonts w:ascii="Georgia" w:hAnsi="Georgia"/>
        </w:rPr>
      </w:pPr>
      <w:r>
        <w:rPr>
          <w:rFonts w:ascii="Georgia" w:hAnsi="Georgia"/>
        </w:rPr>
        <w:t>Variables selection from the individual questionnaire</w:t>
      </w:r>
    </w:p>
    <w:p w14:paraId="3C4012D6" w14:textId="77777777" w:rsidR="00B229AD" w:rsidRDefault="00B229AD" w:rsidP="00B229AD">
      <w:pPr>
        <w:spacing w:line="480" w:lineRule="auto"/>
        <w:rPr>
          <w:rFonts w:ascii="Georgia" w:hAnsi="Georgia"/>
          <w:sz w:val="22"/>
          <w:szCs w:val="22"/>
        </w:rPr>
      </w:pPr>
    </w:p>
    <w:p w14:paraId="011F5EBB" w14:textId="77777777" w:rsidR="00B229AD" w:rsidRDefault="00B229AD" w:rsidP="00B229AD">
      <w:pPr>
        <w:spacing w:line="480" w:lineRule="auto"/>
        <w:rPr>
          <w:rFonts w:ascii="Georgia" w:hAnsi="Georgia"/>
          <w:sz w:val="22"/>
          <w:szCs w:val="22"/>
        </w:rPr>
      </w:pPr>
      <w:r>
        <w:rPr>
          <w:rFonts w:ascii="Georgia" w:hAnsi="Georgia"/>
          <w:sz w:val="22"/>
          <w:szCs w:val="22"/>
        </w:rPr>
        <w:t xml:space="preserve">The results were only for the people who had completed interviews (interview </w:t>
      </w:r>
      <w:proofErr w:type="gramStart"/>
      <w:r>
        <w:rPr>
          <w:rFonts w:ascii="Georgia" w:hAnsi="Georgia"/>
          <w:sz w:val="22"/>
          <w:szCs w:val="22"/>
        </w:rPr>
        <w:t>were</w:t>
      </w:r>
      <w:proofErr w:type="gramEnd"/>
      <w:r>
        <w:rPr>
          <w:rFonts w:ascii="Georgia" w:hAnsi="Georgia"/>
          <w:sz w:val="22"/>
          <w:szCs w:val="22"/>
        </w:rPr>
        <w:t xml:space="preserve"> conducted including body measurement, performance tests and blood sample). NCDs selection was based on the self-reported responses to presence of one or more following diseases: arthritis, stroke, angina, diabetes, chronic lung disease, asthma, cataract, and hypertension. Hypertension was </w:t>
      </w:r>
      <w:r>
        <w:rPr>
          <w:rFonts w:ascii="Georgia" w:hAnsi="Georgia" w:hint="eastAsia"/>
          <w:sz w:val="22"/>
          <w:szCs w:val="22"/>
        </w:rPr>
        <w:t>identified</w:t>
      </w:r>
      <w:r>
        <w:rPr>
          <w:rFonts w:ascii="Georgia" w:hAnsi="Georgia"/>
          <w:sz w:val="22"/>
          <w:szCs w:val="22"/>
        </w:rPr>
        <w:t xml:space="preserve"> as systolic blood pressure was ≥</w:t>
      </w:r>
      <w:r>
        <w:rPr>
          <w:rFonts w:ascii="Calibri" w:eastAsia="Calibri" w:hAnsi="Calibri" w:cs="Calibri"/>
          <w:sz w:val="22"/>
          <w:szCs w:val="22"/>
        </w:rPr>
        <w:t> </w:t>
      </w:r>
      <w:r>
        <w:rPr>
          <w:rFonts w:ascii="Georgia" w:hAnsi="Georgia"/>
          <w:sz w:val="22"/>
          <w:szCs w:val="22"/>
        </w:rPr>
        <w:t>140 mmHg or diastolic blood pressure ≥</w:t>
      </w:r>
      <w:r>
        <w:rPr>
          <w:rFonts w:ascii="Calibri" w:eastAsia="Calibri" w:hAnsi="Calibri" w:cs="Calibri"/>
          <w:sz w:val="22"/>
          <w:szCs w:val="22"/>
        </w:rPr>
        <w:t> </w:t>
      </w:r>
      <w:r>
        <w:rPr>
          <w:rFonts w:ascii="Georgia" w:hAnsi="Georgia"/>
          <w:sz w:val="22"/>
          <w:szCs w:val="22"/>
        </w:rPr>
        <w:t xml:space="preserve">90 mmHg. </w:t>
      </w:r>
    </w:p>
    <w:p w14:paraId="2B81EE3F" w14:textId="77777777" w:rsidR="00B229AD" w:rsidRDefault="00B229AD" w:rsidP="00B229AD">
      <w:pPr>
        <w:spacing w:line="480" w:lineRule="auto"/>
        <w:rPr>
          <w:rFonts w:ascii="Georgia" w:hAnsi="Georgia"/>
          <w:sz w:val="22"/>
          <w:szCs w:val="22"/>
        </w:rPr>
      </w:pPr>
    </w:p>
    <w:p w14:paraId="329DB736" w14:textId="77777777" w:rsidR="00B229AD" w:rsidRDefault="00B229AD" w:rsidP="00B229AD">
      <w:pPr>
        <w:spacing w:line="480" w:lineRule="auto"/>
        <w:rPr>
          <w:rFonts w:ascii="Georgia" w:hAnsi="Georgia"/>
          <w:sz w:val="22"/>
          <w:szCs w:val="22"/>
        </w:rPr>
      </w:pPr>
      <w:r>
        <w:rPr>
          <w:rFonts w:ascii="Georgia" w:hAnsi="Georgia"/>
          <w:sz w:val="22"/>
          <w:szCs w:val="22"/>
        </w:rPr>
        <w:t xml:space="preserve">Social-demographic variables included age, sex, marriage status and educational level. People above 50 years were selected. Risk factors and health behavior variables </w:t>
      </w:r>
      <w:r>
        <w:rPr>
          <w:rFonts w:ascii="Georgia" w:hAnsi="Georgia" w:hint="eastAsia"/>
          <w:sz w:val="22"/>
          <w:szCs w:val="22"/>
        </w:rPr>
        <w:t xml:space="preserve">contained </w:t>
      </w:r>
      <w:r>
        <w:rPr>
          <w:rFonts w:ascii="Georgia" w:hAnsi="Georgia"/>
          <w:sz w:val="22"/>
          <w:szCs w:val="22"/>
        </w:rPr>
        <w:t xml:space="preserve">body mass index (BMI), tobacco using, alcohol consumption, </w:t>
      </w:r>
      <w:r>
        <w:rPr>
          <w:rFonts w:ascii="Georgia" w:hAnsi="Georgia" w:hint="eastAsia"/>
          <w:sz w:val="22"/>
          <w:szCs w:val="22"/>
        </w:rPr>
        <w:t>fruit/ vegetables intake</w:t>
      </w:r>
      <w:r>
        <w:rPr>
          <w:rFonts w:ascii="Georgia" w:hAnsi="Georgia"/>
          <w:sz w:val="22"/>
          <w:szCs w:val="22"/>
        </w:rPr>
        <w:t xml:space="preserve"> as well as physical activity</w:t>
      </w:r>
      <w:r>
        <w:rPr>
          <w:rFonts w:ascii="Georgia" w:hAnsi="Georgia" w:hint="eastAsia"/>
          <w:sz w:val="22"/>
          <w:szCs w:val="22"/>
        </w:rPr>
        <w:t xml:space="preserve"> variables</w:t>
      </w:r>
      <w:r>
        <w:rPr>
          <w:rFonts w:ascii="Georgia" w:hAnsi="Georgia"/>
          <w:sz w:val="22"/>
          <w:szCs w:val="22"/>
        </w:rPr>
        <w:t>. BMI was derived from weight in kilogram (Kg) divided height in meter (m). China’s center for disease control guidelines set BMI&lt;18.5 (kg/m</w:t>
      </w:r>
      <w:r>
        <w:rPr>
          <w:rFonts w:ascii="Georgia" w:hAnsi="Georgia"/>
          <w:sz w:val="22"/>
          <w:szCs w:val="22"/>
          <w:vertAlign w:val="superscript"/>
        </w:rPr>
        <w:t>2</w:t>
      </w:r>
      <w:r>
        <w:rPr>
          <w:rFonts w:ascii="Georgia" w:hAnsi="Georgia"/>
          <w:sz w:val="22"/>
          <w:szCs w:val="22"/>
        </w:rPr>
        <w:t xml:space="preserve">) </w:t>
      </w:r>
      <w:r>
        <w:rPr>
          <w:rFonts w:ascii="Georgia" w:hAnsi="Georgia" w:hint="eastAsia"/>
          <w:sz w:val="22"/>
          <w:szCs w:val="22"/>
        </w:rPr>
        <w:t>to</w:t>
      </w:r>
      <w:r>
        <w:rPr>
          <w:rFonts w:ascii="Georgia" w:hAnsi="Georgia"/>
          <w:sz w:val="22"/>
          <w:szCs w:val="22"/>
        </w:rPr>
        <w:t xml:space="preserve"> underweight, 18.5-23.9(kg/m</w:t>
      </w:r>
      <w:r>
        <w:rPr>
          <w:rFonts w:ascii="Georgia" w:hAnsi="Georgia"/>
          <w:sz w:val="22"/>
          <w:szCs w:val="22"/>
          <w:vertAlign w:val="superscript"/>
        </w:rPr>
        <w:t>2</w:t>
      </w:r>
      <w:r>
        <w:rPr>
          <w:rFonts w:ascii="Georgia" w:hAnsi="Georgia"/>
          <w:sz w:val="22"/>
          <w:szCs w:val="22"/>
        </w:rPr>
        <w:t xml:space="preserve">) </w:t>
      </w:r>
      <w:r>
        <w:rPr>
          <w:rFonts w:ascii="Georgia" w:hAnsi="Georgia" w:hint="eastAsia"/>
          <w:sz w:val="22"/>
          <w:szCs w:val="22"/>
        </w:rPr>
        <w:t xml:space="preserve">to </w:t>
      </w:r>
      <w:r>
        <w:rPr>
          <w:rFonts w:ascii="Georgia" w:hAnsi="Georgia"/>
          <w:sz w:val="22"/>
          <w:szCs w:val="22"/>
        </w:rPr>
        <w:t>normal, 24-27.9(kg/m</w:t>
      </w:r>
      <w:r>
        <w:rPr>
          <w:rFonts w:ascii="Georgia" w:hAnsi="Georgia"/>
          <w:sz w:val="22"/>
          <w:szCs w:val="22"/>
          <w:vertAlign w:val="superscript"/>
        </w:rPr>
        <w:t>2</w:t>
      </w:r>
      <w:r>
        <w:rPr>
          <w:rFonts w:ascii="Georgia" w:hAnsi="Georgia"/>
          <w:sz w:val="22"/>
          <w:szCs w:val="22"/>
        </w:rPr>
        <w:t>) to overweight and &gt;28(kg/m</w:t>
      </w:r>
      <w:r>
        <w:rPr>
          <w:rFonts w:ascii="Georgia" w:hAnsi="Georgia"/>
          <w:sz w:val="22"/>
          <w:szCs w:val="22"/>
          <w:vertAlign w:val="superscript"/>
        </w:rPr>
        <w:t>2</w:t>
      </w:r>
      <w:r>
        <w:rPr>
          <w:rFonts w:ascii="Georgia" w:hAnsi="Georgia"/>
          <w:sz w:val="22"/>
          <w:szCs w:val="22"/>
        </w:rPr>
        <w:t xml:space="preserve">) </w:t>
      </w:r>
      <w:r>
        <w:rPr>
          <w:rFonts w:ascii="Georgia" w:hAnsi="Georgia" w:hint="eastAsia"/>
          <w:sz w:val="22"/>
          <w:szCs w:val="22"/>
        </w:rPr>
        <w:t xml:space="preserve">to </w:t>
      </w:r>
      <w:r>
        <w:rPr>
          <w:rFonts w:ascii="Georgia" w:hAnsi="Georgia"/>
          <w:sz w:val="22"/>
          <w:szCs w:val="22"/>
        </w:rPr>
        <w:t xml:space="preserve">obesity. The </w:t>
      </w:r>
      <w:r>
        <w:rPr>
          <w:rFonts w:ascii="Georgia" w:hAnsi="Georgia" w:hint="eastAsia"/>
          <w:sz w:val="22"/>
          <w:szCs w:val="22"/>
        </w:rPr>
        <w:lastRenderedPageBreak/>
        <w:t>fruit/vegetables</w:t>
      </w:r>
      <w:r>
        <w:rPr>
          <w:rFonts w:ascii="Georgia" w:hAnsi="Georgia"/>
          <w:sz w:val="22"/>
          <w:szCs w:val="22"/>
        </w:rPr>
        <w:t xml:space="preserve"> variable was defined as adequate with intake of fruit and vegetables&gt;=5 servings daily</w:t>
      </w:r>
      <w:r>
        <w:rPr>
          <w:rFonts w:ascii="Georgia" w:hAnsi="Georgia"/>
          <w:sz w:val="22"/>
          <w:szCs w:val="22"/>
        </w:rPr>
        <w:fldChar w:fldCharType="begin"/>
      </w:r>
      <w:r>
        <w:rPr>
          <w:rFonts w:ascii="Georgia" w:hAnsi="Georgia"/>
          <w:sz w:val="22"/>
          <w:szCs w:val="22"/>
        </w:rPr>
        <w:instrText xml:space="preserve"> ADDIN ZOTERO_ITEM CSL_CITATION {"citationID":"1sticrf5g0","properties":{"formattedCitation":"(26)","plainCitation":"(26)"},"citationItems":[{"id":541,"uris":["http://zotero.org/users/3016898/items/JHIPZH9D"],"uri":["http://zotero.org/users/3016898/items/JHIPZH9D"],"itemData":{"id":541,"type":"article-journal","title":"Data Resource Profile: The World Health Organization Study on global AGEing and adult health (SAGE)","container-title":"International Journal of Epidemiology","page":"1639-1649","volume":"41","issue":"6","source":"PubMed Central","abstract":"Population ageing is rapidly becoming a global issue and will have a major impact on health policies and programmes. The World Health Organization’s Study on global AGEing and adult health (SAGE) aims to address the gap in reliable data and scientific knowledge on ageing and health in low- and middle-income countries. SAGE is a longitudinal study with nationally representative samples of persons aged 50+ years in China, Ghana, India, Mexico, Russia and South Africa, with a smaller sample of adults aged 18–49 years in each country for comparisons. Instruments are compatible with other large high-income country longitudinal ageing studies. Wave 1 was conducted during 2007–2010 and included a total of 34 124 respondents aged 50+ and 8340 aged 18–49. In four countries, a subsample consisting of 8160 respondents participated in Wave 1 and the 2002/04 World Health Survey (referred to as SAGE Wave 0). Wave 2 data collection will start in 2012/13, following up all Wave 1 respondents. Wave 3 is planned for 2014/15. SAGE is committed to the public release of study instruments, protocols and meta- and micro-data: access is provided upon completion of a Users Agreement available through WHO’s SAGE website (www.who.int/healthinfo/systems/sage) and WHO’s archive using the National Data Archive application (http://apps.who.int/healthinfo/systems/surveydata).","DOI":"10.1093/ije/dys210","ISSN":"0300-5771","note":"PMID: 23283715\nPMCID: PMC3535754","shortTitle":"Data Resource Profile","journalAbbreviation":"Int J Epidemiol","author":[{"family":"Kowal","given":"Paul"},{"family":"Chatterji","given":"Somnath"},{"family":"Naidoo","given":"Nirmala"},{"family":"Biritwum","given":"Richard"},{"family":"Fan","given":"Wu"},{"family":"Lopez Ridaura","given":"Ruy"},{"family":"Maximova","given":"Tamara"},{"family":"Arokiasamy","given":"Perianayagam"},{"family":"Phaswana-Mafuya","given":"Nancy"},{"family":"Williams","given":"Sharon"},{"family":"Snodgrass","given":"J Josh"},{"family":"Minicuci","given":"Nadia"},{"family":"D'Este","given":"Catherine"},{"family":"Peltzer","given":"Karl"},{"family":"Boerma","given":"J Ties"},{"family":"Yawson","given":"A."},{"family":"Mensah","given":"G."},{"family":"Yong","given":"J."},{"family":"Guo","given":"Y."},{"family":"Zheng","given":"Y."},{"family":"Parasuraman","given":"P."},{"family":"Lhungdim","given":"H."},{"family":"Sekher","given":"TV."},{"family":"Rosa","given":"R."},{"family":"Belov","given":"VB."},{"family":"Lushkina","given":"NP"},{"family":"Peltzer","given":"K."},{"family":"Makiwane","given":"M."},{"family":"Zuma","given":"K."},{"family":"Ramlagan","given":"S."},{"family":"Davids","given":"A."},{"family":"Mbelle","given":"N."},{"family":"Matseke","given":"G."},{"family":"Schneider","given":"M."},{"family":"Tabane","given":"C."},{"family":"Tollman","given":"S."},{"family":"Kahn","given":"K."},{"family":"Ng","given":"N."},{"family":"Juvekar","given":"S."},{"family":"Sankoh","given":"O."},{"family":"Debpuur","given":"CY."},{"family":"Nguyen","given":"TK Chuc"},{"family":"Gomez-Olive","given":"FX."},{"family":"Hakimi","given":"M."},{"family":"Hirve","given":"S."},{"family":"Abdullah","given":"S."},{"family":"Hodgson","given":"A."},{"family":"Kyobutungi","given":"C."},{"family":"Egondi","given":"T."},{"family":"Mayombana","given":"C."},{"family":"Minh","given":"HV."},{"family":"Mwanyangala","given":"MA."},{"family":"Razzaque","given":"A."},{"family":"Wilopo","given":"S."},{"family":"Streatfield","given":"PK."},{"family":"Byass","given":"P."},{"family":"Wall","given":"S."},{"family":"Scholten","given":"F."},{"family":"Mugisha","given":"J."},{"family":"Seeley","given":"J."},{"family":"Kinyanda","given":"E."},{"family":"Nyirenda","given":"M."},{"family":"Mutevedzi","given":"P."},{"family":"Newell","given":"M-L."}],"issued":{"date-parts":[["2012",12]]}}}],"schema":"https://github.com/citation-style-language/schema/raw/master/csl-citation.json"} </w:instrText>
      </w:r>
      <w:r>
        <w:rPr>
          <w:rFonts w:ascii="Georgia" w:hAnsi="Georgia"/>
          <w:sz w:val="22"/>
          <w:szCs w:val="22"/>
        </w:rPr>
        <w:fldChar w:fldCharType="separate"/>
      </w:r>
      <w:r>
        <w:rPr>
          <w:rFonts w:ascii="Georgia" w:hAnsi="Georgia"/>
          <w:sz w:val="22"/>
          <w:szCs w:val="22"/>
        </w:rPr>
        <w:t>(20)</w:t>
      </w:r>
      <w:r>
        <w:rPr>
          <w:rFonts w:ascii="Georgia" w:hAnsi="Georgia"/>
          <w:sz w:val="22"/>
          <w:szCs w:val="22"/>
        </w:rPr>
        <w:fldChar w:fldCharType="end"/>
      </w:r>
      <w:r>
        <w:rPr>
          <w:rFonts w:ascii="Georgia" w:hAnsi="Georgia"/>
          <w:sz w:val="22"/>
          <w:szCs w:val="22"/>
        </w:rPr>
        <w:t>. Physical activity was measured by using WHO Global Physical Questionnaires</w:t>
      </w:r>
      <w:r>
        <w:rPr>
          <w:rFonts w:ascii="Georgia" w:hAnsi="Georgia"/>
          <w:sz w:val="22"/>
          <w:szCs w:val="22"/>
        </w:rPr>
        <w:fldChar w:fldCharType="begin"/>
      </w:r>
      <w:r>
        <w:rPr>
          <w:rFonts w:ascii="Georgia" w:hAnsi="Georgia"/>
          <w:sz w:val="22"/>
          <w:szCs w:val="22"/>
        </w:rPr>
        <w:instrText xml:space="preserve"> ADDIN ZOTERO_TEMP </w:instrText>
      </w:r>
      <w:r>
        <w:rPr>
          <w:rFonts w:ascii="Georgia" w:hAnsi="Georgia"/>
          <w:sz w:val="22"/>
          <w:szCs w:val="22"/>
        </w:rPr>
        <w:fldChar w:fldCharType="separate"/>
      </w:r>
      <w:r>
        <w:rPr>
          <w:rFonts w:ascii="Georgia" w:hAnsi="Georgia"/>
          <w:sz w:val="22"/>
          <w:szCs w:val="22"/>
        </w:rPr>
        <w:t>(23)</w:t>
      </w:r>
      <w:r>
        <w:rPr>
          <w:rFonts w:ascii="Georgia" w:hAnsi="Georgia"/>
          <w:sz w:val="22"/>
          <w:szCs w:val="22"/>
        </w:rPr>
        <w:fldChar w:fldCharType="end"/>
      </w:r>
      <w:r>
        <w:rPr>
          <w:rFonts w:ascii="Georgia" w:hAnsi="Georgia"/>
          <w:sz w:val="22"/>
          <w:szCs w:val="22"/>
        </w:rPr>
        <w:t xml:space="preserve">. </w:t>
      </w:r>
    </w:p>
    <w:p w14:paraId="678A6D2A" w14:textId="77777777" w:rsidR="00B229AD" w:rsidRDefault="00B229AD" w:rsidP="00B229AD">
      <w:pPr>
        <w:spacing w:line="480" w:lineRule="auto"/>
        <w:rPr>
          <w:rFonts w:ascii="Georgia" w:hAnsi="Georgia"/>
          <w:sz w:val="22"/>
          <w:szCs w:val="22"/>
        </w:rPr>
      </w:pPr>
    </w:p>
    <w:p w14:paraId="448AE4F2" w14:textId="77777777" w:rsidR="00B229AD" w:rsidRDefault="00B229AD" w:rsidP="00B229AD">
      <w:pPr>
        <w:spacing w:line="480" w:lineRule="auto"/>
        <w:outlineLvl w:val="0"/>
        <w:rPr>
          <w:rFonts w:ascii="Georgia" w:hAnsi="Georgia"/>
        </w:rPr>
      </w:pPr>
      <w:r>
        <w:rPr>
          <w:rFonts w:ascii="Georgia" w:hAnsi="Georgia"/>
        </w:rPr>
        <w:t>Variables selection from the household questionnaire</w:t>
      </w:r>
    </w:p>
    <w:p w14:paraId="1F7E03AA" w14:textId="77777777" w:rsidR="00B229AD" w:rsidRDefault="00B229AD" w:rsidP="00B229AD">
      <w:pPr>
        <w:spacing w:line="480" w:lineRule="auto"/>
        <w:rPr>
          <w:rFonts w:ascii="Georgia" w:hAnsi="Georgia"/>
          <w:sz w:val="22"/>
          <w:szCs w:val="22"/>
        </w:rPr>
      </w:pPr>
    </w:p>
    <w:p w14:paraId="405F4BE0" w14:textId="77777777" w:rsidR="00B229AD" w:rsidRDefault="00B229AD" w:rsidP="00B229AD">
      <w:pPr>
        <w:spacing w:line="480" w:lineRule="auto"/>
        <w:rPr>
          <w:rFonts w:ascii="Georgia" w:hAnsi="Georgia"/>
          <w:sz w:val="22"/>
          <w:szCs w:val="22"/>
        </w:rPr>
      </w:pPr>
      <w:r>
        <w:rPr>
          <w:rFonts w:ascii="Georgia" w:hAnsi="Georgia"/>
          <w:sz w:val="22"/>
          <w:szCs w:val="22"/>
        </w:rPr>
        <w:t xml:space="preserve">Household asset items were </w:t>
      </w:r>
      <w:r>
        <w:rPr>
          <w:rFonts w:ascii="Georgia" w:hAnsi="Georgia" w:hint="eastAsia"/>
          <w:sz w:val="22"/>
          <w:szCs w:val="22"/>
        </w:rPr>
        <w:t>chosen</w:t>
      </w:r>
      <w:r>
        <w:rPr>
          <w:rFonts w:ascii="Georgia" w:hAnsi="Georgia"/>
          <w:sz w:val="22"/>
          <w:szCs w:val="22"/>
        </w:rPr>
        <w:t xml:space="preserve"> for deriving wealth quintile</w:t>
      </w:r>
      <w:r>
        <w:rPr>
          <w:rFonts w:ascii="Georgia" w:hAnsi="Georgia" w:hint="eastAsia"/>
          <w:sz w:val="22"/>
          <w:szCs w:val="22"/>
        </w:rPr>
        <w:t>s</w:t>
      </w:r>
      <w:r>
        <w:rPr>
          <w:rFonts w:ascii="Georgia" w:hAnsi="Georgia"/>
          <w:sz w:val="22"/>
          <w:szCs w:val="22"/>
        </w:rPr>
        <w:t>.</w:t>
      </w:r>
      <w:r>
        <w:rPr>
          <w:rFonts w:ascii="Georgia" w:hAnsi="Georgia" w:hint="eastAsia"/>
          <w:sz w:val="22"/>
          <w:szCs w:val="22"/>
        </w:rPr>
        <w:t xml:space="preserve"> Under household</w:t>
      </w:r>
      <w:r>
        <w:rPr>
          <w:rFonts w:ascii="Georgia" w:hAnsi="Georgia"/>
          <w:sz w:val="22"/>
          <w:szCs w:val="22"/>
        </w:rPr>
        <w:t xml:space="preserve"> expenditure </w:t>
      </w:r>
      <w:r>
        <w:rPr>
          <w:rFonts w:ascii="Georgia" w:hAnsi="Georgia" w:hint="eastAsia"/>
          <w:sz w:val="22"/>
          <w:szCs w:val="22"/>
        </w:rPr>
        <w:t xml:space="preserve">module, </w:t>
      </w:r>
      <w:r>
        <w:rPr>
          <w:rFonts w:ascii="Georgia" w:hAnsi="Georgia"/>
          <w:sz w:val="22"/>
          <w:szCs w:val="22"/>
        </w:rPr>
        <w:t>variables</w:t>
      </w:r>
      <w:r>
        <w:rPr>
          <w:rFonts w:ascii="Georgia" w:hAnsi="Georgia" w:hint="eastAsia"/>
          <w:sz w:val="22"/>
          <w:szCs w:val="22"/>
        </w:rPr>
        <w:t xml:space="preserve"> like</w:t>
      </w:r>
      <w:r>
        <w:rPr>
          <w:rFonts w:ascii="Georgia" w:hAnsi="Georgia"/>
          <w:sz w:val="22"/>
          <w:szCs w:val="22"/>
        </w:rPr>
        <w:t xml:space="preserve"> general tax, mandatory health insurance, voluntary health insurance as well as out of pocket (OOP)</w:t>
      </w:r>
      <w:r>
        <w:rPr>
          <w:rFonts w:ascii="Georgia" w:hAnsi="Georgia" w:hint="eastAsia"/>
          <w:sz w:val="22"/>
          <w:szCs w:val="22"/>
        </w:rPr>
        <w:t xml:space="preserve"> were picked up</w:t>
      </w:r>
      <w:r>
        <w:rPr>
          <w:rFonts w:ascii="Georgia" w:hAnsi="Georgia"/>
          <w:sz w:val="22"/>
          <w:szCs w:val="22"/>
        </w:rPr>
        <w:t>. General tax</w:t>
      </w:r>
      <w:r>
        <w:rPr>
          <w:rFonts w:ascii="Georgia" w:hAnsi="Georgia" w:hint="eastAsia"/>
          <w:sz w:val="22"/>
          <w:szCs w:val="22"/>
        </w:rPr>
        <w:t>es</w:t>
      </w:r>
      <w:r>
        <w:rPr>
          <w:rFonts w:ascii="Georgia" w:hAnsi="Georgia"/>
          <w:sz w:val="22"/>
          <w:szCs w:val="22"/>
        </w:rPr>
        <w:t xml:space="preserve"> were consisted of property tax, vehicle tax, income tax and non-health related insurance. </w:t>
      </w:r>
      <w:r>
        <w:rPr>
          <w:rFonts w:ascii="Georgia" w:hAnsi="Georgia" w:hint="eastAsia"/>
          <w:sz w:val="22"/>
          <w:szCs w:val="22"/>
        </w:rPr>
        <w:t>Public Health insurance would be asked about the premiums paid for health</w:t>
      </w:r>
      <w:r>
        <w:rPr>
          <w:rFonts w:ascii="Georgia" w:hAnsi="Georgia"/>
          <w:sz w:val="22"/>
          <w:szCs w:val="22"/>
        </w:rPr>
        <w:t xml:space="preserve"> plans</w:t>
      </w:r>
      <w:r>
        <w:rPr>
          <w:rFonts w:ascii="Georgia" w:hAnsi="Georgia" w:hint="eastAsia"/>
          <w:sz w:val="22"/>
          <w:szCs w:val="22"/>
        </w:rPr>
        <w:t>. I</w:t>
      </w:r>
      <w:r>
        <w:rPr>
          <w:rFonts w:ascii="Georgia" w:hAnsi="Georgia"/>
          <w:sz w:val="22"/>
          <w:szCs w:val="22"/>
        </w:rPr>
        <w:t xml:space="preserve">n </w:t>
      </w:r>
      <w:r>
        <w:rPr>
          <w:rFonts w:ascii="Georgia" w:hAnsi="Georgia" w:hint="eastAsia"/>
          <w:sz w:val="22"/>
          <w:szCs w:val="22"/>
        </w:rPr>
        <w:t>this</w:t>
      </w:r>
      <w:r>
        <w:rPr>
          <w:rFonts w:ascii="Georgia" w:hAnsi="Georgia"/>
          <w:sz w:val="22"/>
          <w:szCs w:val="22"/>
        </w:rPr>
        <w:t xml:space="preserve"> SAGE survey, designers summed up </w:t>
      </w:r>
      <w:r>
        <w:rPr>
          <w:rFonts w:ascii="Georgia" w:hAnsi="Georgia" w:hint="eastAsia"/>
          <w:sz w:val="22"/>
          <w:szCs w:val="22"/>
        </w:rPr>
        <w:t xml:space="preserve">UEBMI, </w:t>
      </w:r>
      <w:r>
        <w:rPr>
          <w:rFonts w:ascii="Georgia" w:hAnsi="Georgia"/>
          <w:sz w:val="22"/>
          <w:szCs w:val="22"/>
        </w:rPr>
        <w:t>URBMI and NCMS as mandatory health insurance, without</w:t>
      </w:r>
      <w:r>
        <w:rPr>
          <w:rFonts w:ascii="Georgia" w:hAnsi="Georgia" w:hint="eastAsia"/>
          <w:sz w:val="22"/>
          <w:szCs w:val="22"/>
        </w:rPr>
        <w:t xml:space="preserve"> classify</w:t>
      </w:r>
      <w:r>
        <w:rPr>
          <w:rFonts w:ascii="Georgia" w:hAnsi="Georgia"/>
          <w:sz w:val="22"/>
          <w:szCs w:val="22"/>
        </w:rPr>
        <w:t>ing it</w:t>
      </w:r>
      <w:r>
        <w:rPr>
          <w:rFonts w:ascii="Georgia" w:hAnsi="Georgia" w:hint="eastAsia"/>
          <w:sz w:val="22"/>
          <w:szCs w:val="22"/>
        </w:rPr>
        <w:t xml:space="preserve"> into </w:t>
      </w:r>
      <w:r>
        <w:rPr>
          <w:rFonts w:ascii="Georgia" w:hAnsi="Georgia"/>
          <w:sz w:val="22"/>
          <w:szCs w:val="22"/>
        </w:rPr>
        <w:t xml:space="preserve">detailed groups. Out-of-pocket payments </w:t>
      </w:r>
      <w:r>
        <w:rPr>
          <w:rFonts w:ascii="Georgia" w:hAnsi="Georgia" w:hint="eastAsia"/>
          <w:sz w:val="22"/>
          <w:szCs w:val="22"/>
        </w:rPr>
        <w:t xml:space="preserve">were made up of </w:t>
      </w:r>
      <w:r w:rsidRPr="00C074B2">
        <w:rPr>
          <w:rFonts w:ascii="Georgia" w:hAnsi="Georgia" w:hint="eastAsia"/>
          <w:color w:val="FF0000"/>
          <w:sz w:val="22"/>
          <w:szCs w:val="22"/>
        </w:rPr>
        <w:t>hospital</w:t>
      </w:r>
      <w:r>
        <w:rPr>
          <w:rFonts w:ascii="Georgia" w:hAnsi="Georgia"/>
          <w:sz w:val="22"/>
          <w:szCs w:val="22"/>
        </w:rPr>
        <w:t xml:space="preserve"> care, drug purchases, diagnostic tests, dental care, ambulance fees and other costs with excluding the insurance reimbursement. </w:t>
      </w:r>
      <w:r>
        <w:rPr>
          <w:rFonts w:ascii="Georgia" w:hAnsi="Georgia" w:hint="eastAsia"/>
          <w:sz w:val="22"/>
          <w:szCs w:val="22"/>
        </w:rPr>
        <w:t xml:space="preserve">The time frame for these four payments </w:t>
      </w:r>
      <w:r>
        <w:rPr>
          <w:rFonts w:ascii="Georgia" w:hAnsi="Georgia"/>
          <w:sz w:val="22"/>
          <w:szCs w:val="22"/>
        </w:rPr>
        <w:t xml:space="preserve">was </w:t>
      </w:r>
      <w:r>
        <w:rPr>
          <w:rFonts w:ascii="Georgia" w:hAnsi="Georgia" w:hint="eastAsia"/>
          <w:sz w:val="22"/>
          <w:szCs w:val="22"/>
        </w:rPr>
        <w:t xml:space="preserve">set into </w:t>
      </w:r>
      <w:r>
        <w:rPr>
          <w:rFonts w:ascii="Georgia" w:hAnsi="Georgia"/>
          <w:sz w:val="22"/>
          <w:szCs w:val="22"/>
        </w:rPr>
        <w:t xml:space="preserve">12 </w:t>
      </w:r>
      <w:proofErr w:type="gramStart"/>
      <w:r>
        <w:rPr>
          <w:rFonts w:ascii="Georgia" w:hAnsi="Georgia"/>
          <w:sz w:val="22"/>
          <w:szCs w:val="22"/>
        </w:rPr>
        <w:t>month</w:t>
      </w:r>
      <w:proofErr w:type="gramEnd"/>
      <w:r>
        <w:rPr>
          <w:rFonts w:ascii="Georgia" w:hAnsi="Georgia"/>
          <w:sz w:val="22"/>
          <w:szCs w:val="22"/>
        </w:rPr>
        <w:t xml:space="preserve">. </w:t>
      </w:r>
    </w:p>
    <w:p w14:paraId="22EEB648" w14:textId="77777777" w:rsidR="00B229AD" w:rsidRDefault="00B229AD" w:rsidP="00B229AD">
      <w:pPr>
        <w:spacing w:line="480" w:lineRule="auto"/>
        <w:rPr>
          <w:rFonts w:ascii="Times" w:hAnsi="Times"/>
        </w:rPr>
      </w:pPr>
    </w:p>
    <w:p w14:paraId="3AD39CD5" w14:textId="77777777" w:rsidR="00B229AD" w:rsidRDefault="00B229AD" w:rsidP="00B229AD">
      <w:pPr>
        <w:spacing w:line="480" w:lineRule="auto"/>
        <w:rPr>
          <w:rFonts w:ascii="Georgia" w:hAnsi="Georgia"/>
          <w:sz w:val="22"/>
          <w:szCs w:val="22"/>
        </w:rPr>
      </w:pPr>
      <w:r>
        <w:rPr>
          <w:rFonts w:ascii="Georgia" w:hAnsi="Georgia"/>
          <w:sz w:val="22"/>
          <w:szCs w:val="22"/>
        </w:rPr>
        <w:t xml:space="preserve">The WHO SAGE study was approved by the Ethics Review Committee, World Health Organization, Geneva, </w:t>
      </w:r>
      <w:proofErr w:type="gramStart"/>
      <w:r>
        <w:rPr>
          <w:rFonts w:ascii="Georgia" w:hAnsi="Georgia"/>
          <w:sz w:val="22"/>
          <w:szCs w:val="22"/>
        </w:rPr>
        <w:t>Switzerland;</w:t>
      </w:r>
      <w:proofErr w:type="gramEnd"/>
      <w:r>
        <w:rPr>
          <w:rFonts w:ascii="Georgia" w:hAnsi="Georgia"/>
          <w:sz w:val="22"/>
          <w:szCs w:val="22"/>
        </w:rPr>
        <w:t xml:space="preserve"> the Ethics Committee, Shanghai Municipal center for Disease control and Prevention, Shanghai, China. All procedures were approval covered in this study. </w:t>
      </w:r>
      <w:r>
        <w:rPr>
          <w:rFonts w:ascii="Georgia" w:hAnsi="Georgia" w:hint="eastAsia"/>
          <w:sz w:val="22"/>
          <w:szCs w:val="22"/>
        </w:rPr>
        <w:t>A</w:t>
      </w:r>
      <w:r>
        <w:rPr>
          <w:rFonts w:ascii="Georgia" w:hAnsi="Georgia"/>
          <w:sz w:val="22"/>
          <w:szCs w:val="22"/>
        </w:rPr>
        <w:t xml:space="preserve">ll participants got informed consent </w:t>
      </w:r>
      <w:r>
        <w:rPr>
          <w:rFonts w:ascii="Georgia" w:hAnsi="Georgia" w:hint="eastAsia"/>
          <w:sz w:val="22"/>
          <w:szCs w:val="22"/>
        </w:rPr>
        <w:t xml:space="preserve">forms </w:t>
      </w:r>
      <w:r>
        <w:rPr>
          <w:rFonts w:ascii="Georgia" w:hAnsi="Georgia"/>
          <w:sz w:val="22"/>
          <w:szCs w:val="22"/>
        </w:rPr>
        <w:t>before started.</w:t>
      </w:r>
    </w:p>
    <w:p w14:paraId="63346574" w14:textId="77777777" w:rsidR="00B229AD" w:rsidRPr="00903EA0" w:rsidRDefault="00B229AD" w:rsidP="00B229AD">
      <w:pPr>
        <w:spacing w:line="480" w:lineRule="auto"/>
        <w:rPr>
          <w:rFonts w:ascii="Georgia" w:hAnsi="Georgia"/>
          <w:sz w:val="22"/>
          <w:szCs w:val="22"/>
        </w:rPr>
      </w:pPr>
    </w:p>
    <w:p w14:paraId="6C24F751" w14:textId="77777777" w:rsidR="00B229AD" w:rsidRDefault="00B229AD" w:rsidP="00B229AD">
      <w:pPr>
        <w:spacing w:line="480" w:lineRule="auto"/>
        <w:rPr>
          <w:rFonts w:ascii="Georgia" w:hAnsi="Georgia"/>
          <w:sz w:val="26"/>
          <w:szCs w:val="26"/>
        </w:rPr>
      </w:pPr>
      <w:r>
        <w:rPr>
          <w:rFonts w:ascii="Georgia" w:hAnsi="Georgia"/>
          <w:b/>
          <w:sz w:val="26"/>
          <w:szCs w:val="26"/>
        </w:rPr>
        <w:t>Data analysis</w:t>
      </w:r>
    </w:p>
    <w:p w14:paraId="6130D902" w14:textId="77777777" w:rsidR="00B229AD" w:rsidRDefault="00B229AD" w:rsidP="00B229AD">
      <w:pPr>
        <w:spacing w:line="480" w:lineRule="auto"/>
        <w:rPr>
          <w:rFonts w:ascii="Georgia" w:hAnsi="Georgia"/>
          <w:sz w:val="22"/>
          <w:szCs w:val="22"/>
        </w:rPr>
      </w:pPr>
    </w:p>
    <w:p w14:paraId="2A0201DC" w14:textId="77777777" w:rsidR="00B229AD" w:rsidRDefault="00B229AD" w:rsidP="00B229AD">
      <w:pPr>
        <w:spacing w:line="480" w:lineRule="auto"/>
        <w:rPr>
          <w:rFonts w:ascii="Georgia" w:hAnsi="Georgia"/>
          <w:sz w:val="22"/>
          <w:szCs w:val="22"/>
        </w:rPr>
      </w:pPr>
      <w:r>
        <w:rPr>
          <w:rFonts w:ascii="Georgia" w:hAnsi="Georgia"/>
          <w:sz w:val="22"/>
          <w:szCs w:val="22"/>
        </w:rPr>
        <w:t>Wealth status was derived from household assets and Principal Component Analysis (PCA) was used to produce the wealth quintile</w:t>
      </w:r>
      <w:r>
        <w:rPr>
          <w:rFonts w:ascii="Georgia" w:hAnsi="Georgia"/>
          <w:sz w:val="22"/>
          <w:szCs w:val="22"/>
        </w:rPr>
        <w:fldChar w:fldCharType="begin"/>
      </w:r>
      <w:r>
        <w:rPr>
          <w:rFonts w:ascii="Georgia" w:hAnsi="Georgia"/>
          <w:sz w:val="22"/>
          <w:szCs w:val="22"/>
        </w:rPr>
        <w:instrText xml:space="preserve"> ADDIN ZOTERO_ITEM CSL_CITATION {"citationID":"19c14if28q","properties":{"formattedCitation":"(33)","plainCitation":"(33)"},"citationItems":[{"id":470,"uris":["http://zotero.org/users/3016898/items/XSS9I9PX"],"uri":["http://zotero.org/users/3016898/items/XSS9I9PX"],"itemData":{"id":470,"type":"article-journal","title":"Measuring socio-economic position for epidemiological studies in low- and middle-income countries: a methods of measurement in epidemiology paper","container-title":"International Journal of Epidemiology","page":"871-886","volume":"41","issue":"3","source":"PubMed","abstract":"Much has been written about the measurement of socio-economic position (SEP) in high-income countries (HIC). Less has been written for an epidemiology, health systems and public health audience about the measurement of SEP in low- and middle-income countries (LMIC). The social stratification processes in many LMIC-and therefore the appropriate measurement tools-differ considerably from those in HIC. Many measures of SEP have been utilized in epidemiological studies; the aspects of SEP captured by these measures and the pathways through which they may affect health are likely to be slightly different but overlapping. No single measure of SEP will be ideal for all studies and contexts; the strengths and limitations of a given indicator are likely to vary according to the specific research question. Understanding the general properties of different indicators, however, is essential for all those involved in the design or interpretation of epidemiological studies. In this article, we describe the measures of SEP used in LMIC. We concentrate on measures of individual or household-level SEP rather than area-based or ecological measures such as gross domestic product. We describe each indicator in terms of its theoretical basis, interpretation, measurement, strengths and limitations. We also provide brief comparisons between LMIC and HIC for each measure.","DOI":"10.1093/ije/dys037","ISSN":"1464-3685","note":"PMID: 22438428\nPMCID: PMC3396323","shortTitle":"Measuring socio-economic position for epidemiological studies in low- and middle-income countries","journalAbbreviation":"Int J Epidemiol","language":"eng","author":[{"family":"Howe","given":"Laura D."},{"family":"Galobardes","given":"Bruna"},{"family":"Matijasevich","given":"Alicia"},{"family":"Gordon","given":"David"},{"family":"Johnston","given":"Deborah"},{"family":"Onwujekwe","given":"Obinna"},{"family":"Patel","given":"Rita"},{"family":"Webb","given":"Elizabeth A."},{"family":"Lawlor","given":"Debbie A."},{"family":"Hargreaves","given":"James R."}],"issued":{"date-parts":[["2012",6]]}}}],"schema":"https://github.com/citation-style-language/schema/raw/master/csl-citation.json"} </w:instrText>
      </w:r>
      <w:r>
        <w:rPr>
          <w:rFonts w:ascii="Georgia" w:hAnsi="Georgia"/>
          <w:sz w:val="22"/>
          <w:szCs w:val="22"/>
        </w:rPr>
        <w:fldChar w:fldCharType="separate"/>
      </w:r>
      <w:r>
        <w:rPr>
          <w:rFonts w:ascii="Georgia" w:hAnsi="Georgia"/>
          <w:sz w:val="22"/>
          <w:szCs w:val="22"/>
        </w:rPr>
        <w:t>(24)</w:t>
      </w:r>
      <w:r>
        <w:rPr>
          <w:rFonts w:ascii="Georgia" w:hAnsi="Georgia"/>
          <w:sz w:val="22"/>
          <w:szCs w:val="22"/>
        </w:rPr>
        <w:fldChar w:fldCharType="end"/>
      </w:r>
      <w:r>
        <w:rPr>
          <w:rFonts w:ascii="Georgia" w:hAnsi="Georgia"/>
          <w:sz w:val="22"/>
          <w:szCs w:val="22"/>
        </w:rPr>
        <w:t xml:space="preserve">. Factor test was a measurement to look at the adequacy of sampling, with using Bartlett’s Test and </w:t>
      </w:r>
      <w:proofErr w:type="spellStart"/>
      <w:r>
        <w:rPr>
          <w:rFonts w:ascii="Georgia" w:hAnsi="Georgia"/>
          <w:sz w:val="22"/>
          <w:szCs w:val="22"/>
        </w:rPr>
        <w:t>KaiserMeyer</w:t>
      </w:r>
      <w:proofErr w:type="spellEnd"/>
      <w:r>
        <w:rPr>
          <w:rFonts w:ascii="Georgia" w:hAnsi="Georgia"/>
          <w:sz w:val="22"/>
          <w:szCs w:val="22"/>
        </w:rPr>
        <w:t>-Olkin(KMO)</w:t>
      </w:r>
      <w:r>
        <w:rPr>
          <w:rFonts w:ascii="Georgia" w:hAnsi="Georgia"/>
          <w:sz w:val="22"/>
          <w:szCs w:val="22"/>
        </w:rPr>
        <w:fldChar w:fldCharType="begin"/>
      </w:r>
      <w:r>
        <w:rPr>
          <w:rFonts w:ascii="Georgia" w:hAnsi="Georgia"/>
          <w:sz w:val="22"/>
          <w:szCs w:val="22"/>
        </w:rPr>
        <w:instrText xml:space="preserve"> ADDIN ZOTERO_ITEM CSL_CITATION {"citationID":"5elonadpn","properties":{"formattedCitation":"(35)","plainCitation":"(35)"},"citationItems":[{"id":477,"uris":["http://zotero.org/users/3016898/items/GZW5P27V"],"uri":["http://zotero.org/users/3016898/items/GZW5P27V"],"itemData":{"id":477,"type":"article-journal","title":"Constructing socio-economic status indices: how to use principal components analysis","container-title":"Health Policy and Planning","page":"459-468","volume":"21","issue":"6","source":"PubMed","abstract":"Theoretically, measures of household wealth can be reflected by income, consumption or expenditure information. However, the collection of accurate income and consumption data requires extensive resources for household surveys. Given the increasingly routine application of principal components analysis (PCA) using asset data in creating socio-economic status (SES) indices, we review how PCA-based indices are constructed, how they can be used, and their validity and limitations. Specifically, issues related to choice of variables, data preparation and problems such as data clustering are addressed. Interpretation of results and methods of classifying households into SES groups are also discussed. PCA has been validated as a method to describe SES differentiation within a population. Issues related to the underlying data will affect PCA and this should be considered when generating and interpreting results.","DOI":"10.1093/heapol/czl029","ISSN":"0268-1080","note":"PMID: 17030551","shortTitle":"Constructing socio-economic status indices","journalAbbreviation":"Health Policy Plan","language":"eng","author":[{"family":"Vyas","given":"Seema"},{"family":"Kumaranayake","given":"Lilani"}],"issued":{"date-parts":[["2006",11]]}}}],"schema":"https://github.com/citation-style-language/schema/raw/master/csl-citation.json"} </w:instrText>
      </w:r>
      <w:r>
        <w:rPr>
          <w:rFonts w:ascii="Georgia" w:hAnsi="Georgia"/>
          <w:sz w:val="22"/>
          <w:szCs w:val="22"/>
        </w:rPr>
        <w:fldChar w:fldCharType="separate"/>
      </w:r>
      <w:r>
        <w:rPr>
          <w:rFonts w:ascii="Georgia" w:hAnsi="Georgia"/>
          <w:sz w:val="22"/>
          <w:szCs w:val="22"/>
        </w:rPr>
        <w:t>(24)</w:t>
      </w:r>
      <w:r>
        <w:rPr>
          <w:rFonts w:ascii="Georgia" w:hAnsi="Georgia"/>
          <w:sz w:val="22"/>
          <w:szCs w:val="22"/>
        </w:rPr>
        <w:fldChar w:fldCharType="end"/>
      </w:r>
      <w:r>
        <w:rPr>
          <w:rFonts w:ascii="Georgia" w:hAnsi="Georgia"/>
          <w:sz w:val="22"/>
          <w:szCs w:val="22"/>
        </w:rPr>
        <w:t xml:space="preserve">(25). </w:t>
      </w:r>
      <w:r>
        <w:rPr>
          <w:rFonts w:ascii="Georgia" w:hAnsi="Georgia" w:hint="eastAsia"/>
          <w:sz w:val="22"/>
          <w:szCs w:val="22"/>
        </w:rPr>
        <w:t xml:space="preserve">At last, </w:t>
      </w:r>
      <w:r>
        <w:rPr>
          <w:rFonts w:ascii="Georgia" w:hAnsi="Georgia"/>
          <w:sz w:val="22"/>
          <w:szCs w:val="22"/>
        </w:rPr>
        <w:lastRenderedPageBreak/>
        <w:t>component score</w:t>
      </w:r>
      <w:r>
        <w:rPr>
          <w:rFonts w:ascii="Georgia" w:hAnsi="Georgia" w:hint="eastAsia"/>
          <w:sz w:val="22"/>
          <w:szCs w:val="22"/>
        </w:rPr>
        <w:t>s</w:t>
      </w:r>
      <w:r>
        <w:rPr>
          <w:rFonts w:ascii="Georgia" w:hAnsi="Georgia"/>
          <w:sz w:val="22"/>
          <w:szCs w:val="22"/>
        </w:rPr>
        <w:t xml:space="preserve"> </w:t>
      </w:r>
      <w:r>
        <w:rPr>
          <w:rFonts w:ascii="Georgia" w:hAnsi="Georgia" w:hint="eastAsia"/>
          <w:sz w:val="22"/>
          <w:szCs w:val="22"/>
        </w:rPr>
        <w:t xml:space="preserve">were sort </w:t>
      </w:r>
      <w:r>
        <w:rPr>
          <w:rFonts w:ascii="Georgia" w:hAnsi="Georgia"/>
          <w:sz w:val="22"/>
          <w:szCs w:val="22"/>
        </w:rPr>
        <w:t>into five categories to get the wealth quintile</w:t>
      </w:r>
      <w:r>
        <w:rPr>
          <w:rFonts w:ascii="Georgia" w:hAnsi="Georgia" w:hint="eastAsia"/>
          <w:sz w:val="22"/>
          <w:szCs w:val="22"/>
        </w:rPr>
        <w:t xml:space="preserve"> and ranked into poorest to riches</w:t>
      </w:r>
      <w:r>
        <w:rPr>
          <w:rFonts w:ascii="Georgia" w:hAnsi="Georgia"/>
          <w:sz w:val="22"/>
          <w:szCs w:val="22"/>
        </w:rPr>
        <w:t xml:space="preserve"> with the value of KMO = 0.871, p-value=0.000, and the value </w:t>
      </w:r>
      <w:r>
        <w:rPr>
          <w:rFonts w:ascii="Georgia" w:hAnsi="Georgia" w:hint="eastAsia"/>
          <w:sz w:val="22"/>
          <w:szCs w:val="22"/>
        </w:rPr>
        <w:t xml:space="preserve">of </w:t>
      </w:r>
      <w:r>
        <w:rPr>
          <w:rFonts w:ascii="Georgia" w:hAnsi="Georgia"/>
          <w:sz w:val="22"/>
          <w:szCs w:val="22"/>
        </w:rPr>
        <w:t>correlation matrix = 0.062.</w:t>
      </w:r>
      <w:r>
        <w:rPr>
          <w:rFonts w:ascii="Georgia" w:hAnsi="Georgia" w:hint="eastAsia"/>
          <w:sz w:val="22"/>
          <w:szCs w:val="22"/>
        </w:rPr>
        <w:t xml:space="preserve"> </w:t>
      </w:r>
      <w:r>
        <w:rPr>
          <w:rFonts w:ascii="Georgia" w:hAnsi="Georgia"/>
          <w:sz w:val="22"/>
          <w:szCs w:val="22"/>
        </w:rPr>
        <w:t xml:space="preserve">Chi-square test was applied for </w:t>
      </w:r>
      <w:r>
        <w:rPr>
          <w:rFonts w:ascii="Georgia" w:hAnsi="Georgia" w:hint="eastAsia"/>
          <w:sz w:val="22"/>
          <w:szCs w:val="22"/>
        </w:rPr>
        <w:t>association analysis between socioeconomic risk factors and different health status</w:t>
      </w:r>
      <w:r>
        <w:rPr>
          <w:rFonts w:ascii="Georgia" w:hAnsi="Georgia"/>
          <w:sz w:val="22"/>
          <w:szCs w:val="22"/>
        </w:rPr>
        <w:t xml:space="preserve">. </w:t>
      </w:r>
      <w:r>
        <w:rPr>
          <w:rFonts w:ascii="Georgia" w:hAnsi="Georgia" w:hint="eastAsia"/>
          <w:sz w:val="22"/>
          <w:szCs w:val="22"/>
        </w:rPr>
        <w:t>As the dependent variable was ordered while independent variables were partially ordered,  partial proportional odds model</w:t>
      </w:r>
      <w:r>
        <w:rPr>
          <w:rFonts w:ascii="Georgia" w:hAnsi="Georgia"/>
          <w:sz w:val="22"/>
          <w:szCs w:val="22"/>
        </w:rPr>
        <w:t xml:space="preserve"> was </w:t>
      </w:r>
      <w:r>
        <w:rPr>
          <w:rFonts w:ascii="Georgia" w:hAnsi="Georgia" w:hint="eastAsia"/>
          <w:sz w:val="22"/>
          <w:szCs w:val="22"/>
        </w:rPr>
        <w:t>then employed</w:t>
      </w:r>
      <w:r>
        <w:rPr>
          <w:rFonts w:ascii="Georgia" w:hAnsi="Georgia"/>
          <w:sz w:val="22"/>
          <w:szCs w:val="22"/>
        </w:rPr>
        <w:t xml:space="preserve"> for comparing the contributions of each factors to different chronic conditions</w:t>
      </w:r>
      <w:r w:rsidRPr="008E7CB6">
        <w:rPr>
          <w:rFonts w:ascii="Georgia" w:hAnsi="Georgia"/>
          <w:color w:val="000000" w:themeColor="text1"/>
          <w:sz w:val="22"/>
          <w:szCs w:val="22"/>
        </w:rPr>
        <w:fldChar w:fldCharType="begin"/>
      </w:r>
      <w:r w:rsidRPr="008E7CB6">
        <w:rPr>
          <w:rFonts w:ascii="Georgia" w:hAnsi="Georgia"/>
          <w:color w:val="000000" w:themeColor="text1"/>
          <w:sz w:val="22"/>
          <w:szCs w:val="22"/>
        </w:rPr>
        <w:instrText xml:space="preserve"> ADDIN ZOTERO_ITEM CSL_CITATION {"citationID":"80sjdbkpb","properties":{"formattedCitation":"(36)","plainCitation":"(36)"},"citationItems":[{"id":536,"uris":["http://zotero.org/users/3016898/items/I5CQ7UG7"],"uri":["http://zotero.org/users/3016898/items/I5CQ7UG7"],"itemData":{"id":536,"type":"article-journal","title":"Multiple significance tests: the Bonferroni method","container-title":"BMJ","page":"170","volume":"310","issue":"6973","source":"www.bmj.com","abstract":"Many published papers include large numbers of significance tests. These may be difficult to interpret because if we go on testing long enough we will inevitably find something which is “significant.” We must beware of attaching too much importance to a lone significant result among a mass of non-significant ones. It may be the one in 20 which we expect by chance alone.\n\nLee et al simulated a clinical trial of the treatment of coronary artery disease by allocating 1073 patient records from past cases into two “treatment” groups at random.1 They then analysed the outcome as if it were a genuine trial of two treatments. The analysis was quite detailed and thorough. As we would expect, it failed to show any significant difference in survival between those patients allocated to the two treatments. Patients were then subdivided by two variables which affect prognosis, the number of diseased coronary vessels and whether the left ventricular contraction pattern was normal or abnormal. A significant difference in survival between the two “treatment” groups was found in those patients with three diseased vessels (the maximum) and abnormal ventricular contraction. As this would be the subset of patients with the worst prognosis, the finding would be easy to account for by saying that the superior “treatment” …","DOI":"10.1136/bmj.310.6973.170","ISSN":"0959-8138, 1468-5833","note":"PMID: 7833759","shortTitle":"Multiple significance tests","journalAbbreviation":"BMJ","language":"en","author":[{"family":"Bland","given":"J. Martin"},{"family":"Altman","given":"Douglas G."}],"issued":{"date-parts":[["1995",1,21]]}}}],"schema":"https://github.com/citation-style-language/schema/raw/master/csl-citation.json"} </w:instrText>
      </w:r>
      <w:r w:rsidRPr="008E7CB6">
        <w:rPr>
          <w:rFonts w:ascii="Georgia" w:hAnsi="Georgia"/>
          <w:color w:val="000000" w:themeColor="text1"/>
          <w:sz w:val="22"/>
          <w:szCs w:val="22"/>
        </w:rPr>
        <w:fldChar w:fldCharType="separate"/>
      </w:r>
      <w:r>
        <w:rPr>
          <w:rFonts w:ascii="Georgia" w:hAnsi="Georgia"/>
          <w:color w:val="000000" w:themeColor="text1"/>
          <w:sz w:val="22"/>
          <w:szCs w:val="22"/>
        </w:rPr>
        <w:t>(26</w:t>
      </w:r>
      <w:r w:rsidRPr="008E7CB6">
        <w:rPr>
          <w:rFonts w:ascii="Georgia" w:hAnsi="Georgia"/>
          <w:color w:val="000000" w:themeColor="text1"/>
          <w:sz w:val="22"/>
          <w:szCs w:val="22"/>
        </w:rPr>
        <w:t>)</w:t>
      </w:r>
      <w:r w:rsidRPr="008E7CB6">
        <w:rPr>
          <w:rFonts w:ascii="Georgia" w:hAnsi="Georgia"/>
          <w:color w:val="000000" w:themeColor="text1"/>
          <w:sz w:val="22"/>
          <w:szCs w:val="22"/>
        </w:rPr>
        <w:fldChar w:fldCharType="end"/>
      </w:r>
      <w:r w:rsidRPr="008E7CB6">
        <w:rPr>
          <w:rFonts w:ascii="Georgia" w:hAnsi="Georgia"/>
          <w:color w:val="000000" w:themeColor="text1"/>
          <w:sz w:val="22"/>
          <w:szCs w:val="22"/>
        </w:rPr>
        <w:t>.</w:t>
      </w:r>
    </w:p>
    <w:p w14:paraId="2A0E307C" w14:textId="77777777" w:rsidR="00B229AD" w:rsidRDefault="00B229AD" w:rsidP="00B229AD">
      <w:pPr>
        <w:spacing w:line="480" w:lineRule="auto"/>
        <w:rPr>
          <w:rFonts w:ascii="Georgia" w:hAnsi="Georgia"/>
          <w:sz w:val="22"/>
          <w:szCs w:val="22"/>
        </w:rPr>
      </w:pPr>
    </w:p>
    <w:p w14:paraId="7D66DD89" w14:textId="77777777" w:rsidR="00B229AD" w:rsidRDefault="00B229AD" w:rsidP="00B229AD">
      <w:pPr>
        <w:spacing w:line="480" w:lineRule="auto"/>
        <w:rPr>
          <w:rFonts w:ascii="Georgia" w:hAnsi="Georgia"/>
          <w:sz w:val="22"/>
          <w:szCs w:val="22"/>
        </w:rPr>
      </w:pPr>
      <w:r>
        <w:rPr>
          <w:rFonts w:ascii="Georgia" w:hAnsi="Georgia" w:hint="eastAsia"/>
          <w:sz w:val="22"/>
          <w:szCs w:val="22"/>
        </w:rPr>
        <w:t>P</w:t>
      </w:r>
      <w:r>
        <w:rPr>
          <w:rFonts w:ascii="Georgia" w:hAnsi="Georgia"/>
          <w:sz w:val="22"/>
          <w:szCs w:val="22"/>
        </w:rPr>
        <w:t>rogressivity analysis was applied</w:t>
      </w:r>
      <w:r>
        <w:rPr>
          <w:rFonts w:ascii="Georgia" w:hAnsi="Georgia" w:hint="eastAsia"/>
          <w:sz w:val="22"/>
          <w:szCs w:val="22"/>
        </w:rPr>
        <w:t xml:space="preserve"> for</w:t>
      </w:r>
      <w:r>
        <w:rPr>
          <w:rFonts w:ascii="Georgia" w:hAnsi="Georgia"/>
          <w:sz w:val="22"/>
          <w:szCs w:val="22"/>
        </w:rPr>
        <w:t xml:space="preserve"> examining</w:t>
      </w:r>
      <w:r>
        <w:rPr>
          <w:rFonts w:ascii="Georgia" w:hAnsi="Georgia" w:hint="eastAsia"/>
          <w:sz w:val="22"/>
          <w:szCs w:val="22"/>
        </w:rPr>
        <w:t xml:space="preserve"> the</w:t>
      </w:r>
      <w:r>
        <w:rPr>
          <w:rFonts w:ascii="Georgia" w:hAnsi="Georgia"/>
          <w:sz w:val="22"/>
          <w:szCs w:val="22"/>
        </w:rPr>
        <w:t xml:space="preserve"> </w:t>
      </w:r>
      <w:r>
        <w:rPr>
          <w:rFonts w:ascii="Georgia" w:hAnsi="Georgia" w:hint="eastAsia"/>
          <w:sz w:val="22"/>
          <w:szCs w:val="22"/>
        </w:rPr>
        <w:t xml:space="preserve">vertical </w:t>
      </w:r>
      <w:r>
        <w:rPr>
          <w:rFonts w:ascii="Georgia" w:hAnsi="Georgia"/>
          <w:sz w:val="22"/>
          <w:szCs w:val="22"/>
        </w:rPr>
        <w:t xml:space="preserve">equity </w:t>
      </w:r>
      <w:r>
        <w:rPr>
          <w:rFonts w:ascii="Georgia" w:hAnsi="Georgia" w:hint="eastAsia"/>
          <w:sz w:val="22"/>
          <w:szCs w:val="22"/>
        </w:rPr>
        <w:t>on</w:t>
      </w:r>
      <w:r>
        <w:rPr>
          <w:rFonts w:ascii="Georgia" w:hAnsi="Georgia"/>
          <w:sz w:val="22"/>
          <w:szCs w:val="22"/>
        </w:rPr>
        <w:t xml:space="preserve"> healthcare payments</w:t>
      </w:r>
      <w:r>
        <w:rPr>
          <w:rFonts w:ascii="Georgia" w:hAnsi="Georgia"/>
          <w:sz w:val="22"/>
          <w:szCs w:val="22"/>
        </w:rPr>
        <w:fldChar w:fldCharType="begin"/>
      </w:r>
      <w:r>
        <w:rPr>
          <w:rFonts w:ascii="Georgia" w:hAnsi="Georgia"/>
          <w:sz w:val="22"/>
          <w:szCs w:val="22"/>
        </w:rPr>
        <w:instrText xml:space="preserve"> ADDIN ZOTERO_ITEM CSL_CITATION {"citationID":"vtfca7k3q","properties":{"formattedCitation":"(38)","plainCitation":"(38)"},"citationItems":[{"id":342,"uris":["http://zotero.org/users/3016898/items/AHGEXSE4"],"uri":["http://zotero.org/users/3016898/items/AHGEXSE4"],"itemData":{"id":342,"type":"book","title":"Analyzing Health Equity Using Household Survey Data","collection-title":"WBI Learning Reources Series","number-of-pages":"234","edition":"The world bank","URL":"http://siteresources.worldbank.org/INTPAH/Resources/Publications/459843-1195594469249/HealthEquityCh7.pdf","ISBN":"978-0-8213-6933-3","shortTitle":"A guide to Techniques and Their Implementation","language":"English","author":[{"family":"Owen","given":"O'Donnell"},{"family":"Eddy Van","given":"Doorslaer"},{"family":"Adam","given":"Wagstaff"},{"family":"Magnus","given":"Lindelow"}],"accessed":{"date-parts":[["2017",4,21]]}}}],"schema":"https://github.com/citation-style-language/schema/raw/master/csl-citation.json"} </w:instrText>
      </w:r>
      <w:r>
        <w:rPr>
          <w:rFonts w:ascii="Georgia" w:hAnsi="Georgia"/>
          <w:sz w:val="22"/>
          <w:szCs w:val="22"/>
        </w:rPr>
        <w:fldChar w:fldCharType="separate"/>
      </w:r>
      <w:r>
        <w:rPr>
          <w:rFonts w:ascii="Georgia" w:hAnsi="Georgia"/>
          <w:sz w:val="22"/>
          <w:szCs w:val="22"/>
        </w:rPr>
        <w:t>(27)</w:t>
      </w:r>
      <w:r>
        <w:rPr>
          <w:rFonts w:ascii="Georgia" w:hAnsi="Georgia"/>
          <w:sz w:val="22"/>
          <w:szCs w:val="22"/>
        </w:rPr>
        <w:fldChar w:fldCharType="end"/>
      </w:r>
      <w:r>
        <w:rPr>
          <w:rFonts w:ascii="Georgia" w:hAnsi="Georgia"/>
          <w:sz w:val="22"/>
          <w:szCs w:val="22"/>
        </w:rPr>
        <w:t xml:space="preserve">. Measuring progressivity was to compare shares of general tax, mandatory health insurance, voluntary health insurance </w:t>
      </w:r>
      <w:r>
        <w:rPr>
          <w:rFonts w:ascii="Georgia" w:hAnsi="Georgia" w:hint="eastAsia"/>
          <w:sz w:val="22"/>
          <w:szCs w:val="22"/>
        </w:rPr>
        <w:t>as well as</w:t>
      </w:r>
      <w:r>
        <w:rPr>
          <w:rFonts w:ascii="Georgia" w:hAnsi="Georgia"/>
          <w:sz w:val="22"/>
          <w:szCs w:val="22"/>
        </w:rPr>
        <w:t xml:space="preserve"> out of pocket payment(OOP)</w:t>
      </w:r>
      <w:r>
        <w:rPr>
          <w:rFonts w:ascii="Georgia" w:hAnsi="Georgia" w:hint="eastAsia"/>
          <w:sz w:val="22"/>
          <w:szCs w:val="22"/>
        </w:rPr>
        <w:t xml:space="preserve"> </w:t>
      </w:r>
      <w:r>
        <w:rPr>
          <w:rFonts w:ascii="Georgia" w:hAnsi="Georgia"/>
          <w:sz w:val="22"/>
          <w:szCs w:val="22"/>
        </w:rPr>
        <w:t>contributed by cumulative wealth of households ranked by the share of ability to pay(ATP)</w:t>
      </w:r>
      <w:r>
        <w:rPr>
          <w:rFonts w:ascii="Georgia" w:hAnsi="Georgia"/>
          <w:sz w:val="22"/>
          <w:szCs w:val="22"/>
        </w:rPr>
        <w:fldChar w:fldCharType="begin"/>
      </w:r>
      <w:r>
        <w:rPr>
          <w:rFonts w:ascii="Georgia" w:hAnsi="Georgia"/>
          <w:sz w:val="22"/>
          <w:szCs w:val="22"/>
        </w:rPr>
        <w:instrText xml:space="preserve"> ADDIN ZOTERO_ITEM CSL_CITATION {"citationID":"8hdbfimbn","properties":{"formattedCitation":"(38)","plainCitation":"(38)"},"citationItems":[{"id":342,"uris":["http://zotero.org/users/3016898/items/AHGEXSE4"],"uri":["http://zotero.org/users/3016898/items/AHGEXSE4"],"itemData":{"id":342,"type":"book","title":"Analyzing Health Equity Using Household Survey Data","collection-title":"WBI Learning Reources Series","number-of-pages":"234","edition":"The world bank","URL":"http://siteresources.worldbank.org/INTPAH/Resources/Publications/459843-1195594469249/HealthEquityCh7.pdf","ISBN":"978-0-8213-6933-3","shortTitle":"A guide to Techniques and Their Implementation","language":"English","author":[{"family":"Owen","given":"O'Donnell"},{"family":"Eddy Van","given":"Doorslaer"},{"family":"Adam","given":"Wagstaff"},{"family":"Magnus","given":"Lindelow"}],"accessed":{"date-parts":[["2017",4,21]]}}}],"schema":"https://github.com/citation-style-language/schema/raw/master/csl-citation.json"} </w:instrText>
      </w:r>
      <w:r>
        <w:rPr>
          <w:rFonts w:ascii="Georgia" w:hAnsi="Georgia"/>
          <w:sz w:val="22"/>
          <w:szCs w:val="22"/>
        </w:rPr>
        <w:fldChar w:fldCharType="separate"/>
      </w:r>
      <w:r>
        <w:rPr>
          <w:rFonts w:ascii="Georgia" w:hAnsi="Georgia"/>
          <w:sz w:val="22"/>
          <w:szCs w:val="22"/>
        </w:rPr>
        <w:t>(27)</w:t>
      </w:r>
      <w:r>
        <w:rPr>
          <w:rFonts w:ascii="Georgia" w:hAnsi="Georgia"/>
          <w:sz w:val="22"/>
          <w:szCs w:val="22"/>
        </w:rPr>
        <w:fldChar w:fldCharType="end"/>
      </w:r>
      <w:r>
        <w:rPr>
          <w:rFonts w:ascii="Georgia" w:hAnsi="Georgia"/>
          <w:sz w:val="22"/>
          <w:szCs w:val="22"/>
        </w:rPr>
        <w:t xml:space="preserve">. The fairness of healthcare expenditure was analyzed by using </w:t>
      </w:r>
      <w:proofErr w:type="spellStart"/>
      <w:r>
        <w:rPr>
          <w:rFonts w:ascii="Georgia" w:hAnsi="Georgia"/>
          <w:sz w:val="22"/>
          <w:szCs w:val="22"/>
        </w:rPr>
        <w:t>Kakwani</w:t>
      </w:r>
      <w:proofErr w:type="spellEnd"/>
      <w:r>
        <w:rPr>
          <w:rFonts w:ascii="Georgia" w:hAnsi="Georgia"/>
          <w:sz w:val="22"/>
          <w:szCs w:val="22"/>
        </w:rPr>
        <w:t xml:space="preserve"> index, which was one of the most wide</w:t>
      </w:r>
      <w:r>
        <w:rPr>
          <w:rFonts w:ascii="Georgia" w:hAnsi="Georgia" w:hint="eastAsia"/>
          <w:sz w:val="22"/>
          <w:szCs w:val="22"/>
        </w:rPr>
        <w:t>ly</w:t>
      </w:r>
      <w:r>
        <w:rPr>
          <w:rFonts w:ascii="Georgia" w:hAnsi="Georgia"/>
          <w:sz w:val="22"/>
          <w:szCs w:val="22"/>
        </w:rPr>
        <w:t xml:space="preserve"> used in measuring inequity in healthcare payment field</w:t>
      </w:r>
      <w:r>
        <w:rPr>
          <w:rFonts w:ascii="Georgia" w:hAnsi="Georgia"/>
          <w:sz w:val="22"/>
          <w:szCs w:val="22"/>
        </w:rPr>
        <w:fldChar w:fldCharType="begin"/>
      </w:r>
      <w:r>
        <w:rPr>
          <w:rFonts w:ascii="Georgia" w:hAnsi="Georgia"/>
          <w:sz w:val="22"/>
          <w:szCs w:val="22"/>
        </w:rPr>
        <w:instrText xml:space="preserve"> ADDIN ZOTERO_ITEM CSL_CITATION {"citationID":"1l202lvu7h","properties":{"formattedCitation":"(17)","plainCitation":"(17)"},"citationItems":[{"id":388,"uris":["http://zotero.org/users/3016898/items/RGWZ63N5"],"uri":["http://zotero.org/users/3016898/items/RGWZ63N5"],"itemData":{"id":388,"type":"webpage","title":"Defining and Measuring Fairness in Financial Contribution to the Health System - paper24.pdf","abstract":"Our definition, measure and index of fairness in financial contribution are designed\nand developed to be applicable across and within countries with varying types of\nhealth systems and at different stages of development and of the health transition. The\nindex can be used as a tool to analyse changes over time within countries such as the\nresults of health reform, economic crises, or policies such as decentralisation. Some\nempirical applications considering differences across countries and relating these to\nthe organisation of health systems are discussed in companion publications.(World\nHealth Organization 2000;Xu et al. 2000)\nThe paper is divided into eight sections. The second section describes the overall\nWHO Framework for Measuring Health System Performance, for which the measure\nof fair finance was designed. The third section provides some background information\non health system financing arrangements. The fourth section is a brief review of the\nliterature on equity in health finance. Section five discusses the conceptual and\ntheoretical aspects of our measure of fairness of health financing. Section six explores\nthe properties of the measure and index using simulation analysis. The seventh section\ngives detailed information on the construction of the measure. The final section\nprovides a summary, conclusions and a discussion of future applications","URL":"http://www.who.int/healthinfo/paper24.pdf","author":[{"family":"Christopher JL","given":"Murray"},{"family":"Felicia","given":"Knaul"},{"family":"Philip","given":"Musgrove"},{"family":"Ke","given":"Xu"},{"family":"Kei","given":"Kawabata"}],"accessed":{"date-parts":[["2017",4,25]]}}}],"schema":"https://github.com/citation-style-language/schema/raw/master/csl-citation.json"} </w:instrText>
      </w:r>
      <w:r>
        <w:rPr>
          <w:rFonts w:ascii="Georgia" w:hAnsi="Georgia"/>
          <w:sz w:val="22"/>
          <w:szCs w:val="22"/>
        </w:rPr>
        <w:fldChar w:fldCharType="separate"/>
      </w:r>
      <w:r>
        <w:rPr>
          <w:rFonts w:ascii="Georgia" w:hAnsi="Georgia"/>
          <w:sz w:val="22"/>
          <w:szCs w:val="22"/>
        </w:rPr>
        <w:t>(18)</w:t>
      </w:r>
      <w:r>
        <w:rPr>
          <w:rFonts w:ascii="Georgia" w:hAnsi="Georgia"/>
          <w:sz w:val="22"/>
          <w:szCs w:val="22"/>
        </w:rPr>
        <w:fldChar w:fldCharType="end"/>
      </w:r>
      <w:r>
        <w:rPr>
          <w:rFonts w:ascii="Georgia" w:hAnsi="Georgia"/>
          <w:sz w:val="22"/>
          <w:szCs w:val="22"/>
        </w:rPr>
        <w:t xml:space="preserve">. </w:t>
      </w:r>
      <w:proofErr w:type="spellStart"/>
      <w:r>
        <w:rPr>
          <w:rFonts w:ascii="Georgia" w:hAnsi="Georgia"/>
          <w:sz w:val="22"/>
          <w:szCs w:val="22"/>
        </w:rPr>
        <w:t>Kakwani</w:t>
      </w:r>
      <w:proofErr w:type="spellEnd"/>
      <w:r>
        <w:rPr>
          <w:rFonts w:ascii="Georgia" w:hAnsi="Georgia"/>
          <w:sz w:val="22"/>
          <w:szCs w:val="22"/>
        </w:rPr>
        <w:t xml:space="preserve"> index was formulated as the difference between concentration index for healthcare payments and Gini coefficient</w:t>
      </w:r>
      <w:r>
        <w:rPr>
          <w:rFonts w:ascii="Georgia" w:hAnsi="Georgia"/>
          <w:sz w:val="22"/>
          <w:szCs w:val="22"/>
        </w:rPr>
        <w:fldChar w:fldCharType="begin"/>
      </w:r>
      <w:r>
        <w:rPr>
          <w:rFonts w:ascii="Georgia" w:hAnsi="Georgia"/>
          <w:sz w:val="22"/>
          <w:szCs w:val="22"/>
        </w:rPr>
        <w:instrText xml:space="preserve"> ADDIN ZOTERO_ITEM CSL_CITATION {"citationID":"mep8k8orq","properties":{"formattedCitation":"(17)","plainCitation":"(17)"},"citationItems":[{"id":388,"uris":["http://zotero.org/users/3016898/items/RGWZ63N5"],"uri":["http://zotero.org/users/3016898/items/RGWZ63N5"],"itemData":{"id":388,"type":"webpage","title":"Defining and Measuring Fairness in Financial Contribution to the Health System - paper24.pdf","abstract":"Our definition, measure and index of fairness in financial contribution are designed\nand developed to be applicable across and within countries with varying types of\nhealth systems and at different stages of development and of the health transition. The\nindex can be used as a tool to analyse changes over time within countries such as the\nresults of health reform, economic crises, or policies such as decentralisation. Some\nempirical applications considering differences across countries and relating these to\nthe organisation of health systems are discussed in companion publications.(World\nHealth Organization 2000;Xu et al. 2000)\nThe paper is divided into eight sections. The second section describes the overall\nWHO Framework for Measuring Health System Performance, for which the measure\nof fair finance was designed. The third section provides some background information\non health system financing arrangements. The fourth section is a brief review of the\nliterature on equity in health finance. Section five discusses the conceptual and\ntheoretical aspects of our measure of fairness of health financing. Section six explores\nthe properties of the measure and index using simulation analysis. The seventh section\ngives detailed information on the construction of the measure. The final section\nprovides a summary, conclusions and a discussion of future applications","URL":"http://www.who.int/healthinfo/paper24.pdf","author":[{"family":"Christopher JL","given":"Murray"},{"family":"Felicia","given":"Knaul"},{"family":"Philip","given":"Musgrove"},{"family":"Ke","given":"Xu"},{"family":"Kei","given":"Kawabata"}],"accessed":{"date-parts":[["2017",4,25]]}}}],"schema":"https://github.com/citation-style-language/schema/raw/master/csl-citation.json"} </w:instrText>
      </w:r>
      <w:r>
        <w:rPr>
          <w:rFonts w:ascii="Georgia" w:hAnsi="Georgia"/>
          <w:sz w:val="22"/>
          <w:szCs w:val="22"/>
        </w:rPr>
        <w:fldChar w:fldCharType="separate"/>
      </w:r>
      <w:r>
        <w:rPr>
          <w:rFonts w:ascii="Georgia" w:hAnsi="Georgia"/>
          <w:sz w:val="22"/>
          <w:szCs w:val="22"/>
        </w:rPr>
        <w:t>(18)</w:t>
      </w:r>
      <w:r>
        <w:rPr>
          <w:rFonts w:ascii="Georgia" w:hAnsi="Georgia"/>
          <w:sz w:val="22"/>
          <w:szCs w:val="22"/>
        </w:rPr>
        <w:fldChar w:fldCharType="end"/>
      </w:r>
      <w:r>
        <w:rPr>
          <w:rFonts w:ascii="Georgia" w:hAnsi="Georgia"/>
          <w:sz w:val="22"/>
          <w:szCs w:val="22"/>
        </w:rPr>
        <w:t xml:space="preserve">. </w:t>
      </w:r>
      <w:r>
        <w:rPr>
          <w:rFonts w:ascii="Georgia" w:hAnsi="Georgia" w:hint="eastAsia"/>
          <w:sz w:val="22"/>
          <w:szCs w:val="22"/>
        </w:rPr>
        <w:t xml:space="preserve">Concentration index was known as the measurement of socioeconomic-related health inequality, and Gini coefficient was an indicator for </w:t>
      </w:r>
      <w:r>
        <w:rPr>
          <w:rFonts w:ascii="Georgia" w:hAnsi="Georgia"/>
          <w:sz w:val="22"/>
          <w:szCs w:val="22"/>
        </w:rPr>
        <w:t>measuring</w:t>
      </w:r>
      <w:r>
        <w:rPr>
          <w:rFonts w:ascii="Georgia" w:hAnsi="Georgia" w:hint="eastAsia"/>
          <w:sz w:val="22"/>
          <w:szCs w:val="22"/>
        </w:rPr>
        <w:t xml:space="preserve"> the degree of wealth inequity in a </w:t>
      </w:r>
      <w:proofErr w:type="gramStart"/>
      <w:r>
        <w:rPr>
          <w:rFonts w:ascii="Georgia" w:hAnsi="Georgia" w:hint="eastAsia"/>
          <w:sz w:val="22"/>
          <w:szCs w:val="22"/>
        </w:rPr>
        <w:t>country(</w:t>
      </w:r>
      <w:proofErr w:type="gramEnd"/>
      <w:r>
        <w:rPr>
          <w:rFonts w:ascii="Georgia" w:hAnsi="Georgia" w:hint="eastAsia"/>
          <w:sz w:val="22"/>
          <w:szCs w:val="22"/>
        </w:rPr>
        <w:t xml:space="preserve">28). If health finance </w:t>
      </w:r>
      <w:proofErr w:type="gramStart"/>
      <w:r>
        <w:rPr>
          <w:rFonts w:ascii="Georgia" w:hAnsi="Georgia" w:hint="eastAsia"/>
          <w:sz w:val="22"/>
          <w:szCs w:val="22"/>
        </w:rPr>
        <w:t>was</w:t>
      </w:r>
      <w:proofErr w:type="gramEnd"/>
      <w:r>
        <w:rPr>
          <w:rFonts w:ascii="Georgia" w:hAnsi="Georgia" w:hint="eastAsia"/>
          <w:sz w:val="22"/>
          <w:szCs w:val="22"/>
        </w:rPr>
        <w:t xml:space="preserve"> in a vertical equity situation,</w:t>
      </w:r>
      <w:r>
        <w:rPr>
          <w:rFonts w:ascii="Georgia" w:hAnsi="Georgia"/>
          <w:sz w:val="22"/>
          <w:szCs w:val="22"/>
        </w:rPr>
        <w:t xml:space="preserve"> poorer people would contribute less for the share of health payments than their share of ATP, which</w:t>
      </w:r>
      <w:r>
        <w:rPr>
          <w:rFonts w:ascii="Georgia" w:hAnsi="Georgia" w:hint="eastAsia"/>
          <w:sz w:val="22"/>
          <w:szCs w:val="22"/>
        </w:rPr>
        <w:t xml:space="preserve"> was also called progressive system. Whereas</w:t>
      </w:r>
      <w:r>
        <w:rPr>
          <w:rFonts w:ascii="Georgia" w:hAnsi="Georgia"/>
          <w:sz w:val="22"/>
          <w:szCs w:val="22"/>
        </w:rPr>
        <w:t xml:space="preserve"> it </w:t>
      </w:r>
      <w:r>
        <w:rPr>
          <w:rFonts w:ascii="Georgia" w:hAnsi="Georgia" w:hint="eastAsia"/>
          <w:sz w:val="22"/>
          <w:szCs w:val="22"/>
        </w:rPr>
        <w:t xml:space="preserve">was </w:t>
      </w:r>
      <w:r w:rsidRPr="00B316CB">
        <w:rPr>
          <w:rFonts w:ascii="Georgia" w:hAnsi="Georgia" w:hint="eastAsia"/>
          <w:color w:val="FF0000"/>
          <w:sz w:val="22"/>
          <w:szCs w:val="22"/>
        </w:rPr>
        <w:t xml:space="preserve">a </w:t>
      </w:r>
      <w:r>
        <w:rPr>
          <w:rFonts w:ascii="Georgia" w:hAnsi="Georgia"/>
          <w:sz w:val="22"/>
          <w:szCs w:val="22"/>
        </w:rPr>
        <w:t>regressive system</w:t>
      </w:r>
      <w:r>
        <w:rPr>
          <w:rFonts w:ascii="Georgia" w:hAnsi="Georgia" w:hint="eastAsia"/>
          <w:sz w:val="22"/>
          <w:szCs w:val="22"/>
        </w:rPr>
        <w:t xml:space="preserve"> if sharing of health payments were greater than ATP sharing(17)</w:t>
      </w:r>
      <w:r>
        <w:rPr>
          <w:rFonts w:ascii="Georgia" w:hAnsi="Georgia"/>
          <w:sz w:val="22"/>
          <w:szCs w:val="22"/>
        </w:rPr>
        <w:fldChar w:fldCharType="begin"/>
      </w:r>
      <w:r>
        <w:rPr>
          <w:rFonts w:ascii="Georgia" w:hAnsi="Georgia"/>
          <w:sz w:val="22"/>
          <w:szCs w:val="22"/>
        </w:rPr>
        <w:instrText xml:space="preserve"> ADDIN ZOTERO_ITEM CSL_CITATION {"citationID":"fdbpmhbvu","properties":{"formattedCitation":"(39)","plainCitation":"(39)"},"citationItems":[{"id":378,"uris":["http://zotero.org/users/3016898/items/URDFU7W7"],"uri":["http://zotero.org/users/3016898/items/URDFU7W7"],"itemData":{"id":378,"type":"webpage","title":"Quantitative Techniques for Health Equity Analysis—Technical Note #16 Progressivity analysis Page 1 Measuring progre ssivity of health care payments","abstract":"Who pays for health care? To what extent are payments toward health care related to\nability to pay\n?Isthe\nrelationship\nproportional\n?Orisit\nprogressive;\ndo  health  care  payments  account  for  an  increasing\nproportion of ability to pay (ATP) as the latter rises? Or, is there a\nregressive\nrelationship, in the sense that\npayments comprise a decreasing share of ATP? The policymaker’s preferred relationship between health\ncare  payments  and  ATP  will  vary  with  his  or  her  conception  of  fairness,  but  quantification  of  the\nrelationship [3,9] is of interest from a wide range of equity perspectives.\nThis note provides practical advice on methods for the measurement of progressivity in health care finance.\nThroughout,  we  measure\nprogressivity\nthrough\ndepartures  from  proportionality\nin  the  relation  between\npayments toward the provision of health care and ATP. There are other approaches to the measurement of\nprogressivity [1].  For  the  relationship  between  progressivity and  the  redistributive  impact  of  health  care\npayments see\nTechnical Note","URL":"http://siteresources.worldbank.org/INTPAH/Resources/Publications/Quantitative-Techniques/health_eq_tn16.pdf","accessed":{"date-parts":[["2017",4,25]]}}}],"schema":"https://github.com/citation-style-language/schema/raw/master/csl-citation.json"} </w:instrText>
      </w:r>
      <w:r>
        <w:rPr>
          <w:rFonts w:ascii="Georgia" w:hAnsi="Georgia"/>
          <w:sz w:val="22"/>
          <w:szCs w:val="22"/>
        </w:rPr>
        <w:fldChar w:fldCharType="separate"/>
      </w:r>
      <w:r>
        <w:rPr>
          <w:rFonts w:ascii="Georgia" w:hAnsi="Georgia"/>
          <w:sz w:val="22"/>
          <w:szCs w:val="22"/>
        </w:rPr>
        <w:t>(27)</w:t>
      </w:r>
      <w:r>
        <w:rPr>
          <w:rFonts w:ascii="Georgia" w:hAnsi="Georgia"/>
          <w:sz w:val="22"/>
          <w:szCs w:val="22"/>
        </w:rPr>
        <w:fldChar w:fldCharType="end"/>
      </w:r>
      <w:r>
        <w:rPr>
          <w:rFonts w:ascii="Georgia" w:hAnsi="Georgia"/>
          <w:sz w:val="22"/>
          <w:szCs w:val="22"/>
        </w:rPr>
        <w:t>.</w:t>
      </w:r>
      <w:r>
        <w:rPr>
          <w:rFonts w:ascii="Georgia" w:hAnsi="Georgia" w:hint="eastAsia"/>
          <w:sz w:val="22"/>
          <w:szCs w:val="22"/>
        </w:rPr>
        <w:t xml:space="preserve"> As recommended by the World Bank, household assets were measured to reflect the ATP since assets indices could reduce the currency fluctuation comparing to income or expenditure, which have been </w:t>
      </w:r>
      <w:r w:rsidRPr="00C324D2">
        <w:rPr>
          <w:rFonts w:ascii="Georgia" w:hAnsi="Georgia" w:hint="eastAsia"/>
          <w:color w:val="FF0000"/>
          <w:sz w:val="22"/>
          <w:szCs w:val="22"/>
        </w:rPr>
        <w:t xml:space="preserve">widely used </w:t>
      </w:r>
      <w:r>
        <w:rPr>
          <w:rFonts w:ascii="Georgia" w:hAnsi="Georgia" w:hint="eastAsia"/>
          <w:sz w:val="22"/>
          <w:szCs w:val="22"/>
        </w:rPr>
        <w:t xml:space="preserve">in </w:t>
      </w:r>
      <w:r w:rsidRPr="00956E1A">
        <w:rPr>
          <w:rFonts w:ascii="Georgia" w:hAnsi="Georgia" w:hint="eastAsia"/>
          <w:color w:val="000000" w:themeColor="text1"/>
          <w:sz w:val="22"/>
          <w:szCs w:val="22"/>
        </w:rPr>
        <w:t>developing countries</w:t>
      </w:r>
      <w:r w:rsidRPr="00956E1A">
        <w:rPr>
          <w:rFonts w:ascii="Georgia" w:hAnsi="Georgia"/>
          <w:color w:val="000000" w:themeColor="text1"/>
          <w:sz w:val="22"/>
          <w:szCs w:val="22"/>
        </w:rPr>
        <w:t>(12)</w:t>
      </w:r>
      <w:r>
        <w:rPr>
          <w:rFonts w:ascii="Georgia" w:hAnsi="Georgia" w:hint="eastAsia"/>
          <w:color w:val="000000" w:themeColor="text1"/>
          <w:sz w:val="22"/>
          <w:szCs w:val="22"/>
        </w:rPr>
        <w:t>(27</w:t>
      </w:r>
      <w:r w:rsidRPr="00956E1A">
        <w:rPr>
          <w:rFonts w:ascii="Georgia" w:hAnsi="Georgia" w:hint="eastAsia"/>
          <w:color w:val="000000" w:themeColor="text1"/>
          <w:sz w:val="22"/>
          <w:szCs w:val="22"/>
        </w:rPr>
        <w:t>).</w:t>
      </w:r>
    </w:p>
    <w:p w14:paraId="6E4DBE76" w14:textId="77777777" w:rsidR="00B229AD" w:rsidRDefault="00B229AD" w:rsidP="00B229AD">
      <w:pPr>
        <w:widowControl w:val="0"/>
        <w:autoSpaceDE w:val="0"/>
        <w:autoSpaceDN w:val="0"/>
        <w:adjustRightInd w:val="0"/>
        <w:spacing w:after="240" w:line="480" w:lineRule="auto"/>
        <w:rPr>
          <w:rFonts w:ascii="Georgia" w:hAnsi="Georgia"/>
          <w:sz w:val="22"/>
          <w:szCs w:val="22"/>
        </w:rPr>
      </w:pPr>
    </w:p>
    <w:p w14:paraId="3790B213" w14:textId="77777777" w:rsidR="00B229AD" w:rsidRDefault="00B229AD" w:rsidP="00B229AD">
      <w:pPr>
        <w:widowControl w:val="0"/>
        <w:autoSpaceDE w:val="0"/>
        <w:autoSpaceDN w:val="0"/>
        <w:adjustRightInd w:val="0"/>
        <w:spacing w:after="240" w:line="480" w:lineRule="auto"/>
        <w:rPr>
          <w:rFonts w:ascii="Georgia" w:hAnsi="Georgia" w:cs="Times"/>
          <w:sz w:val="22"/>
          <w:szCs w:val="22"/>
        </w:rPr>
      </w:pPr>
      <w:r>
        <w:rPr>
          <w:rFonts w:ascii="Georgia" w:hAnsi="Georgia" w:cs="Times"/>
          <w:sz w:val="22"/>
          <w:szCs w:val="22"/>
        </w:rPr>
        <w:t xml:space="preserve">Ordinary least </w:t>
      </w:r>
      <w:proofErr w:type="gramStart"/>
      <w:r>
        <w:rPr>
          <w:rFonts w:ascii="Georgia" w:hAnsi="Georgia" w:cs="Times"/>
          <w:sz w:val="22"/>
          <w:szCs w:val="22"/>
        </w:rPr>
        <w:t>squares(</w:t>
      </w:r>
      <w:proofErr w:type="gramEnd"/>
      <w:r>
        <w:rPr>
          <w:rFonts w:ascii="Georgia" w:hAnsi="Georgia" w:cs="Times"/>
          <w:sz w:val="22"/>
          <w:szCs w:val="22"/>
        </w:rPr>
        <w:t>OLS) regression was employed in estimation of CI and Gini coefficient</w:t>
      </w:r>
      <w:r>
        <w:rPr>
          <w:rFonts w:ascii="Georgia" w:hAnsi="Georgia" w:cs="Times" w:hint="eastAsia"/>
          <w:sz w:val="22"/>
          <w:szCs w:val="22"/>
        </w:rPr>
        <w:t xml:space="preserve"> in this study</w:t>
      </w:r>
      <w:r>
        <w:rPr>
          <w:rFonts w:ascii="Georgia" w:hAnsi="Georgia" w:cs="Times"/>
          <w:sz w:val="22"/>
          <w:szCs w:val="22"/>
        </w:rPr>
        <w:t>. It compared healthcare payment variables with household fractional rank</w:t>
      </w:r>
      <w:r>
        <w:rPr>
          <w:rFonts w:ascii="Georgia" w:hAnsi="Georgia" w:cs="Times" w:hint="eastAsia"/>
          <w:sz w:val="22"/>
          <w:szCs w:val="22"/>
        </w:rPr>
        <w:t>ing</w:t>
      </w:r>
      <w:r>
        <w:rPr>
          <w:rFonts w:ascii="Georgia" w:hAnsi="Georgia" w:cs="Times"/>
          <w:sz w:val="22"/>
          <w:szCs w:val="22"/>
        </w:rPr>
        <w:t xml:space="preserve"> </w:t>
      </w:r>
      <w:r>
        <w:rPr>
          <w:rFonts w:ascii="Georgia" w:hAnsi="Georgia" w:cs="Times"/>
          <w:sz w:val="22"/>
          <w:szCs w:val="22"/>
        </w:rPr>
        <w:lastRenderedPageBreak/>
        <w:t>according to ATP distribution</w:t>
      </w:r>
      <w:r>
        <w:rPr>
          <w:rFonts w:ascii="Georgia" w:hAnsi="Georgia" w:cs="Times"/>
          <w:sz w:val="22"/>
          <w:szCs w:val="22"/>
        </w:rPr>
        <w:fldChar w:fldCharType="begin"/>
      </w:r>
      <w:r>
        <w:rPr>
          <w:rFonts w:ascii="Georgia" w:hAnsi="Georgia" w:cs="Times"/>
          <w:sz w:val="22"/>
          <w:szCs w:val="22"/>
        </w:rPr>
        <w:instrText xml:space="preserve"> ADDIN ZOTERO_ITEM CSL_CITATION {"citationID":"25gg54a6kd","properties":{"formattedCitation":"(38)","plainCitation":"(38)"},"citationItems":[{"id":342,"uris":["http://zotero.org/users/3016898/items/AHGEXSE4"],"uri":["http://zotero.org/users/3016898/items/AHGEXSE4"],"itemData":{"id":342,"type":"book","title":"Analyzing Health Equity Using Household Survey Data","collection-title":"WBI Learning Reources Series","number-of-pages":"234","edition":"The world bank","URL":"http://siteresources.worldbank.org/INTPAH/Resources/Publications/459843-1195594469249/HealthEquityCh7.pdf","ISBN":"978-0-8213-6933-3","shortTitle":"A guide to Techniques and Their Implementation","language":"English","author":[{"family":"Owen","given":"O'Donnell"},{"family":"Eddy Van","given":"Doorslaer"},{"family":"Adam","given":"Wagstaff"},{"family":"Magnus","given":"Lindelow"}],"accessed":{"date-parts":[["2017",4,21]]}}}],"schema":"https://github.com/citation-style-language/schema/raw/master/csl-citation.json"} </w:instrText>
      </w:r>
      <w:r>
        <w:rPr>
          <w:rFonts w:ascii="Georgia" w:hAnsi="Georgia" w:cs="Times"/>
          <w:sz w:val="22"/>
          <w:szCs w:val="22"/>
        </w:rPr>
        <w:fldChar w:fldCharType="separate"/>
      </w:r>
      <w:r>
        <w:rPr>
          <w:rFonts w:ascii="Georgia" w:hAnsi="Georgia" w:cs="Times"/>
          <w:sz w:val="22"/>
          <w:szCs w:val="22"/>
        </w:rPr>
        <w:t>(27)</w:t>
      </w:r>
      <w:r>
        <w:rPr>
          <w:rFonts w:ascii="Georgia" w:hAnsi="Georgia" w:cs="Times"/>
          <w:sz w:val="22"/>
          <w:szCs w:val="22"/>
        </w:rPr>
        <w:fldChar w:fldCharType="end"/>
      </w:r>
      <w:r>
        <w:rPr>
          <w:rFonts w:ascii="Georgia" w:hAnsi="Georgia" w:cs="Times" w:hint="eastAsia"/>
          <w:sz w:val="22"/>
          <w:szCs w:val="22"/>
        </w:rPr>
        <w:t>(28)</w:t>
      </w:r>
      <w:r>
        <w:rPr>
          <w:rFonts w:ascii="Georgia" w:hAnsi="Georgia" w:cs="Times"/>
          <w:sz w:val="22"/>
          <w:szCs w:val="22"/>
        </w:rPr>
        <w:t>.</w:t>
      </w:r>
    </w:p>
    <w:p w14:paraId="450C4A75" w14:textId="77777777" w:rsidR="00B229AD" w:rsidRDefault="00B229AD" w:rsidP="00B229AD">
      <w:pPr>
        <w:widowControl w:val="0"/>
        <w:autoSpaceDE w:val="0"/>
        <w:autoSpaceDN w:val="0"/>
        <w:adjustRightInd w:val="0"/>
        <w:spacing w:after="240" w:line="480" w:lineRule="auto"/>
        <w:outlineLvl w:val="0"/>
        <w:rPr>
          <w:rFonts w:ascii="Georgia" w:hAnsi="Georgia" w:cs="Times"/>
          <w:sz w:val="22"/>
          <w:szCs w:val="22"/>
        </w:rPr>
      </w:pPr>
      <m:oMathPara>
        <m:oMath>
          <m:r>
            <w:rPr>
              <w:rFonts w:ascii="Cambria Math" w:hAnsi="Cambria Math" w:cs="Times"/>
              <w:sz w:val="22"/>
              <w:szCs w:val="22"/>
            </w:rPr>
            <m:t>2</m:t>
          </m:r>
          <m:sSubSup>
            <m:sSubSupPr>
              <m:ctrlPr>
                <w:rPr>
                  <w:rFonts w:ascii="Cambria Math" w:hAnsi="Cambria Math" w:cs="Times"/>
                  <w:i/>
                  <w:sz w:val="22"/>
                  <w:szCs w:val="22"/>
                </w:rPr>
              </m:ctrlPr>
            </m:sSubSupPr>
            <m:e>
              <m:r>
                <w:rPr>
                  <w:rFonts w:ascii="Cambria Math" w:hAnsi="Cambria Math" w:cs="Times"/>
                  <w:sz w:val="22"/>
                  <w:szCs w:val="22"/>
                </w:rPr>
                <m:t>σ</m:t>
              </m:r>
            </m:e>
            <m:sub>
              <m:r>
                <w:rPr>
                  <w:rFonts w:ascii="Cambria Math" w:hAnsi="Cambria Math" w:cs="Times"/>
                  <w:sz w:val="22"/>
                  <w:szCs w:val="22"/>
                </w:rPr>
                <m:t>r</m:t>
              </m:r>
            </m:sub>
            <m:sup>
              <m:r>
                <w:rPr>
                  <w:rFonts w:ascii="Cambria Math" w:hAnsi="Cambria Math" w:cs="Times"/>
                  <w:sz w:val="22"/>
                  <w:szCs w:val="22"/>
                </w:rPr>
                <m:t>2</m:t>
              </m:r>
            </m:sup>
          </m:sSubSup>
          <m:r>
            <w:rPr>
              <w:rFonts w:ascii="Cambria Math" w:hAnsi="Cambria Math" w:cs="Times"/>
              <w:sz w:val="22"/>
              <w:szCs w:val="22"/>
            </w:rPr>
            <m:t>(</m:t>
          </m:r>
          <m:f>
            <m:fPr>
              <m:ctrlPr>
                <w:rPr>
                  <w:rFonts w:ascii="Cambria Math" w:hAnsi="Cambria Math" w:cs="Times"/>
                  <w:i/>
                  <w:sz w:val="22"/>
                  <w:szCs w:val="22"/>
                </w:rPr>
              </m:ctrlPr>
            </m:fPr>
            <m:num>
              <m:sSub>
                <m:sSubPr>
                  <m:ctrlPr>
                    <w:rPr>
                      <w:rFonts w:ascii="Cambria Math" w:hAnsi="Cambria Math" w:cs="Times"/>
                      <w:sz w:val="22"/>
                      <w:szCs w:val="22"/>
                    </w:rPr>
                  </m:ctrlPr>
                </m:sSubPr>
                <m:e>
                  <m:r>
                    <w:rPr>
                      <w:rFonts w:ascii="Cambria Math" w:hAnsi="Cambria Math" w:cs="Times"/>
                      <w:sz w:val="22"/>
                      <w:szCs w:val="22"/>
                    </w:rPr>
                    <m:t>z</m:t>
                  </m:r>
                </m:e>
                <m:sub>
                  <m:r>
                    <w:rPr>
                      <w:rFonts w:ascii="Cambria Math" w:hAnsi="Cambria Math" w:cs="Times"/>
                      <w:sz w:val="22"/>
                      <w:szCs w:val="22"/>
                    </w:rPr>
                    <m:t>i</m:t>
                  </m:r>
                </m:sub>
              </m:sSub>
            </m:num>
            <m:den>
              <m:r>
                <w:rPr>
                  <w:rFonts w:ascii="Cambria Math" w:hAnsi="Cambria Math" w:cs="Times"/>
                  <w:sz w:val="22"/>
                  <w:szCs w:val="22"/>
                </w:rPr>
                <m:t>γ</m:t>
              </m:r>
            </m:den>
          </m:f>
          <m:r>
            <w:rPr>
              <w:rFonts w:ascii="Cambria Math" w:hAnsi="Cambria Math" w:cs="Times"/>
              <w:sz w:val="22"/>
              <w:szCs w:val="22"/>
            </w:rPr>
            <m:t>)=α+β</m:t>
          </m:r>
          <m:sSub>
            <m:sSubPr>
              <m:ctrlPr>
                <w:rPr>
                  <w:rFonts w:ascii="Cambria Math" w:hAnsi="Cambria Math" w:cs="Times"/>
                  <w:i/>
                  <w:sz w:val="22"/>
                  <w:szCs w:val="22"/>
                </w:rPr>
              </m:ctrlPr>
            </m:sSubPr>
            <m:e>
              <m:r>
                <w:rPr>
                  <w:rFonts w:ascii="Cambria Math" w:hAnsi="Cambria Math" w:cs="Times"/>
                  <w:sz w:val="22"/>
                  <w:szCs w:val="22"/>
                </w:rPr>
                <m:t>R</m:t>
              </m:r>
            </m:e>
            <m:sub>
              <m:r>
                <w:rPr>
                  <w:rFonts w:ascii="Cambria Math" w:hAnsi="Cambria Math" w:cs="Times"/>
                  <w:sz w:val="22"/>
                  <w:szCs w:val="22"/>
                </w:rPr>
                <m:t>i</m:t>
              </m:r>
            </m:sub>
          </m:sSub>
          <m:r>
            <w:rPr>
              <w:rFonts w:ascii="Cambria Math" w:hAnsi="Cambria Math" w:cs="Times"/>
              <w:sz w:val="22"/>
              <w:szCs w:val="22"/>
            </w:rPr>
            <m:t>+</m:t>
          </m:r>
          <m:sSub>
            <m:sSubPr>
              <m:ctrlPr>
                <w:rPr>
                  <w:rFonts w:ascii="Cambria Math" w:hAnsi="Cambria Math" w:cs="Times"/>
                  <w:i/>
                  <w:sz w:val="22"/>
                  <w:szCs w:val="22"/>
                </w:rPr>
              </m:ctrlPr>
            </m:sSubPr>
            <m:e>
              <m:r>
                <w:rPr>
                  <w:rFonts w:ascii="Cambria Math" w:hAnsi="Cambria Math" w:cs="Times"/>
                  <w:sz w:val="22"/>
                  <w:szCs w:val="22"/>
                </w:rPr>
                <m:t>ε</m:t>
              </m:r>
            </m:e>
            <m:sub>
              <m:r>
                <w:rPr>
                  <w:rFonts w:ascii="Cambria Math" w:hAnsi="Cambria Math" w:cs="Times"/>
                  <w:sz w:val="22"/>
                  <w:szCs w:val="22"/>
                </w:rPr>
                <m:t>i</m:t>
              </m:r>
            </m:sub>
          </m:sSub>
        </m:oMath>
      </m:oMathPara>
    </w:p>
    <w:p w14:paraId="03915641" w14:textId="77777777" w:rsidR="00B229AD" w:rsidRDefault="00B229AD" w:rsidP="00B229AD">
      <w:pPr>
        <w:widowControl w:val="0"/>
        <w:autoSpaceDE w:val="0"/>
        <w:autoSpaceDN w:val="0"/>
        <w:adjustRightInd w:val="0"/>
        <w:spacing w:after="240" w:line="480" w:lineRule="auto"/>
        <w:rPr>
          <w:rFonts w:ascii="Georgia" w:hAnsi="Georgia" w:cs="Times"/>
          <w:sz w:val="22"/>
          <w:szCs w:val="22"/>
        </w:rPr>
      </w:pPr>
      <w:r>
        <w:rPr>
          <w:rFonts w:ascii="Georgia" w:hAnsi="Georgia" w:cs="Times"/>
          <w:sz w:val="22"/>
          <w:szCs w:val="22"/>
        </w:rPr>
        <w:t>where</w:t>
      </w:r>
      <m:oMath>
        <m:r>
          <m:rPr>
            <m:sty m:val="p"/>
          </m:rPr>
          <w:rPr>
            <w:rFonts w:ascii="Cambria Math" w:hAnsi="Cambria Math" w:cs="Times"/>
            <w:sz w:val="22"/>
            <w:szCs w:val="22"/>
          </w:rPr>
          <m:t xml:space="preserve"> </m:t>
        </m:r>
        <m:sSub>
          <m:sSubPr>
            <m:ctrlPr>
              <w:rPr>
                <w:rFonts w:ascii="Cambria Math" w:hAnsi="Cambria Math" w:cs="Times"/>
                <w:sz w:val="22"/>
                <w:szCs w:val="22"/>
              </w:rPr>
            </m:ctrlPr>
          </m:sSubPr>
          <m:e>
            <m:r>
              <w:rPr>
                <w:rFonts w:ascii="Cambria Math" w:hAnsi="Cambria Math" w:cs="Times"/>
                <w:sz w:val="22"/>
                <w:szCs w:val="22"/>
              </w:rPr>
              <m:t>z</m:t>
            </m:r>
          </m:e>
          <m:sub>
            <m:r>
              <w:rPr>
                <w:rFonts w:ascii="Cambria Math" w:hAnsi="Cambria Math" w:cs="Times"/>
                <w:sz w:val="22"/>
                <w:szCs w:val="22"/>
              </w:rPr>
              <m:t>i</m:t>
            </m:r>
          </m:sub>
        </m:sSub>
      </m:oMath>
      <w:r>
        <w:rPr>
          <w:rFonts w:ascii="Georgia" w:hAnsi="Georgia" w:cs="Times"/>
          <w:sz w:val="22"/>
          <w:szCs w:val="22"/>
        </w:rPr>
        <w:t xml:space="preserve"> was a health payment variable for household i and </w:t>
      </w:r>
      <m:oMath>
        <m:r>
          <w:rPr>
            <w:rFonts w:ascii="Cambria Math" w:hAnsi="Cambria Math" w:cs="Times"/>
            <w:sz w:val="22"/>
            <w:szCs w:val="22"/>
          </w:rPr>
          <m:t>γ</m:t>
        </m:r>
      </m:oMath>
      <w:r>
        <w:rPr>
          <w:rFonts w:ascii="Georgia" w:hAnsi="Georgia" w:cs="Times"/>
          <w:sz w:val="22"/>
          <w:szCs w:val="22"/>
        </w:rPr>
        <w:t xml:space="preserve"> was the </w:t>
      </w:r>
      <w:proofErr w:type="gramStart"/>
      <w:r>
        <w:rPr>
          <w:rFonts w:ascii="Georgia" w:hAnsi="Georgia" w:cs="Times"/>
          <w:sz w:val="22"/>
          <w:szCs w:val="22"/>
        </w:rPr>
        <w:t>mean.</w:t>
      </w:r>
      <w:proofErr w:type="gramEnd"/>
      <w:r>
        <w:rPr>
          <w:rFonts w:ascii="Georgia" w:hAnsi="Georgia" w:cs="Times"/>
          <w:sz w:val="22"/>
          <w:szCs w:val="22"/>
        </w:rPr>
        <w:t xml:space="preserve"> </w:t>
      </w:r>
      <m:oMath>
        <m:sSub>
          <m:sSubPr>
            <m:ctrlPr>
              <w:rPr>
                <w:rFonts w:ascii="Cambria Math" w:hAnsi="Cambria Math" w:cs="Times"/>
                <w:i/>
                <w:sz w:val="22"/>
                <w:szCs w:val="22"/>
              </w:rPr>
            </m:ctrlPr>
          </m:sSubPr>
          <m:e>
            <m:r>
              <w:rPr>
                <w:rFonts w:ascii="Cambria Math" w:hAnsi="Cambria Math" w:cs="Times"/>
                <w:sz w:val="22"/>
                <w:szCs w:val="22"/>
              </w:rPr>
              <m:t>R</m:t>
            </m:r>
          </m:e>
          <m:sub>
            <m:r>
              <w:rPr>
                <w:rFonts w:ascii="Cambria Math" w:hAnsi="Cambria Math" w:cs="Times"/>
                <w:sz w:val="22"/>
                <w:szCs w:val="22"/>
              </w:rPr>
              <m:t>i</m:t>
            </m:r>
          </m:sub>
        </m:sSub>
      </m:oMath>
      <w:r>
        <w:rPr>
          <w:rFonts w:ascii="Georgia" w:hAnsi="Georgia" w:cs="Times"/>
          <w:sz w:val="22"/>
          <w:szCs w:val="22"/>
        </w:rPr>
        <w:t xml:space="preserve"> was the household fractional rank</w:t>
      </w:r>
      <w:proofErr w:type="spellStart"/>
      <w:r>
        <w:rPr>
          <w:rFonts w:ascii="Georgia" w:hAnsi="Georgia" w:cs="Times" w:hint="eastAsia"/>
          <w:sz w:val="22"/>
          <w:szCs w:val="22"/>
        </w:rPr>
        <w:t>ing</w:t>
      </w:r>
      <w:proofErr w:type="spellEnd"/>
      <w:r>
        <w:rPr>
          <w:rFonts w:ascii="Georgia" w:hAnsi="Georgia" w:cs="Times"/>
          <w:sz w:val="22"/>
          <w:szCs w:val="22"/>
        </w:rPr>
        <w:t xml:space="preserve"> according to ATP distribution</w:t>
      </w:r>
      <m:oMath>
        <m:r>
          <w:rPr>
            <w:rFonts w:ascii="Cambria Math" w:hAnsi="Cambria Math" w:cs="Times"/>
            <w:sz w:val="22"/>
            <w:szCs w:val="22"/>
          </w:rPr>
          <m:t xml:space="preserve">, </m:t>
        </m:r>
        <m:sSubSup>
          <m:sSubSupPr>
            <m:ctrlPr>
              <w:rPr>
                <w:rFonts w:ascii="Cambria Math" w:hAnsi="Cambria Math" w:cs="Times"/>
                <w:i/>
                <w:sz w:val="22"/>
                <w:szCs w:val="22"/>
              </w:rPr>
            </m:ctrlPr>
          </m:sSubSupPr>
          <m:e>
            <m:r>
              <w:rPr>
                <w:rFonts w:ascii="Cambria Math" w:hAnsi="Cambria Math" w:cs="Times"/>
                <w:sz w:val="22"/>
                <w:szCs w:val="22"/>
              </w:rPr>
              <m:t>σ</m:t>
            </m:r>
          </m:e>
          <m:sub>
            <m:r>
              <w:rPr>
                <w:rFonts w:ascii="Cambria Math" w:hAnsi="Cambria Math" w:cs="Times"/>
                <w:sz w:val="22"/>
                <w:szCs w:val="22"/>
              </w:rPr>
              <m:t>r</m:t>
            </m:r>
          </m:sub>
          <m:sup>
            <m:r>
              <w:rPr>
                <w:rFonts w:ascii="Cambria Math" w:hAnsi="Cambria Math" w:cs="Times"/>
                <w:sz w:val="22"/>
                <w:szCs w:val="22"/>
              </w:rPr>
              <m:t>2</m:t>
            </m:r>
          </m:sup>
        </m:sSubSup>
      </m:oMath>
      <w:r>
        <w:rPr>
          <w:rFonts w:ascii="Georgia" w:hAnsi="Georgia" w:cs="Times"/>
          <w:sz w:val="22"/>
          <w:szCs w:val="22"/>
        </w:rPr>
        <w:t xml:space="preserve"> was the sample variance of the fractional rank. </w:t>
      </w:r>
      <m:oMath>
        <m:r>
          <w:rPr>
            <w:rFonts w:ascii="Cambria Math" w:hAnsi="Cambria Math" w:cs="Times"/>
            <w:sz w:val="22"/>
            <w:szCs w:val="22"/>
          </w:rPr>
          <m:t>β</m:t>
        </m:r>
      </m:oMath>
      <w:r>
        <w:rPr>
          <w:rFonts w:ascii="Georgia" w:hAnsi="Georgia" w:cs="Times"/>
          <w:sz w:val="22"/>
          <w:szCs w:val="22"/>
        </w:rPr>
        <w:t xml:space="preserve"> in OLS was the estimation for CI or Gini coefficient.</w:t>
      </w:r>
    </w:p>
    <w:p w14:paraId="79A6B6BA" w14:textId="77777777" w:rsidR="00B229AD" w:rsidRPr="00383ABA" w:rsidRDefault="00B229AD" w:rsidP="00B229AD">
      <w:pPr>
        <w:widowControl w:val="0"/>
        <w:autoSpaceDE w:val="0"/>
        <w:autoSpaceDN w:val="0"/>
        <w:adjustRightInd w:val="0"/>
        <w:spacing w:after="240" w:line="480" w:lineRule="auto"/>
        <w:rPr>
          <w:rFonts w:ascii="Georgia" w:hAnsi="Georgia" w:cs="Times"/>
          <w:sz w:val="22"/>
          <w:szCs w:val="22"/>
        </w:rPr>
      </w:pPr>
    </w:p>
    <w:p w14:paraId="0BBD09D7" w14:textId="77777777" w:rsidR="00B229AD" w:rsidRPr="00383ABA" w:rsidRDefault="00B229AD" w:rsidP="00B229AD">
      <w:pPr>
        <w:spacing w:line="480" w:lineRule="auto"/>
        <w:rPr>
          <w:rFonts w:ascii="Georgia" w:hAnsi="Georgia"/>
          <w:sz w:val="22"/>
          <w:szCs w:val="22"/>
        </w:rPr>
      </w:pPr>
      <w:r>
        <w:rPr>
          <w:rFonts w:ascii="Georgia" w:hAnsi="Georgia"/>
          <w:sz w:val="22"/>
          <w:szCs w:val="22"/>
        </w:rPr>
        <w:t xml:space="preserve">The </w:t>
      </w:r>
      <w:proofErr w:type="spellStart"/>
      <w:r>
        <w:rPr>
          <w:rFonts w:ascii="Georgia" w:hAnsi="Georgia"/>
          <w:sz w:val="22"/>
          <w:szCs w:val="22"/>
        </w:rPr>
        <w:t>Kakwani</w:t>
      </w:r>
      <w:proofErr w:type="spellEnd"/>
      <w:r>
        <w:rPr>
          <w:rFonts w:ascii="Georgia" w:hAnsi="Georgia"/>
          <w:sz w:val="22"/>
          <w:szCs w:val="22"/>
        </w:rPr>
        <w:t xml:space="preserve"> index for healthcare payment was defined as the difference between concentration index for healthcare payments and Gini coefficient</w:t>
      </w:r>
      <w:r>
        <w:rPr>
          <w:rFonts w:ascii="Georgia" w:hAnsi="Georgia"/>
          <w:sz w:val="22"/>
          <w:szCs w:val="22"/>
        </w:rPr>
        <w:fldChar w:fldCharType="begin"/>
      </w:r>
      <w:r>
        <w:rPr>
          <w:rFonts w:ascii="Georgia" w:hAnsi="Georgia"/>
          <w:sz w:val="22"/>
          <w:szCs w:val="22"/>
        </w:rPr>
        <w:instrText xml:space="preserve"> ADDIN ZOTERO_ITEM CSL_CITATION {"citationID":"1l4a0of649","properties":{"formattedCitation":"(17)","plainCitation":"(17)"},"citationItems":[{"id":388,"uris":["http://zotero.org/users/3016898/items/RGWZ63N5"],"uri":["http://zotero.org/users/3016898/items/RGWZ63N5"],"itemData":{"id":388,"type":"webpage","title":"Defining and Measuring Fairness in Financial Contribution to the Health System - paper24.pdf","abstract":"Our definition, measure and index of fairness in financial contribution are designed\nand developed to be applicable across and within countries with varying types of\nhealth systems and at different stages of development and of the health transition. The\nindex can be used as a tool to analyse changes over time within countries such as the\nresults of health reform, economic crises, or policies such as decentralisation. Some\nempirical applications considering differences across countries and relating these to\nthe organisation of health systems are discussed in companion publications.(World\nHealth Organization 2000;Xu et al. 2000)\nThe paper is divided into eight sections. The second section describes the overall\nWHO Framework for Measuring Health System Performance, for which the measure\nof fair finance was designed. The third section provides some background information\non health system financing arrangements. The fourth section is a brief review of the\nliterature on equity in health finance. Section five discusses the conceptual and\ntheoretical aspects of our measure of fairness of health financing. Section six explores\nthe properties of the measure and index using simulation analysis. The seventh section\ngives detailed information on the construction of the measure. The final section\nprovides a summary, conclusions and a discussion of future applications","URL":"http://www.who.int/healthinfo/paper24.pdf","author":[{"family":"Christopher JL","given":"Murray"},{"family":"Felicia","given":"Knaul"},{"family":"Philip","given":"Musgrove"},{"family":"Ke","given":"Xu"},{"family":"Kei","given":"Kawabata"}],"accessed":{"date-parts":[["2017",4,25]]}}}],"schema":"https://github.com/citation-style-language/schema/raw/master/csl-citation.json"} </w:instrText>
      </w:r>
      <w:r>
        <w:rPr>
          <w:rFonts w:ascii="Georgia" w:hAnsi="Georgia"/>
          <w:sz w:val="22"/>
          <w:szCs w:val="22"/>
        </w:rPr>
        <w:fldChar w:fldCharType="separate"/>
      </w:r>
      <w:r>
        <w:rPr>
          <w:rFonts w:ascii="Georgia" w:hAnsi="Georgia"/>
          <w:sz w:val="22"/>
          <w:szCs w:val="22"/>
        </w:rPr>
        <w:t>(1</w:t>
      </w:r>
      <w:r>
        <w:rPr>
          <w:rFonts w:ascii="Georgia" w:hAnsi="Georgia" w:hint="eastAsia"/>
          <w:sz w:val="22"/>
          <w:szCs w:val="22"/>
        </w:rPr>
        <w:t>8</w:t>
      </w:r>
      <w:r>
        <w:rPr>
          <w:rFonts w:ascii="Georgia" w:hAnsi="Georgia"/>
          <w:sz w:val="22"/>
          <w:szCs w:val="22"/>
        </w:rPr>
        <w:t>)</w:t>
      </w:r>
      <w:r>
        <w:rPr>
          <w:rFonts w:ascii="Georgia" w:hAnsi="Georgia"/>
          <w:sz w:val="22"/>
          <w:szCs w:val="22"/>
        </w:rPr>
        <w:fldChar w:fldCharType="end"/>
      </w:r>
      <w:r>
        <w:rPr>
          <w:rFonts w:ascii="Georgia" w:hAnsi="Georgia" w:hint="eastAsia"/>
          <w:sz w:val="22"/>
          <w:szCs w:val="22"/>
        </w:rPr>
        <w:t>(27)</w:t>
      </w:r>
      <w:r>
        <w:rPr>
          <w:rFonts w:ascii="Georgia" w:hAnsi="Georgia"/>
          <w:sz w:val="22"/>
          <w:szCs w:val="22"/>
        </w:rPr>
        <w:t>.</w:t>
      </w:r>
    </w:p>
    <w:p w14:paraId="6E2F31C7" w14:textId="77777777" w:rsidR="00B229AD" w:rsidRDefault="00B229AD" w:rsidP="00B229AD">
      <w:pPr>
        <w:widowControl w:val="0"/>
        <w:autoSpaceDE w:val="0"/>
        <w:autoSpaceDN w:val="0"/>
        <w:adjustRightInd w:val="0"/>
        <w:spacing w:after="240" w:line="480" w:lineRule="auto"/>
        <w:jc w:val="center"/>
        <w:rPr>
          <w:rFonts w:ascii="Georgia" w:hAnsi="Georgia" w:cs="Times"/>
          <w:sz w:val="22"/>
          <w:szCs w:val="22"/>
        </w:rPr>
      </w:pPr>
    </w:p>
    <w:p w14:paraId="239593BC" w14:textId="77777777" w:rsidR="00B229AD" w:rsidRDefault="00B229AD" w:rsidP="00B229AD">
      <w:pPr>
        <w:widowControl w:val="0"/>
        <w:autoSpaceDE w:val="0"/>
        <w:autoSpaceDN w:val="0"/>
        <w:adjustRightInd w:val="0"/>
        <w:spacing w:after="240" w:line="480" w:lineRule="auto"/>
        <w:jc w:val="center"/>
        <w:rPr>
          <w:rFonts w:ascii="Georgia" w:hAnsi="Georgia" w:cs="Times"/>
          <w:sz w:val="22"/>
          <w:szCs w:val="22"/>
        </w:rPr>
      </w:pPr>
      <w:r>
        <w:rPr>
          <w:rFonts w:ascii="Georgia" w:hAnsi="Georgia" w:cs="Times"/>
          <w:sz w:val="22"/>
          <w:szCs w:val="22"/>
        </w:rPr>
        <w:t>π</w:t>
      </w:r>
      <w:r>
        <w:rPr>
          <w:rFonts w:ascii="Georgia" w:hAnsi="Georgia" w:cs="Times"/>
          <w:position w:val="-3"/>
          <w:sz w:val="22"/>
          <w:szCs w:val="22"/>
        </w:rPr>
        <w:t xml:space="preserve">k </w:t>
      </w:r>
      <w:r>
        <w:rPr>
          <w:rFonts w:ascii="Georgia" w:hAnsi="Georgia" w:cs="Times"/>
          <w:sz w:val="22"/>
          <w:szCs w:val="22"/>
        </w:rPr>
        <w:t>=C-G</w:t>
      </w:r>
    </w:p>
    <w:p w14:paraId="3C515143" w14:textId="77777777" w:rsidR="00B229AD" w:rsidRDefault="00B229AD" w:rsidP="00B229AD">
      <w:pPr>
        <w:spacing w:line="480" w:lineRule="auto"/>
        <w:rPr>
          <w:rFonts w:ascii="Georgia" w:hAnsi="Georgia"/>
          <w:sz w:val="22"/>
          <w:szCs w:val="22"/>
        </w:rPr>
      </w:pPr>
      <w:r>
        <w:rPr>
          <w:rFonts w:ascii="Georgia" w:hAnsi="Georgia" w:cs="Times"/>
          <w:sz w:val="22"/>
          <w:szCs w:val="22"/>
        </w:rPr>
        <w:t xml:space="preserve">where C was the concentration index (CI) </w:t>
      </w:r>
      <w:r>
        <w:rPr>
          <w:rFonts w:ascii="Georgia" w:hAnsi="Georgia" w:cs="Times" w:hint="eastAsia"/>
          <w:sz w:val="22"/>
          <w:szCs w:val="22"/>
        </w:rPr>
        <w:t>for</w:t>
      </w:r>
      <w:r>
        <w:rPr>
          <w:rFonts w:ascii="Georgia" w:hAnsi="Georgia" w:cs="Times"/>
          <w:sz w:val="22"/>
          <w:szCs w:val="22"/>
        </w:rPr>
        <w:t xml:space="preserve"> healthcare payments, </w:t>
      </w:r>
      <w:r>
        <w:rPr>
          <w:rFonts w:ascii="Georgia" w:hAnsi="Georgia" w:cs="Times" w:hint="eastAsia"/>
          <w:sz w:val="22"/>
          <w:szCs w:val="22"/>
        </w:rPr>
        <w:t>ranging</w:t>
      </w:r>
      <w:r>
        <w:rPr>
          <w:rFonts w:ascii="Georgia" w:hAnsi="Georgia" w:cs="Times"/>
          <w:sz w:val="22"/>
          <w:szCs w:val="22"/>
        </w:rPr>
        <w:t xml:space="preserve"> </w:t>
      </w:r>
      <w:r>
        <w:rPr>
          <w:rFonts w:ascii="Georgia" w:hAnsi="Georgia" w:cs="Times" w:hint="eastAsia"/>
          <w:sz w:val="22"/>
          <w:szCs w:val="22"/>
        </w:rPr>
        <w:t>from</w:t>
      </w:r>
      <w:r>
        <w:rPr>
          <w:rFonts w:ascii="Georgia" w:hAnsi="Georgia" w:cs="Times"/>
          <w:sz w:val="22"/>
          <w:szCs w:val="22"/>
        </w:rPr>
        <w:t xml:space="preserve"> -1 to 1. G </w:t>
      </w:r>
      <w:r>
        <w:rPr>
          <w:rFonts w:ascii="Georgia" w:hAnsi="Georgia" w:cs="Times" w:hint="eastAsia"/>
          <w:sz w:val="22"/>
          <w:szCs w:val="22"/>
        </w:rPr>
        <w:t>referred to the</w:t>
      </w:r>
      <w:r>
        <w:rPr>
          <w:rFonts w:ascii="Georgia" w:hAnsi="Georgia" w:cs="Times"/>
          <w:sz w:val="22"/>
          <w:szCs w:val="22"/>
        </w:rPr>
        <w:t xml:space="preserve"> Gini coefficient, with </w:t>
      </w:r>
      <w:r>
        <w:rPr>
          <w:rFonts w:ascii="Georgia" w:hAnsi="Georgia" w:cs="Times" w:hint="eastAsia"/>
          <w:sz w:val="22"/>
          <w:szCs w:val="22"/>
        </w:rPr>
        <w:t xml:space="preserve">a </w:t>
      </w:r>
      <w:r>
        <w:rPr>
          <w:rFonts w:ascii="Georgia" w:hAnsi="Georgia" w:cs="Times"/>
          <w:sz w:val="22"/>
          <w:szCs w:val="22"/>
        </w:rPr>
        <w:t xml:space="preserve">range </w:t>
      </w:r>
      <w:r>
        <w:rPr>
          <w:rFonts w:ascii="Georgia" w:hAnsi="Georgia" w:cs="Times" w:hint="eastAsia"/>
          <w:sz w:val="22"/>
          <w:szCs w:val="22"/>
        </w:rPr>
        <w:t xml:space="preserve">of </w:t>
      </w:r>
      <w:r>
        <w:rPr>
          <w:rFonts w:ascii="Georgia" w:hAnsi="Georgia" w:cs="Times"/>
          <w:sz w:val="22"/>
          <w:szCs w:val="22"/>
        </w:rPr>
        <w:t>0 to 1</w:t>
      </w:r>
      <w:r>
        <w:rPr>
          <w:rFonts w:ascii="Georgia" w:hAnsi="Georgia" w:cs="Times" w:hint="eastAsia"/>
          <w:sz w:val="22"/>
          <w:szCs w:val="22"/>
        </w:rPr>
        <w:t>.</w:t>
      </w:r>
      <w:r>
        <w:rPr>
          <w:rFonts w:ascii="Georgia" w:hAnsi="Georgia" w:cs="Times"/>
          <w:sz w:val="22"/>
          <w:szCs w:val="22"/>
        </w:rPr>
        <w:t xml:space="preserve"> </w:t>
      </w:r>
      <w:r>
        <w:rPr>
          <w:rFonts w:ascii="Georgia" w:hAnsi="Georgia" w:cs="Times" w:hint="eastAsia"/>
          <w:sz w:val="22"/>
          <w:szCs w:val="22"/>
        </w:rPr>
        <w:t xml:space="preserve"> Values</w:t>
      </w:r>
      <w:r>
        <w:rPr>
          <w:rFonts w:ascii="Georgia" w:hAnsi="Georgia" w:cs="Times"/>
          <w:sz w:val="22"/>
          <w:szCs w:val="22"/>
        </w:rPr>
        <w:t xml:space="preserve"> increas</w:t>
      </w:r>
      <w:r>
        <w:rPr>
          <w:rFonts w:ascii="Georgia" w:hAnsi="Georgia" w:cs="Times" w:hint="eastAsia"/>
          <w:sz w:val="22"/>
          <w:szCs w:val="22"/>
        </w:rPr>
        <w:t>ed</w:t>
      </w:r>
      <w:r>
        <w:rPr>
          <w:rFonts w:ascii="Georgia" w:hAnsi="Georgia" w:cs="Times"/>
          <w:sz w:val="22"/>
          <w:szCs w:val="22"/>
        </w:rPr>
        <w:t xml:space="preserve"> as inequality increased. The value of π</w:t>
      </w:r>
      <w:r>
        <w:rPr>
          <w:rFonts w:ascii="Georgia" w:hAnsi="Georgia" w:cs="Times"/>
          <w:position w:val="-3"/>
          <w:sz w:val="22"/>
          <w:szCs w:val="22"/>
        </w:rPr>
        <w:t xml:space="preserve">k was from -2 to 1. The positive value indicated a progressive system in healthcare spending, to the graph, the concentration curve lied outside </w:t>
      </w:r>
      <w:r>
        <w:rPr>
          <w:rFonts w:ascii="Georgia" w:hAnsi="Georgia" w:cs="Times" w:hint="eastAsia"/>
          <w:position w:val="-3"/>
          <w:sz w:val="22"/>
          <w:szCs w:val="22"/>
        </w:rPr>
        <w:t xml:space="preserve">of </w:t>
      </w:r>
      <w:r>
        <w:rPr>
          <w:rFonts w:ascii="Georgia" w:hAnsi="Georgia" w:cs="Times"/>
          <w:position w:val="-3"/>
          <w:sz w:val="22"/>
          <w:szCs w:val="22"/>
        </w:rPr>
        <w:t xml:space="preserve">the Lorenz curve, which meant the richer households paid more according to the ATP than poor households. While a negative value indicated a regressive spending, as the concentration curve lied inside </w:t>
      </w:r>
      <w:r>
        <w:rPr>
          <w:rFonts w:ascii="Georgia" w:hAnsi="Georgia" w:cs="Times" w:hint="eastAsia"/>
          <w:position w:val="-3"/>
          <w:sz w:val="22"/>
          <w:szCs w:val="22"/>
        </w:rPr>
        <w:t xml:space="preserve">of </w:t>
      </w:r>
      <w:r>
        <w:rPr>
          <w:rFonts w:ascii="Georgia" w:hAnsi="Georgia" w:cs="Times"/>
          <w:position w:val="-3"/>
          <w:sz w:val="22"/>
          <w:szCs w:val="22"/>
        </w:rPr>
        <w:t>the Lorenz curve</w:t>
      </w:r>
      <w:r>
        <w:rPr>
          <w:rFonts w:ascii="Georgia" w:hAnsi="Georgia" w:cs="Times" w:hint="eastAsia"/>
          <w:position w:val="-3"/>
          <w:sz w:val="22"/>
          <w:szCs w:val="22"/>
        </w:rPr>
        <w:t>(18)</w:t>
      </w:r>
      <w:r>
        <w:rPr>
          <w:rFonts w:ascii="Georgia" w:hAnsi="Georgia" w:cs="Times"/>
          <w:position w:val="-3"/>
          <w:sz w:val="22"/>
          <w:szCs w:val="22"/>
        </w:rPr>
        <w:fldChar w:fldCharType="begin"/>
      </w:r>
      <w:r>
        <w:rPr>
          <w:rFonts w:ascii="Georgia" w:hAnsi="Georgia" w:cs="Times"/>
          <w:position w:val="-3"/>
          <w:sz w:val="22"/>
          <w:szCs w:val="22"/>
        </w:rPr>
        <w:instrText xml:space="preserve"> ADDIN ZOTERO_ITEM CSL_CITATION {"citationID":"2ijbog49bg","properties":{"formattedCitation":"(44)","plainCitation":"(44)"},"citationItems":[{"id":244,"uris":["http://zotero.org/users/3016898/items/6AKBBK5X"],"uri":["http://zotero.org/users/3016898/items/6AKBBK5X"],"itemData":{"id":244,"type":"article-journal","title":"Maternal and neonatal health expenditure in mumbai slums (India): A cross sectional study","volume":"11","issue":"150","abstract":"Abstract\nBackground\n\nThe cost of maternity care can be a barrier to access that may increase maternal and neonatal mortality risk. We analyzed spending on maternity care in urban slum communities in Mumbai to better understand the equity of spending and the impact of spending on household poverty.\nMethods\n\nWe used expenditure data for maternal and neonatal care, collected during post-partum interviews. Interviews were conducted in 2005-2006, with a sample of 1200 slum residents in Mumbai (India). We analysed expenditure by socio-economic status (SES), calculating a Kakwani Index for a range of spending categories. We also calculated catastrophic health spending both with and without adjustment for coping strategies. This identified the level of catastrophic payments incurred by a household and the prevalence of catastrophic payments in this population. The analysis also gave an understanding of the protection from medical poverty afforded by coping strategies (for example saving and borrowing).\nResults\n\nA high proportion of respondents spent catastrophically on care. Lower SES was associated with a higher proportion of informal payments. Indirect health expenditure was found to be (weakly) regressive as the poorest were more likely to use wage income to meet health expenses, while the less poor were more likely to use savings. Overall, the incidence of catastrophic maternity expenditure was 41%, or 15% when controlling for coping strategies. We found no significant difference in the incidence of catastrophic spending across wealth quintiles, nor could we conclude that total expenditure is regressive.\nConclusions\n\nHigh expenditure as a proportion of household resources should alert policymakers to the burden of maternal spending in this context. Differences in informal payments, significantly regressive indirect spending and the use of savings versus wages to finance spending, all highlight the heavier burden borne by the most poor. If a policy objective is to increase institutional deliveries without forcing households deeper into poverty, these inequities will need to be addressed. Reducing out-of-pocket payments and better regulating informal payments should have direct benefits for the most poor. Alternatively, targeted schemes aimed at assisting the most poor in coping with maternal spending (including indirect spending) could reduce the household impact of high costs.","URL":"https://bmcpublichealth.biomedcentral.com/articles/10.1186/1471-2458-11-150","author":[{"family":"Jolene Skordis-WorrallEmail author, Noemi Pace, Ujwala Bapat, Sushmita Das, Neena S More, Wasundhara Joshi, Anni-Maria Pulkki-Brannstrom and David Osrin","given":""}]}}],"schema":"https://github.com/citation-style-language/schema/raw/master/csl-citation.json"} </w:instrText>
      </w:r>
      <w:r>
        <w:rPr>
          <w:rFonts w:ascii="Georgia" w:hAnsi="Georgia" w:cs="Times"/>
          <w:position w:val="-3"/>
          <w:sz w:val="22"/>
          <w:szCs w:val="22"/>
        </w:rPr>
        <w:fldChar w:fldCharType="separate"/>
      </w:r>
      <w:r>
        <w:rPr>
          <w:rFonts w:ascii="Georgia" w:hAnsi="Georgia" w:cs="Times"/>
          <w:position w:val="-3"/>
          <w:sz w:val="22"/>
          <w:szCs w:val="22"/>
        </w:rPr>
        <w:t>(27)</w:t>
      </w:r>
      <w:r>
        <w:rPr>
          <w:rFonts w:ascii="Georgia" w:hAnsi="Georgia" w:cs="Times"/>
          <w:position w:val="-3"/>
          <w:sz w:val="22"/>
          <w:szCs w:val="22"/>
        </w:rPr>
        <w:fldChar w:fldCharType="end"/>
      </w:r>
      <w:r>
        <w:rPr>
          <w:rFonts w:ascii="Georgia" w:hAnsi="Georgia" w:cs="Times"/>
          <w:position w:val="-3"/>
          <w:sz w:val="22"/>
          <w:szCs w:val="22"/>
        </w:rPr>
        <w:t xml:space="preserve">. </w:t>
      </w:r>
    </w:p>
    <w:p w14:paraId="16A75980" w14:textId="77777777" w:rsidR="00B229AD" w:rsidRDefault="00B229AD" w:rsidP="00B229AD">
      <w:pPr>
        <w:widowControl w:val="0"/>
        <w:autoSpaceDE w:val="0"/>
        <w:autoSpaceDN w:val="0"/>
        <w:adjustRightInd w:val="0"/>
        <w:spacing w:after="240" w:line="480" w:lineRule="auto"/>
        <w:rPr>
          <w:rFonts w:ascii="Georgia" w:hAnsi="Georgia" w:cs="Times"/>
          <w:sz w:val="22"/>
          <w:szCs w:val="22"/>
        </w:rPr>
      </w:pPr>
    </w:p>
    <w:p w14:paraId="2D213507" w14:textId="77777777" w:rsidR="00B229AD" w:rsidRDefault="00B229AD" w:rsidP="00B229AD">
      <w:pPr>
        <w:widowControl w:val="0"/>
        <w:autoSpaceDE w:val="0"/>
        <w:autoSpaceDN w:val="0"/>
        <w:adjustRightInd w:val="0"/>
        <w:spacing w:after="240" w:line="480" w:lineRule="auto"/>
        <w:rPr>
          <w:rFonts w:ascii="Georgia" w:hAnsi="Georgia" w:cs="Times"/>
          <w:sz w:val="22"/>
          <w:szCs w:val="22"/>
        </w:rPr>
      </w:pPr>
      <w:r>
        <w:rPr>
          <w:rFonts w:ascii="Georgia" w:hAnsi="Georgia" w:cs="Times"/>
          <w:sz w:val="22"/>
          <w:szCs w:val="22"/>
        </w:rPr>
        <w:t xml:space="preserve">As KI was the difference between CI and Gini coefficient, KI value could be computed by </w:t>
      </w:r>
      <w:r>
        <w:rPr>
          <w:rFonts w:ascii="Georgia" w:hAnsi="Georgia" w:cs="Times" w:hint="eastAsia"/>
          <w:sz w:val="22"/>
          <w:szCs w:val="22"/>
        </w:rPr>
        <w:t xml:space="preserve">the </w:t>
      </w:r>
      <w:r>
        <w:rPr>
          <w:rFonts w:ascii="Georgia" w:hAnsi="Georgia" w:cs="Times"/>
          <w:sz w:val="22"/>
          <w:szCs w:val="22"/>
        </w:rPr>
        <w:t>following OLS regression</w:t>
      </w:r>
      <w:r>
        <w:rPr>
          <w:rFonts w:ascii="Georgia" w:hAnsi="Georgia" w:cs="Times" w:hint="eastAsia"/>
          <w:sz w:val="22"/>
          <w:szCs w:val="22"/>
        </w:rPr>
        <w:t>(17)</w:t>
      </w:r>
      <w:r>
        <w:rPr>
          <w:rFonts w:ascii="Georgia" w:hAnsi="Georgia" w:cs="Times"/>
          <w:sz w:val="22"/>
          <w:szCs w:val="22"/>
        </w:rPr>
        <w:fldChar w:fldCharType="begin"/>
      </w:r>
      <w:r>
        <w:rPr>
          <w:rFonts w:ascii="Georgia" w:hAnsi="Georgia" w:cs="Times"/>
          <w:sz w:val="22"/>
          <w:szCs w:val="22"/>
        </w:rPr>
        <w:instrText xml:space="preserve"> ADDIN ZOTERO_ITEM CSL_CITATION {"citationID":"2mro0hdqs0","properties":{"formattedCitation":"(38)","plainCitation":"(38)"},"citationItems":[{"id":342,"uris":["http://zotero.org/users/3016898/items/AHGEXSE4"],"uri":["http://zotero.org/users/3016898/items/AHGEXSE4"],"itemData":{"id":342,"type":"book","title":"Analyzing Health Equity Using Household Survey Data","collection-title":"WBI Learning Reources Series","number-of-pages":"234","edition":"The world bank","URL":"http://siteresources.worldbank.org/INTPAH/Resources/Publications/459843-1195594469249/HealthEquityCh7.pdf","ISBN":"978-0-8213-6933-3","shortTitle":"A guide to Techniques and Their Implementation","language":"English","author":[{"family":"Owen","given":"O'Donnell"},{"family":"Eddy Van","given":"Doorslaer"},{"family":"Adam","given":"Wagstaff"},{"family":"Magnus","given":"Lindelow"}],"accessed":{"date-parts":[["2017",4,21]]}}}],"schema":"https://github.com/citation-style-language/schema/raw/master/csl-citation.json"} </w:instrText>
      </w:r>
      <w:r>
        <w:rPr>
          <w:rFonts w:ascii="Georgia" w:hAnsi="Georgia" w:cs="Times"/>
          <w:sz w:val="22"/>
          <w:szCs w:val="22"/>
        </w:rPr>
        <w:fldChar w:fldCharType="separate"/>
      </w:r>
      <w:r>
        <w:rPr>
          <w:rFonts w:ascii="Georgia" w:hAnsi="Georgia" w:cs="Times"/>
          <w:sz w:val="22"/>
          <w:szCs w:val="22"/>
        </w:rPr>
        <w:t>(27)</w:t>
      </w:r>
      <w:r>
        <w:rPr>
          <w:rFonts w:ascii="Georgia" w:hAnsi="Georgia" w:cs="Times"/>
          <w:sz w:val="22"/>
          <w:szCs w:val="22"/>
        </w:rPr>
        <w:fldChar w:fldCharType="end"/>
      </w:r>
      <w:r>
        <w:rPr>
          <w:rFonts w:ascii="Georgia" w:hAnsi="Georgia" w:cs="Times"/>
          <w:sz w:val="22"/>
          <w:szCs w:val="22"/>
        </w:rPr>
        <w:t>:</w:t>
      </w:r>
    </w:p>
    <w:p w14:paraId="6DFC29DA" w14:textId="77777777" w:rsidR="00B229AD" w:rsidRDefault="00B229AD" w:rsidP="00B229AD">
      <w:pPr>
        <w:widowControl w:val="0"/>
        <w:autoSpaceDE w:val="0"/>
        <w:autoSpaceDN w:val="0"/>
        <w:adjustRightInd w:val="0"/>
        <w:spacing w:after="240" w:line="480" w:lineRule="auto"/>
        <w:jc w:val="center"/>
        <w:outlineLvl w:val="0"/>
        <w:rPr>
          <w:rFonts w:ascii="Georgia" w:hAnsi="Georgia" w:cs="Times"/>
          <w:sz w:val="22"/>
          <w:szCs w:val="22"/>
        </w:rPr>
      </w:pPr>
      <m:oMath>
        <m:r>
          <w:rPr>
            <w:rFonts w:ascii="Cambria Math" w:hAnsi="Cambria Math" w:cs="Times"/>
            <w:sz w:val="22"/>
            <w:szCs w:val="22"/>
          </w:rPr>
          <m:t>2</m:t>
        </m:r>
        <m:sSubSup>
          <m:sSubSupPr>
            <m:ctrlPr>
              <w:rPr>
                <w:rFonts w:ascii="Cambria Math" w:hAnsi="Cambria Math" w:cs="Times"/>
                <w:i/>
                <w:sz w:val="22"/>
                <w:szCs w:val="22"/>
              </w:rPr>
            </m:ctrlPr>
          </m:sSubSupPr>
          <m:e>
            <m:r>
              <w:rPr>
                <w:rFonts w:ascii="Cambria Math" w:hAnsi="Cambria Math" w:cs="Times"/>
                <w:sz w:val="22"/>
                <w:szCs w:val="22"/>
              </w:rPr>
              <m:t>σ</m:t>
            </m:r>
          </m:e>
          <m:sub>
            <m:r>
              <w:rPr>
                <w:rFonts w:ascii="Cambria Math" w:hAnsi="Cambria Math" w:cs="Times"/>
                <w:sz w:val="22"/>
                <w:szCs w:val="22"/>
              </w:rPr>
              <m:t>r</m:t>
            </m:r>
          </m:sub>
          <m:sup>
            <m:r>
              <w:rPr>
                <w:rFonts w:ascii="Cambria Math" w:hAnsi="Cambria Math" w:cs="Times"/>
                <w:sz w:val="22"/>
                <w:szCs w:val="22"/>
              </w:rPr>
              <m:t>2</m:t>
            </m:r>
          </m:sup>
        </m:sSubSup>
        <m:r>
          <w:rPr>
            <w:rFonts w:ascii="Cambria Math" w:hAnsi="Cambria Math" w:cs="Times"/>
            <w:sz w:val="22"/>
            <w:szCs w:val="22"/>
          </w:rPr>
          <m:t>[</m:t>
        </m:r>
        <m:f>
          <m:fPr>
            <m:ctrlPr>
              <w:rPr>
                <w:rFonts w:ascii="Cambria Math" w:hAnsi="Cambria Math" w:cs="Times"/>
                <w:i/>
                <w:sz w:val="22"/>
                <w:szCs w:val="22"/>
              </w:rPr>
            </m:ctrlPr>
          </m:fPr>
          <m:num>
            <m:sSub>
              <m:sSubPr>
                <m:ctrlPr>
                  <w:rPr>
                    <w:rFonts w:ascii="Cambria Math" w:hAnsi="Cambria Math" w:cs="Times"/>
                    <w:i/>
                    <w:sz w:val="22"/>
                    <w:szCs w:val="22"/>
                  </w:rPr>
                </m:ctrlPr>
              </m:sSubPr>
              <m:e>
                <m:r>
                  <w:rPr>
                    <w:rFonts w:ascii="Cambria Math" w:hAnsi="Cambria Math" w:cs="Times"/>
                    <w:sz w:val="22"/>
                    <w:szCs w:val="22"/>
                  </w:rPr>
                  <m:t>h</m:t>
                </m:r>
              </m:e>
              <m:sub>
                <m:r>
                  <w:rPr>
                    <w:rFonts w:ascii="Cambria Math" w:hAnsi="Cambria Math" w:cs="Times"/>
                    <w:sz w:val="22"/>
                    <w:szCs w:val="22"/>
                  </w:rPr>
                  <m:t>i</m:t>
                </m:r>
              </m:sub>
            </m:sSub>
          </m:num>
          <m:den>
            <m:r>
              <w:rPr>
                <w:rFonts w:ascii="Cambria Math" w:hAnsi="Cambria Math" w:cs="Times"/>
                <w:sz w:val="22"/>
                <w:szCs w:val="22"/>
              </w:rPr>
              <m:t>η</m:t>
            </m:r>
          </m:den>
        </m:f>
        <m:r>
          <w:rPr>
            <w:rFonts w:ascii="Cambria Math" w:hAnsi="Cambria Math" w:cs="Times"/>
            <w:sz w:val="22"/>
            <w:szCs w:val="22"/>
          </w:rPr>
          <m:t>-</m:t>
        </m:r>
        <m:f>
          <m:fPr>
            <m:ctrlPr>
              <w:rPr>
                <w:rFonts w:ascii="Cambria Math" w:hAnsi="Cambria Math" w:cs="Times"/>
                <w:i/>
                <w:sz w:val="22"/>
                <w:szCs w:val="22"/>
              </w:rPr>
            </m:ctrlPr>
          </m:fPr>
          <m:num>
            <m:sSub>
              <m:sSubPr>
                <m:ctrlPr>
                  <w:rPr>
                    <w:rFonts w:ascii="Cambria Math" w:hAnsi="Cambria Math" w:cs="Times"/>
                    <w:i/>
                    <w:sz w:val="22"/>
                    <w:szCs w:val="22"/>
                  </w:rPr>
                </m:ctrlPr>
              </m:sSubPr>
              <m:e>
                <m:r>
                  <w:rPr>
                    <w:rFonts w:ascii="Cambria Math" w:hAnsi="Cambria Math" w:cs="Times"/>
                    <w:sz w:val="22"/>
                    <w:szCs w:val="22"/>
                  </w:rPr>
                  <m:t>y</m:t>
                </m:r>
              </m:e>
              <m:sub>
                <m:r>
                  <w:rPr>
                    <w:rFonts w:ascii="Cambria Math" w:hAnsi="Cambria Math" w:cs="Times"/>
                    <w:sz w:val="22"/>
                    <w:szCs w:val="22"/>
                  </w:rPr>
                  <m:t>i</m:t>
                </m:r>
              </m:sub>
            </m:sSub>
          </m:num>
          <m:den>
            <m:r>
              <w:rPr>
                <w:rFonts w:ascii="Cambria Math" w:hAnsi="Cambria Math" w:cs="Times"/>
                <w:sz w:val="22"/>
                <w:szCs w:val="22"/>
              </w:rPr>
              <m:t>μ</m:t>
            </m:r>
          </m:den>
        </m:f>
      </m:oMath>
      <w:r>
        <w:rPr>
          <w:rFonts w:ascii="Georgia" w:hAnsi="Georgia" w:cs="Times"/>
          <w:sz w:val="22"/>
          <w:szCs w:val="22"/>
        </w:rPr>
        <w:t>]=</w:t>
      </w:r>
      <m:oMath>
        <m:r>
          <w:rPr>
            <w:rFonts w:ascii="Cambria Math" w:hAnsi="Cambria Math" w:cs="Times"/>
            <w:sz w:val="22"/>
            <w:szCs w:val="22"/>
          </w:rPr>
          <m:t>α+θ</m:t>
        </m:r>
        <m:sSub>
          <m:sSubPr>
            <m:ctrlPr>
              <w:rPr>
                <w:rFonts w:ascii="Cambria Math" w:hAnsi="Cambria Math" w:cs="Times"/>
                <w:i/>
                <w:sz w:val="22"/>
                <w:szCs w:val="22"/>
              </w:rPr>
            </m:ctrlPr>
          </m:sSubPr>
          <m:e>
            <m:r>
              <w:rPr>
                <w:rFonts w:ascii="Cambria Math" w:hAnsi="Cambria Math" w:cs="Times"/>
                <w:sz w:val="22"/>
                <w:szCs w:val="22"/>
              </w:rPr>
              <m:t>R</m:t>
            </m:r>
          </m:e>
          <m:sub>
            <m:r>
              <w:rPr>
                <w:rFonts w:ascii="Cambria Math" w:hAnsi="Cambria Math" w:cs="Times"/>
                <w:sz w:val="22"/>
                <w:szCs w:val="22"/>
              </w:rPr>
              <m:t>i</m:t>
            </m:r>
          </m:sub>
        </m:sSub>
        <m:r>
          <w:rPr>
            <w:rFonts w:ascii="Cambria Math" w:hAnsi="Cambria Math" w:cs="Times"/>
            <w:sz w:val="22"/>
            <w:szCs w:val="22"/>
          </w:rPr>
          <m:t>+</m:t>
        </m:r>
        <m:sSub>
          <m:sSubPr>
            <m:ctrlPr>
              <w:rPr>
                <w:rFonts w:ascii="Cambria Math" w:hAnsi="Cambria Math" w:cs="Times"/>
                <w:i/>
                <w:sz w:val="22"/>
                <w:szCs w:val="22"/>
              </w:rPr>
            </m:ctrlPr>
          </m:sSubPr>
          <m:e>
            <m:r>
              <w:rPr>
                <w:rFonts w:ascii="Cambria Math" w:hAnsi="Cambria Math" w:cs="Times"/>
                <w:sz w:val="22"/>
                <w:szCs w:val="22"/>
              </w:rPr>
              <m:t>ε</m:t>
            </m:r>
          </m:e>
          <m:sub>
            <m:r>
              <w:rPr>
                <w:rFonts w:ascii="Cambria Math" w:hAnsi="Cambria Math" w:cs="Times"/>
                <w:sz w:val="22"/>
                <w:szCs w:val="22"/>
              </w:rPr>
              <m:t>i</m:t>
            </m:r>
          </m:sub>
        </m:sSub>
      </m:oMath>
    </w:p>
    <w:p w14:paraId="7DDE8801" w14:textId="77777777" w:rsidR="00B229AD" w:rsidRDefault="00B229AD" w:rsidP="00B229AD">
      <w:pPr>
        <w:widowControl w:val="0"/>
        <w:autoSpaceDE w:val="0"/>
        <w:autoSpaceDN w:val="0"/>
        <w:adjustRightInd w:val="0"/>
        <w:spacing w:after="240" w:line="480" w:lineRule="auto"/>
        <w:rPr>
          <w:rFonts w:ascii="Georgia" w:hAnsi="Georgia" w:cs="Times"/>
          <w:sz w:val="22"/>
          <w:szCs w:val="22"/>
        </w:rPr>
      </w:pPr>
      <w:r>
        <w:rPr>
          <w:rFonts w:ascii="Georgia" w:hAnsi="Georgia" w:cs="Times"/>
          <w:sz w:val="22"/>
          <w:szCs w:val="22"/>
        </w:rPr>
        <w:lastRenderedPageBreak/>
        <w:t xml:space="preserve">where </w:t>
      </w:r>
      <m:oMath>
        <m:sSub>
          <m:sSubPr>
            <m:ctrlPr>
              <w:rPr>
                <w:rFonts w:ascii="Cambria Math" w:hAnsi="Cambria Math" w:cs="Times"/>
                <w:i/>
                <w:sz w:val="22"/>
                <w:szCs w:val="22"/>
              </w:rPr>
            </m:ctrlPr>
          </m:sSubPr>
          <m:e>
            <m:r>
              <w:rPr>
                <w:rFonts w:ascii="Cambria Math" w:hAnsi="Cambria Math" w:cs="Times"/>
                <w:sz w:val="22"/>
                <w:szCs w:val="22"/>
              </w:rPr>
              <m:t>h</m:t>
            </m:r>
          </m:e>
          <m:sub>
            <m:r>
              <w:rPr>
                <w:rFonts w:ascii="Cambria Math" w:hAnsi="Cambria Math" w:cs="Times"/>
                <w:sz w:val="22"/>
                <w:szCs w:val="22"/>
              </w:rPr>
              <m:t>i</m:t>
            </m:r>
          </m:sub>
        </m:sSub>
      </m:oMath>
      <w:r>
        <w:rPr>
          <w:rFonts w:ascii="Georgia" w:hAnsi="Georgia" w:cs="Times"/>
          <w:sz w:val="22"/>
          <w:szCs w:val="22"/>
        </w:rPr>
        <w:t xml:space="preserve"> was a health payment variable for household i and </w:t>
      </w:r>
      <m:oMath>
        <m:r>
          <w:rPr>
            <w:rFonts w:ascii="Cambria Math" w:hAnsi="Cambria Math" w:cs="Times"/>
            <w:sz w:val="22"/>
            <w:szCs w:val="22"/>
          </w:rPr>
          <m:t>η</m:t>
        </m:r>
      </m:oMath>
      <w:r>
        <w:rPr>
          <w:rFonts w:ascii="Georgia" w:hAnsi="Georgia" w:cs="Times"/>
          <w:sz w:val="22"/>
          <w:szCs w:val="22"/>
        </w:rPr>
        <w:t xml:space="preserve"> is the mean, </w:t>
      </w:r>
      <m:oMath>
        <m:sSub>
          <m:sSubPr>
            <m:ctrlPr>
              <w:rPr>
                <w:rFonts w:ascii="Cambria Math" w:hAnsi="Cambria Math" w:cs="Times"/>
                <w:i/>
                <w:sz w:val="22"/>
                <w:szCs w:val="22"/>
              </w:rPr>
            </m:ctrlPr>
          </m:sSubPr>
          <m:e>
            <m:r>
              <w:rPr>
                <w:rFonts w:ascii="Cambria Math" w:hAnsi="Cambria Math" w:cs="Times"/>
                <w:sz w:val="22"/>
                <w:szCs w:val="22"/>
              </w:rPr>
              <m:t>y</m:t>
            </m:r>
          </m:e>
          <m:sub>
            <m:r>
              <w:rPr>
                <w:rFonts w:ascii="Cambria Math" w:hAnsi="Cambria Math" w:cs="Times"/>
                <w:sz w:val="22"/>
                <w:szCs w:val="22"/>
              </w:rPr>
              <m:t>i</m:t>
            </m:r>
          </m:sub>
        </m:sSub>
      </m:oMath>
      <w:r>
        <w:rPr>
          <w:rFonts w:ascii="Georgia" w:hAnsi="Georgia" w:cs="Times"/>
          <w:sz w:val="22"/>
          <w:szCs w:val="22"/>
        </w:rPr>
        <w:t xml:space="preserve"> was the ATP variable and </w:t>
      </w:r>
      <m:oMath>
        <m:r>
          <w:rPr>
            <w:rFonts w:ascii="Cambria Math" w:hAnsi="Cambria Math" w:cs="Times"/>
            <w:sz w:val="22"/>
            <w:szCs w:val="22"/>
          </w:rPr>
          <m:t xml:space="preserve">μ </m:t>
        </m:r>
      </m:oMath>
      <w:r>
        <w:rPr>
          <w:rFonts w:ascii="Georgia" w:hAnsi="Georgia" w:cs="Times"/>
          <w:sz w:val="22"/>
          <w:szCs w:val="22"/>
        </w:rPr>
        <w:t xml:space="preserve">was its </w:t>
      </w:r>
      <w:proofErr w:type="gramStart"/>
      <w:r>
        <w:rPr>
          <w:rFonts w:ascii="Georgia" w:hAnsi="Georgia" w:cs="Times"/>
          <w:sz w:val="22"/>
          <w:szCs w:val="22"/>
        </w:rPr>
        <w:t>mean.</w:t>
      </w:r>
      <w:proofErr w:type="gramEnd"/>
      <w:r>
        <w:rPr>
          <w:rFonts w:ascii="Georgia" w:hAnsi="Georgia" w:cs="Times"/>
          <w:sz w:val="22"/>
          <w:szCs w:val="22"/>
        </w:rPr>
        <w:t xml:space="preserve"> </w:t>
      </w:r>
      <m:oMath>
        <m:sSub>
          <m:sSubPr>
            <m:ctrlPr>
              <w:rPr>
                <w:rFonts w:ascii="Cambria Math" w:hAnsi="Cambria Math" w:cs="Times"/>
                <w:i/>
                <w:sz w:val="22"/>
                <w:szCs w:val="22"/>
              </w:rPr>
            </m:ctrlPr>
          </m:sSubPr>
          <m:e>
            <m:r>
              <w:rPr>
                <w:rFonts w:ascii="Cambria Math" w:hAnsi="Cambria Math" w:cs="Times"/>
                <w:sz w:val="22"/>
                <w:szCs w:val="22"/>
              </w:rPr>
              <m:t>R</m:t>
            </m:r>
          </m:e>
          <m:sub>
            <m:r>
              <w:rPr>
                <w:rFonts w:ascii="Cambria Math" w:hAnsi="Cambria Math" w:cs="Times"/>
                <w:sz w:val="22"/>
                <w:szCs w:val="22"/>
              </w:rPr>
              <m:t>i</m:t>
            </m:r>
          </m:sub>
        </m:sSub>
      </m:oMath>
      <w:r>
        <w:rPr>
          <w:rFonts w:ascii="Georgia" w:hAnsi="Georgia" w:cs="Times"/>
          <w:sz w:val="22"/>
          <w:szCs w:val="22"/>
        </w:rPr>
        <w:t xml:space="preserve"> was the household rank</w:t>
      </w:r>
      <w:proofErr w:type="spellStart"/>
      <w:r>
        <w:rPr>
          <w:rFonts w:ascii="Georgia" w:hAnsi="Georgia" w:cs="Times" w:hint="eastAsia"/>
          <w:sz w:val="22"/>
          <w:szCs w:val="22"/>
        </w:rPr>
        <w:t>ing</w:t>
      </w:r>
      <w:proofErr w:type="spellEnd"/>
      <w:r>
        <w:rPr>
          <w:rFonts w:ascii="Georgia" w:hAnsi="Georgia" w:cs="Times"/>
          <w:sz w:val="22"/>
          <w:szCs w:val="22"/>
        </w:rPr>
        <w:t xml:space="preserve"> in ATP distribution and </w:t>
      </w:r>
      <m:oMath>
        <m:sSubSup>
          <m:sSubSupPr>
            <m:ctrlPr>
              <w:rPr>
                <w:rFonts w:ascii="Cambria Math" w:hAnsi="Cambria Math" w:cs="Times"/>
                <w:i/>
                <w:sz w:val="22"/>
                <w:szCs w:val="22"/>
              </w:rPr>
            </m:ctrlPr>
          </m:sSubSupPr>
          <m:e>
            <m:r>
              <w:rPr>
                <w:rFonts w:ascii="Cambria Math" w:hAnsi="Cambria Math" w:cs="Times"/>
                <w:sz w:val="22"/>
                <w:szCs w:val="22"/>
              </w:rPr>
              <m:t>σ</m:t>
            </m:r>
          </m:e>
          <m:sub>
            <m:r>
              <w:rPr>
                <w:rFonts w:ascii="Cambria Math" w:hAnsi="Cambria Math" w:cs="Times"/>
                <w:sz w:val="22"/>
                <w:szCs w:val="22"/>
              </w:rPr>
              <m:t>r</m:t>
            </m:r>
          </m:sub>
          <m:sup>
            <m:r>
              <w:rPr>
                <w:rFonts w:ascii="Cambria Math" w:hAnsi="Cambria Math" w:cs="Times"/>
                <w:sz w:val="22"/>
                <w:szCs w:val="22"/>
              </w:rPr>
              <m:t>2</m:t>
            </m:r>
          </m:sup>
        </m:sSubSup>
      </m:oMath>
      <w:r>
        <w:rPr>
          <w:rFonts w:ascii="Georgia" w:hAnsi="Georgia" w:cs="Times"/>
          <w:sz w:val="22"/>
          <w:szCs w:val="22"/>
        </w:rPr>
        <w:t xml:space="preserve"> was </w:t>
      </w:r>
      <w:r>
        <w:rPr>
          <w:rFonts w:ascii="Georgia" w:hAnsi="Georgia" w:cs="Times" w:hint="eastAsia"/>
          <w:sz w:val="22"/>
          <w:szCs w:val="22"/>
        </w:rPr>
        <w:t xml:space="preserve">a </w:t>
      </w:r>
      <w:r>
        <w:rPr>
          <w:rFonts w:ascii="Georgia" w:hAnsi="Georgia" w:cs="Times"/>
          <w:sz w:val="22"/>
          <w:szCs w:val="22"/>
        </w:rPr>
        <w:t>sample variance of fractional rank</w:t>
      </w:r>
      <w:r>
        <w:rPr>
          <w:rFonts w:ascii="Georgia" w:hAnsi="Georgia" w:cs="Times" w:hint="eastAsia"/>
          <w:sz w:val="22"/>
          <w:szCs w:val="22"/>
        </w:rPr>
        <w:t>ing</w:t>
      </w:r>
      <w:r>
        <w:rPr>
          <w:rFonts w:ascii="Georgia" w:hAnsi="Georgia" w:cs="Times"/>
          <w:sz w:val="22"/>
          <w:szCs w:val="22"/>
        </w:rPr>
        <w:t xml:space="preserve">. </w:t>
      </w:r>
      <w:r>
        <w:rPr>
          <w:rFonts w:ascii="Georgia" w:hAnsi="Georgia" w:cs="Times" w:hint="eastAsia"/>
          <w:sz w:val="22"/>
          <w:szCs w:val="22"/>
        </w:rPr>
        <w:t>I</w:t>
      </w:r>
      <w:r>
        <w:rPr>
          <w:rFonts w:ascii="Georgia" w:hAnsi="Georgia" w:cs="Times"/>
          <w:sz w:val="22"/>
          <w:szCs w:val="22"/>
        </w:rPr>
        <w:t xml:space="preserve">n </w:t>
      </w:r>
      <w:r>
        <w:rPr>
          <w:rFonts w:ascii="Georgia" w:hAnsi="Georgia" w:cs="Times" w:hint="eastAsia"/>
          <w:sz w:val="22"/>
          <w:szCs w:val="22"/>
        </w:rPr>
        <w:t>this formula,</w:t>
      </w:r>
      <w:r>
        <w:rPr>
          <w:rFonts w:ascii="Georgia" w:hAnsi="Georgia" w:cs="Times"/>
          <w:sz w:val="22"/>
          <w:szCs w:val="22"/>
        </w:rPr>
        <w:t xml:space="preserve"> </w:t>
      </w:r>
      <m:oMath>
        <m:r>
          <w:rPr>
            <w:rFonts w:ascii="Cambria Math" w:hAnsi="Cambria Math" w:cs="Times"/>
            <w:sz w:val="22"/>
            <w:szCs w:val="22"/>
          </w:rPr>
          <m:t>θ</m:t>
        </m:r>
      </m:oMath>
      <w:r>
        <w:rPr>
          <w:rFonts w:ascii="Georgia" w:hAnsi="Georgia" w:cs="Times"/>
          <w:sz w:val="22"/>
          <w:szCs w:val="22"/>
        </w:rPr>
        <w:t xml:space="preserve"> was estimated for KI</w:t>
      </w:r>
      <w:r>
        <w:rPr>
          <w:rFonts w:ascii="Georgia" w:hAnsi="Georgia" w:cs="Times" w:hint="eastAsia"/>
          <w:sz w:val="22"/>
          <w:szCs w:val="22"/>
        </w:rPr>
        <w:t xml:space="preserve"> value</w:t>
      </w:r>
      <w:r>
        <w:rPr>
          <w:rFonts w:ascii="Georgia" w:hAnsi="Georgia" w:cs="Times"/>
          <w:sz w:val="22"/>
          <w:szCs w:val="22"/>
        </w:rPr>
        <w:t>.</w:t>
      </w:r>
      <w:r>
        <w:rPr>
          <w:rFonts w:ascii="Georgia" w:hAnsi="Georgia" w:cs="Times" w:hint="eastAsia"/>
          <w:sz w:val="22"/>
          <w:szCs w:val="22"/>
        </w:rPr>
        <w:t xml:space="preserve"> </w:t>
      </w:r>
    </w:p>
    <w:p w14:paraId="5D147949" w14:textId="77777777" w:rsidR="00B229AD" w:rsidRPr="00BE3001" w:rsidRDefault="00B229AD" w:rsidP="00B229AD">
      <w:pPr>
        <w:widowControl w:val="0"/>
        <w:autoSpaceDE w:val="0"/>
        <w:autoSpaceDN w:val="0"/>
        <w:adjustRightInd w:val="0"/>
        <w:spacing w:after="240" w:line="480" w:lineRule="auto"/>
        <w:rPr>
          <w:rFonts w:ascii="Georgia" w:hAnsi="Georgia" w:cs="Times"/>
          <w:sz w:val="22"/>
          <w:szCs w:val="22"/>
        </w:rPr>
      </w:pPr>
      <w:r>
        <w:rPr>
          <w:rFonts w:ascii="Georgia" w:hAnsi="Georgia" w:cs="Times"/>
          <w:sz w:val="22"/>
          <w:szCs w:val="22"/>
        </w:rPr>
        <w:t>Sampling weights were included for all the analysis. Statistical software STATA 14.0 was applied in this study.</w:t>
      </w:r>
    </w:p>
    <w:p w14:paraId="0E5B1410" w14:textId="77777777" w:rsidR="00386883" w:rsidRDefault="00B229AD"/>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9AD"/>
    <w:rsid w:val="00316534"/>
    <w:rsid w:val="00B229AD"/>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4CA80"/>
  <w15:chartTrackingRefBased/>
  <w15:docId w15:val="{CC976A66-E69C-4DB2-B711-B6B71D77F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9AD"/>
    <w:pPr>
      <w:spacing w:after="0" w:line="240" w:lineRule="auto"/>
    </w:pPr>
    <w:rPr>
      <w:rFonts w:eastAsiaTheme="minorEastAsia"/>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6038</Words>
  <Characters>34421</Characters>
  <Application>Microsoft Office Word</Application>
  <DocSecurity>0</DocSecurity>
  <Lines>286</Lines>
  <Paragraphs>80</Paragraphs>
  <ScaleCrop>false</ScaleCrop>
  <Company/>
  <LinksUpToDate>false</LinksUpToDate>
  <CharactersWithSpaces>40379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2020-06-09T17:55:00Z</dcterms:created>
  <dcterms:modified xsi:type="dcterms:W3CDTF">2020-06-09T17:56:00Z</dcterms:modified>
</cp:coreProperties>
</file>