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b/>
          <w:u w:val="single"/>
          <w:lang w:val="en-US"/>
        </w:rPr>
      </w:pPr>
      <w:r w:rsidRPr="008E2F98">
        <w:rPr>
          <w:rFonts w:ascii="Calibri" w:eastAsia="Calibri" w:hAnsi="Calibri" w:cs="Calibri"/>
          <w:b/>
          <w:u w:val="single"/>
          <w:lang w:val="en-US"/>
        </w:rPr>
        <w:t>Supplementary Material</w:t>
      </w:r>
    </w:p>
    <w:p w:rsidR="005177DB" w:rsidRPr="008E2F98" w:rsidRDefault="005177DB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t>Time trends in the incidence of cardiovascular disease, hypertension, and diabetes by socioeconomic status in Spain</w:t>
      </w:r>
    </w:p>
    <w:p w:rsidR="005177DB" w:rsidRPr="008E2F98" w:rsidRDefault="005177DB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8E2F98">
        <w:rPr>
          <w:rFonts w:ascii="Calibri" w:eastAsia="Calibri" w:hAnsi="Calibri" w:cs="Calibri"/>
          <w:lang w:val="en-US"/>
        </w:rPr>
        <w:t>Matthew Bennett</w:t>
      </w:r>
      <w:r w:rsidRPr="008E2F98">
        <w:rPr>
          <w:rFonts w:ascii="Calibri" w:eastAsia="Calibri" w:hAnsi="Calibri" w:cs="Calibri"/>
          <w:vertAlign w:val="superscript"/>
          <w:lang w:val="en-US"/>
        </w:rPr>
        <w:t>1</w:t>
      </w:r>
      <w:proofErr w:type="gramStart"/>
      <w:r w:rsidRPr="008E2F98">
        <w:rPr>
          <w:rFonts w:ascii="Calibri" w:eastAsia="Calibri" w:hAnsi="Calibri" w:cs="Calibri"/>
          <w:vertAlign w:val="superscript"/>
          <w:lang w:val="en-US"/>
        </w:rPr>
        <w:t>,2</w:t>
      </w:r>
      <w:proofErr w:type="gramEnd"/>
      <w:r w:rsidRPr="008E2F98">
        <w:rPr>
          <w:rFonts w:ascii="Calibri" w:eastAsia="Calibri" w:hAnsi="Calibri" w:cs="Calibri"/>
          <w:lang w:val="en-US"/>
        </w:rPr>
        <w:t>, Andrea Pistillo</w:t>
      </w:r>
      <w:r w:rsidRPr="008E2F98">
        <w:rPr>
          <w:rFonts w:ascii="Calibri" w:eastAsia="Calibri" w:hAnsi="Calibri" w:cs="Calibri"/>
          <w:vertAlign w:val="superscript"/>
          <w:lang w:val="en-US"/>
        </w:rPr>
        <w:t>1</w:t>
      </w:r>
      <w:r w:rsidRPr="008E2F98">
        <w:rPr>
          <w:rFonts w:ascii="Calibri" w:eastAsia="Calibri" w:hAnsi="Calibri" w:cs="Calibri"/>
          <w:lang w:val="en-US"/>
        </w:rPr>
        <w:t>, Martina Recalde</w:t>
      </w:r>
      <w:r w:rsidRPr="008E2F98">
        <w:rPr>
          <w:rFonts w:ascii="Calibri" w:eastAsia="Calibri" w:hAnsi="Calibri" w:cs="Calibri"/>
          <w:vertAlign w:val="superscript"/>
          <w:lang w:val="en-US"/>
        </w:rPr>
        <w:t>1,2</w:t>
      </w:r>
      <w:r w:rsidRPr="008E2F98">
        <w:rPr>
          <w:rFonts w:ascii="Calibri" w:eastAsia="Calibri" w:hAnsi="Calibri" w:cs="Calibri"/>
          <w:lang w:val="en-US"/>
        </w:rPr>
        <w:t>, Carlen Reyes</w:t>
      </w:r>
      <w:r w:rsidRPr="008E2F98">
        <w:rPr>
          <w:rFonts w:ascii="Calibri" w:eastAsia="Calibri" w:hAnsi="Calibri" w:cs="Calibri"/>
          <w:vertAlign w:val="superscript"/>
          <w:lang w:val="en-US"/>
        </w:rPr>
        <w:t>1</w:t>
      </w:r>
      <w:r w:rsidRPr="008E2F98">
        <w:rPr>
          <w:rFonts w:ascii="Calibri" w:eastAsia="Calibri" w:hAnsi="Calibri" w:cs="Calibri"/>
          <w:lang w:val="en-US"/>
        </w:rPr>
        <w:t>, Heinz Freisling</w:t>
      </w:r>
      <w:r w:rsidRPr="008E2F98">
        <w:rPr>
          <w:rFonts w:ascii="Calibri" w:eastAsia="Calibri" w:hAnsi="Calibri" w:cs="Calibri"/>
          <w:vertAlign w:val="superscript"/>
          <w:lang w:val="en-US"/>
        </w:rPr>
        <w:t>3</w:t>
      </w:r>
      <w:r w:rsidRPr="008E2F98">
        <w:rPr>
          <w:rFonts w:ascii="Calibri" w:eastAsia="Calibri" w:hAnsi="Calibri" w:cs="Calibri"/>
          <w:lang w:val="en-US"/>
        </w:rPr>
        <w:t>*, Talita Duarte-Salles</w:t>
      </w:r>
      <w:r w:rsidRPr="008E2F98">
        <w:rPr>
          <w:rFonts w:ascii="Calibri" w:eastAsia="Calibri" w:hAnsi="Calibri" w:cs="Calibri"/>
          <w:vertAlign w:val="superscript"/>
          <w:lang w:val="en-US"/>
        </w:rPr>
        <w:t>1</w:t>
      </w:r>
      <w:r w:rsidRPr="008E2F98">
        <w:rPr>
          <w:rFonts w:ascii="Calibri" w:eastAsia="Calibri" w:hAnsi="Calibri" w:cs="Calibri"/>
          <w:lang w:val="en-US"/>
        </w:rPr>
        <w:t>*</w:t>
      </w:r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  <w:r w:rsidRPr="008E2F98">
        <w:rPr>
          <w:rFonts w:ascii="Calibri" w:eastAsia="Calibri" w:hAnsi="Calibri" w:cs="Calibri"/>
          <w:lang w:val="en-US"/>
        </w:rPr>
        <w:t>*joint senior authorship</w:t>
      </w:r>
    </w:p>
    <w:p w:rsidR="005177DB" w:rsidRPr="00B314E7" w:rsidRDefault="008E2F98">
      <w:pPr>
        <w:spacing w:line="360" w:lineRule="auto"/>
        <w:jc w:val="both"/>
        <w:rPr>
          <w:rFonts w:ascii="Calibri" w:eastAsia="Calibri" w:hAnsi="Calibri" w:cs="Calibri"/>
          <w:lang w:val="es-ES"/>
        </w:rPr>
      </w:pPr>
      <w:r w:rsidRPr="00B314E7">
        <w:rPr>
          <w:rFonts w:ascii="Calibri" w:eastAsia="Calibri" w:hAnsi="Calibri" w:cs="Calibri"/>
          <w:lang w:val="es-ES"/>
        </w:rPr>
        <w:t>1. Fundació Institut Universitari per a la recerca a l'Atenció Primària de Salut Jordi Gol i Gurina (IDIAPJGol), Barcelona, Spain</w:t>
      </w:r>
    </w:p>
    <w:p w:rsidR="005177DB" w:rsidRPr="00B314E7" w:rsidRDefault="008E2F98">
      <w:pPr>
        <w:spacing w:line="360" w:lineRule="auto"/>
        <w:jc w:val="both"/>
        <w:rPr>
          <w:rFonts w:ascii="Calibri" w:eastAsia="Calibri" w:hAnsi="Calibri" w:cs="Calibri"/>
          <w:lang w:val="es-ES"/>
        </w:rPr>
      </w:pPr>
      <w:r w:rsidRPr="00B314E7">
        <w:rPr>
          <w:rFonts w:ascii="Calibri" w:eastAsia="Calibri" w:hAnsi="Calibri" w:cs="Calibri"/>
          <w:lang w:val="es-ES"/>
        </w:rPr>
        <w:t>2. Universitat Autònoma de Barcelona (UAB), Bellaterra, Spain</w:t>
      </w:r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8E2F98">
        <w:rPr>
          <w:rFonts w:ascii="Calibri" w:eastAsia="Calibri" w:hAnsi="Calibri" w:cs="Calibri"/>
          <w:lang w:val="en-US"/>
        </w:rPr>
        <w:t>3. International Agency for Research on Cancer (IARC-WHO), Lyon, France</w:t>
      </w:r>
    </w:p>
    <w:p w:rsidR="005177DB" w:rsidRPr="008E2F98" w:rsidRDefault="005177DB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</w:p>
    <w:p w:rsidR="005177DB" w:rsidRPr="00B314E7" w:rsidRDefault="008E2F98">
      <w:pPr>
        <w:spacing w:line="360" w:lineRule="auto"/>
        <w:jc w:val="both"/>
        <w:rPr>
          <w:rFonts w:ascii="Calibri" w:eastAsia="Calibri" w:hAnsi="Calibri" w:cs="Calibri"/>
          <w:lang w:val="es-ES"/>
        </w:rPr>
      </w:pPr>
      <w:r w:rsidRPr="00B314E7">
        <w:rPr>
          <w:rFonts w:ascii="Calibri" w:eastAsia="Calibri" w:hAnsi="Calibri" w:cs="Calibri"/>
          <w:lang w:val="es-ES"/>
        </w:rPr>
        <w:t>Corresponding author</w:t>
      </w:r>
    </w:p>
    <w:p w:rsidR="005177DB" w:rsidRPr="00B314E7" w:rsidRDefault="008E2F98">
      <w:pPr>
        <w:spacing w:line="360" w:lineRule="auto"/>
        <w:jc w:val="both"/>
        <w:rPr>
          <w:rFonts w:ascii="Calibri" w:eastAsia="Calibri" w:hAnsi="Calibri" w:cs="Calibri"/>
          <w:lang w:val="es-ES"/>
        </w:rPr>
      </w:pPr>
      <w:r w:rsidRPr="00B314E7">
        <w:rPr>
          <w:rFonts w:ascii="Calibri" w:eastAsia="Calibri" w:hAnsi="Calibri" w:cs="Calibri"/>
          <w:lang w:val="es-ES"/>
        </w:rPr>
        <w:t>Talita Duarte Salles</w:t>
      </w:r>
    </w:p>
    <w:p w:rsidR="005177DB" w:rsidRPr="00B314E7" w:rsidRDefault="008E2F98">
      <w:pPr>
        <w:spacing w:line="360" w:lineRule="auto"/>
        <w:jc w:val="both"/>
        <w:rPr>
          <w:rFonts w:ascii="Calibri" w:eastAsia="Calibri" w:hAnsi="Calibri" w:cs="Calibri"/>
          <w:lang w:val="es-ES"/>
        </w:rPr>
      </w:pPr>
      <w:r w:rsidRPr="00B314E7">
        <w:rPr>
          <w:rFonts w:ascii="Calibri" w:eastAsia="Calibri" w:hAnsi="Calibri" w:cs="Calibri"/>
          <w:lang w:val="es-ES"/>
        </w:rPr>
        <w:t>Institut Universitari per a la recerca a l'Atenció Primària de Salut Jordi Gol i Gurina (IDIAPJGol)</w:t>
      </w:r>
    </w:p>
    <w:p w:rsidR="005177DB" w:rsidRPr="00B314E7" w:rsidRDefault="008E2F98">
      <w:pPr>
        <w:spacing w:line="360" w:lineRule="auto"/>
        <w:jc w:val="both"/>
        <w:rPr>
          <w:rFonts w:ascii="Calibri" w:eastAsia="Calibri" w:hAnsi="Calibri" w:cs="Calibri"/>
          <w:lang w:val="es-ES"/>
        </w:rPr>
      </w:pPr>
      <w:r w:rsidRPr="00B314E7">
        <w:rPr>
          <w:rFonts w:ascii="Calibri" w:eastAsia="Calibri" w:hAnsi="Calibri" w:cs="Calibri"/>
          <w:lang w:val="es-ES"/>
        </w:rPr>
        <w:t>Gran Via Corts Catalanes, 587 àtic</w:t>
      </w:r>
    </w:p>
    <w:p w:rsidR="005177DB" w:rsidRPr="00B314E7" w:rsidRDefault="008E2F98">
      <w:pPr>
        <w:spacing w:line="360" w:lineRule="auto"/>
        <w:jc w:val="both"/>
        <w:rPr>
          <w:rFonts w:ascii="Calibri" w:eastAsia="Calibri" w:hAnsi="Calibri" w:cs="Calibri"/>
          <w:lang w:val="es-ES"/>
        </w:rPr>
      </w:pPr>
      <w:r w:rsidRPr="00B314E7">
        <w:rPr>
          <w:rFonts w:ascii="Calibri" w:eastAsia="Calibri" w:hAnsi="Calibri" w:cs="Calibri"/>
          <w:lang w:val="es-ES"/>
        </w:rPr>
        <w:t xml:space="preserve">08007, Barcelona, Spain </w:t>
      </w:r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8E2F98">
        <w:rPr>
          <w:rFonts w:ascii="Calibri" w:eastAsia="Calibri" w:hAnsi="Calibri" w:cs="Calibri"/>
          <w:lang w:val="en-US"/>
        </w:rPr>
        <w:t>tduarte@idiapjgol.org</w:t>
      </w:r>
    </w:p>
    <w:p w:rsidR="005177DB" w:rsidRPr="008E2F98" w:rsidRDefault="005177DB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t>Competing interests</w:t>
      </w:r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8E2F98">
        <w:rPr>
          <w:rFonts w:ascii="Calibri" w:eastAsia="Calibri" w:hAnsi="Calibri" w:cs="Calibri"/>
          <w:lang w:val="en-US"/>
        </w:rPr>
        <w:t>The authors declare that they have no known competing financial interests or personal relationships that could have influenced the work reported in this paper.</w:t>
      </w:r>
      <w:r w:rsidRPr="008E2F98">
        <w:rPr>
          <w:lang w:val="en-US"/>
        </w:rPr>
        <w:br w:type="page"/>
      </w:r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lastRenderedPageBreak/>
        <w:t>Index</w:t>
      </w:r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t xml:space="preserve">Table S1. </w:t>
      </w:r>
      <w:proofErr w:type="gramStart"/>
      <w:r w:rsidRPr="008E2F98">
        <w:rPr>
          <w:rFonts w:ascii="Calibri" w:eastAsia="Calibri" w:hAnsi="Calibri" w:cs="Calibri"/>
          <w:lang w:val="en-US"/>
        </w:rPr>
        <w:t>Detailed definitions of cardiovascular disease, hypertension, and type 2 diabetes mellitus, according to their corresponding ICD-10 codes in SIDIAP.</w:t>
      </w:r>
      <w:proofErr w:type="gramEnd"/>
    </w:p>
    <w:p w:rsidR="008E2F98" w:rsidRPr="008E2F98" w:rsidRDefault="008E2F98">
      <w:pPr>
        <w:spacing w:line="360" w:lineRule="auto"/>
        <w:jc w:val="both"/>
        <w:rPr>
          <w:rFonts w:ascii="Calibri" w:eastAsia="Calibri" w:hAnsi="Calibri" w:cs="Calibri"/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t xml:space="preserve">Table S2. </w:t>
      </w:r>
      <w:proofErr w:type="gramStart"/>
      <w:r w:rsidRPr="008E2F98">
        <w:rPr>
          <w:rFonts w:ascii="Calibri" w:eastAsia="Calibri" w:hAnsi="Calibri" w:cs="Calibri"/>
          <w:lang w:val="en-US"/>
        </w:rPr>
        <w:t>Annual incidence rates (per 1,000 person-years) of cardiovascular diseases, hypertension, and type 2 diabetes mellitus stratified by age and sex, 2009-2018.</w:t>
      </w:r>
      <w:proofErr w:type="gramEnd"/>
    </w:p>
    <w:p w:rsidR="005177DB" w:rsidRPr="008E2F98" w:rsidRDefault="008E2F98">
      <w:pPr>
        <w:spacing w:line="360" w:lineRule="auto"/>
        <w:jc w:val="both"/>
        <w:rPr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t xml:space="preserve">Figure S1. </w:t>
      </w:r>
      <w:proofErr w:type="gramStart"/>
      <w:r w:rsidRPr="008E2F98">
        <w:rPr>
          <w:rFonts w:ascii="Calibri" w:eastAsia="Calibri" w:hAnsi="Calibri" w:cs="Calibri"/>
          <w:lang w:val="en-US"/>
        </w:rPr>
        <w:t>Flow chart demonstrating the construction of the final study population.</w:t>
      </w:r>
      <w:proofErr w:type="gramEnd"/>
    </w:p>
    <w:p w:rsidR="005177DB" w:rsidRPr="008E2F98" w:rsidRDefault="008E2F98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  <w:r w:rsidRPr="008E2F98">
        <w:rPr>
          <w:lang w:val="en-US"/>
        </w:rPr>
        <w:br w:type="page"/>
      </w:r>
    </w:p>
    <w:p w:rsidR="005177DB" w:rsidRPr="008E2F98" w:rsidRDefault="008E2F98" w:rsidP="008E2F98">
      <w:pPr>
        <w:spacing w:line="240" w:lineRule="auto"/>
        <w:jc w:val="both"/>
        <w:rPr>
          <w:rFonts w:ascii="Calibri" w:eastAsia="Calibri" w:hAnsi="Calibri" w:cs="Calibri"/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lastRenderedPageBreak/>
        <w:t xml:space="preserve">Table S1. </w:t>
      </w:r>
      <w:proofErr w:type="gramStart"/>
      <w:r w:rsidRPr="008E2F98">
        <w:rPr>
          <w:rFonts w:ascii="Calibri" w:eastAsia="Calibri" w:hAnsi="Calibri" w:cs="Calibri"/>
          <w:lang w:val="en-US"/>
        </w:rPr>
        <w:t>Detailed definitions of cardiovascular disease, hypertension, and type 2 diabetes mellitus, according to their corresponding ICD-10 codes in SIDIAP.</w:t>
      </w:r>
      <w:proofErr w:type="gramEnd"/>
    </w:p>
    <w:tbl>
      <w:tblPr>
        <w:tblStyle w:val="a"/>
        <w:tblW w:w="0" w:type="auto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2034"/>
        <w:gridCol w:w="5249"/>
        <w:gridCol w:w="1004"/>
        <w:gridCol w:w="942"/>
      </w:tblGrid>
      <w:tr w:rsidR="005177DB" w:rsidRPr="008E2F98" w:rsidTr="008E2F98">
        <w:tc>
          <w:tcPr>
            <w:tcW w:w="0" w:type="auto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  <w:r w:rsidRPr="008E2F98">
              <w:rPr>
                <w:rFonts w:ascii="Calibri" w:eastAsia="Calibri" w:hAnsi="Calibri" w:cs="Calibri"/>
                <w:b/>
                <w:lang w:val="en-US"/>
              </w:rPr>
              <w:t>Outcome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  <w:r w:rsidRPr="008E2F98">
              <w:rPr>
                <w:rFonts w:ascii="Calibri" w:eastAsia="Calibri" w:hAnsi="Calibri" w:cs="Calibri"/>
                <w:b/>
                <w:lang w:val="en-US"/>
              </w:rPr>
              <w:t>Condition</w:t>
            </w:r>
          </w:p>
        </w:tc>
        <w:tc>
          <w:tcPr>
            <w:tcW w:w="0" w:type="auto"/>
            <w:tcBorders>
              <w:bottom w:val="single" w:sz="6" w:space="0" w:color="000000"/>
            </w:tcBorders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  <w:r w:rsidRPr="008E2F98">
              <w:rPr>
                <w:rFonts w:ascii="Calibri" w:eastAsia="Calibri" w:hAnsi="Calibri" w:cs="Calibri"/>
                <w:b/>
                <w:lang w:val="en-US"/>
              </w:rPr>
              <w:t>ICD-10 code</w:t>
            </w:r>
          </w:p>
        </w:tc>
        <w:tc>
          <w:tcPr>
            <w:tcW w:w="0" w:type="auto"/>
            <w:shd w:val="clear" w:color="auto" w:fill="CCCCCC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  <w:r w:rsidRPr="008E2F98">
              <w:rPr>
                <w:rFonts w:ascii="Calibri" w:eastAsia="Calibri" w:hAnsi="Calibri" w:cs="Calibri"/>
                <w:b/>
                <w:lang w:val="en-US"/>
              </w:rPr>
              <w:t>ICD-9 code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</w:p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  <w:r w:rsidRPr="008E2F98">
              <w:rPr>
                <w:rFonts w:ascii="Calibri" w:eastAsia="Calibri" w:hAnsi="Calibri" w:cs="Calibri"/>
                <w:b/>
                <w:lang w:val="en-US"/>
              </w:rPr>
              <w:t>Cardiovascular disease</w:t>
            </w:r>
          </w:p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  <w:r w:rsidRPr="008E2F98">
              <w:rPr>
                <w:rFonts w:ascii="Calibri" w:eastAsia="Calibri" w:hAnsi="Calibri" w:cs="Calibri"/>
                <w:b/>
                <w:lang w:val="en-US"/>
              </w:rPr>
              <w:t>(CVD)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Angina pectoris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I20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413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Acute myocardial infarction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I21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410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Subsequent ST elevation (STEMI) and non-ST elevation (NSTEMI) myocardial infarction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I22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Certain current complications following ST elevation (STEMI) and non-ST elevation (NSTEMI) myocardial infarction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I23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Other acute ischemic heart diseases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I24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411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Chronic ischemic heart disease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I25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412, 414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proofErr w:type="spellStart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Nontraumatic</w:t>
            </w:r>
            <w:proofErr w:type="spellEnd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subarachnoid hemorrhage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I60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430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proofErr w:type="spellStart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Nontraumatic</w:t>
            </w:r>
            <w:proofErr w:type="spellEnd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intracerebral hemorrhage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I61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431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Cerebral infarction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I63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Stroke, not specified as hemorrhage or infarction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I64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Other and unspecified </w:t>
            </w:r>
            <w:proofErr w:type="spellStart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nontraumatic</w:t>
            </w:r>
            <w:proofErr w:type="spellEnd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intracranial hemorrhage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I62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432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Occlusion and stenosis of </w:t>
            </w:r>
            <w:proofErr w:type="spellStart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precerebral</w:t>
            </w:r>
            <w:proofErr w:type="spellEnd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arteries, not resulting in cerebral infarction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I65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433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Occlusion and stenosis of cerebral arteries, not resulting in cerebral infarction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I66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434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Other cerebrovascular diseases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I67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436, 437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Cerebrovascular disorders in diseases classified elsewhere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I68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="Calibri" w:eastAsia="Calibri" w:hAnsi="Calibri" w:cs="Calibri"/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Sequelae of cerebrovascular disease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I69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438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 w:val="restart"/>
            <w:tcBorders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</w:p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  <w:r w:rsidRPr="008E2F98">
              <w:rPr>
                <w:rFonts w:ascii="Calibri" w:eastAsia="Calibri" w:hAnsi="Calibri" w:cs="Calibri"/>
                <w:b/>
                <w:lang w:val="en-US"/>
              </w:rPr>
              <w:t>Hypertension (HTN)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Hypertension (general)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I10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401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spacing w:line="240" w:lineRule="auto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Cardiac hypertension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I11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402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spacing w:line="240" w:lineRule="auto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Renal hypertension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I12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403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spacing w:line="240" w:lineRule="auto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proofErr w:type="spellStart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Cardiorenal</w:t>
            </w:r>
            <w:proofErr w:type="spellEnd"/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 xml:space="preserve"> hypertension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I13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404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spacing w:line="240" w:lineRule="auto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Secondary hypertension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I15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405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 w:val="restart"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</w:p>
          <w:p w:rsidR="005177DB" w:rsidRPr="008E2F98" w:rsidRDefault="005177DB" w:rsidP="008E2F98">
            <w:pPr>
              <w:spacing w:line="240" w:lineRule="auto"/>
              <w:rPr>
                <w:rFonts w:ascii="Calibri" w:eastAsia="Calibri" w:hAnsi="Calibri" w:cs="Calibri"/>
                <w:b/>
                <w:sz w:val="18"/>
                <w:szCs w:val="18"/>
                <w:lang w:val="en-US"/>
              </w:rPr>
            </w:pPr>
          </w:p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  <w:r w:rsidRPr="008E2F98">
              <w:rPr>
                <w:rFonts w:ascii="Calibri" w:eastAsia="Calibri" w:hAnsi="Calibri" w:cs="Calibri"/>
                <w:b/>
                <w:lang w:val="en-US"/>
              </w:rPr>
              <w:t>Type 2 diabetes mellitus</w:t>
            </w:r>
          </w:p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b/>
                <w:lang w:val="en-US"/>
              </w:rPr>
            </w:pPr>
            <w:r w:rsidRPr="008E2F98">
              <w:rPr>
                <w:rFonts w:ascii="Calibri" w:eastAsia="Calibri" w:hAnsi="Calibri" w:cs="Calibri"/>
                <w:b/>
                <w:lang w:val="en-US"/>
              </w:rPr>
              <w:t>(T2DM)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Insulin-dependent diabetes mellitus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E10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5177DB" w:rsidP="008E2F98">
            <w:pPr>
              <w:spacing w:line="240" w:lineRule="auto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Non-insulin-dependent diabetes mellitus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E11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5177DB" w:rsidP="008E2F98">
            <w:pPr>
              <w:spacing w:line="240" w:lineRule="auto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Malnutrition-associated diabetes mellitus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E12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-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5177DB" w:rsidP="008E2F98">
            <w:pPr>
              <w:spacing w:line="240" w:lineRule="auto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Non-specified diabetes mellitus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E13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250</w:t>
            </w:r>
          </w:p>
        </w:tc>
      </w:tr>
      <w:tr w:rsidR="005177DB" w:rsidRPr="008E2F98" w:rsidTr="008E2F98">
        <w:trPr>
          <w:trHeight w:val="420"/>
        </w:trPr>
        <w:tc>
          <w:tcPr>
            <w:tcW w:w="0" w:type="auto"/>
            <w:vMerge/>
            <w:tcBorders>
              <w:right w:val="single" w:sz="6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5177DB" w:rsidP="008E2F98">
            <w:pPr>
              <w:spacing w:line="240" w:lineRule="auto"/>
              <w:rPr>
                <w:lang w:val="en-US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Diabetes mellitus (general)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:rsidR="005177DB" w:rsidRPr="008E2F98" w:rsidRDefault="008E2F98" w:rsidP="008E2F98">
            <w:pPr>
              <w:widowControl w:val="0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E14</w:t>
            </w:r>
          </w:p>
        </w:tc>
        <w:tc>
          <w:tcPr>
            <w:tcW w:w="0" w:type="auto"/>
            <w:tcBorders>
              <w:left w:val="single" w:sz="6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:rsidR="005177DB" w:rsidRPr="008E2F98" w:rsidRDefault="008E2F98" w:rsidP="008E2F98">
            <w:pPr>
              <w:spacing w:line="240" w:lineRule="auto"/>
              <w:rPr>
                <w:rFonts w:ascii="Calibri" w:eastAsia="Calibri" w:hAnsi="Calibri" w:cs="Calibri"/>
                <w:sz w:val="18"/>
                <w:szCs w:val="18"/>
                <w:lang w:val="en-US"/>
              </w:rPr>
            </w:pPr>
            <w:r w:rsidRPr="008E2F98">
              <w:rPr>
                <w:rFonts w:ascii="Calibri" w:eastAsia="Calibri" w:hAnsi="Calibri" w:cs="Calibri"/>
                <w:sz w:val="18"/>
                <w:szCs w:val="18"/>
                <w:lang w:val="en-US"/>
              </w:rPr>
              <w:t>250</w:t>
            </w:r>
          </w:p>
        </w:tc>
      </w:tr>
    </w:tbl>
    <w:p w:rsidR="008E2F98" w:rsidRPr="008E2F98" w:rsidRDefault="008E2F98">
      <w:pPr>
        <w:spacing w:line="360" w:lineRule="auto"/>
        <w:jc w:val="both"/>
        <w:rPr>
          <w:rFonts w:ascii="Calibri" w:eastAsia="Calibri" w:hAnsi="Calibri" w:cs="Calibri"/>
          <w:b/>
          <w:lang w:val="en-US"/>
        </w:rPr>
      </w:pPr>
    </w:p>
    <w:p w:rsidR="008E2F98" w:rsidRPr="008E2F98" w:rsidRDefault="008E2F98">
      <w:pPr>
        <w:rPr>
          <w:rFonts w:ascii="Calibri" w:eastAsia="Calibri" w:hAnsi="Calibri" w:cs="Calibri"/>
          <w:b/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br w:type="page"/>
      </w:r>
    </w:p>
    <w:p w:rsidR="008E2F98" w:rsidRPr="008E2F98" w:rsidRDefault="008E2F98" w:rsidP="008E2F98">
      <w:pPr>
        <w:spacing w:line="240" w:lineRule="auto"/>
        <w:jc w:val="both"/>
        <w:rPr>
          <w:rFonts w:ascii="Calibri" w:eastAsia="Calibri" w:hAnsi="Calibri" w:cs="Calibri"/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lastRenderedPageBreak/>
        <w:t xml:space="preserve">Table S2. </w:t>
      </w:r>
      <w:proofErr w:type="gramStart"/>
      <w:r w:rsidRPr="008E2F98">
        <w:rPr>
          <w:rFonts w:ascii="Calibri" w:eastAsia="Calibri" w:hAnsi="Calibri" w:cs="Calibri"/>
          <w:lang w:val="en-US"/>
        </w:rPr>
        <w:t>Annual incidence rates (per 1,000 person-years) of cardiovascular diseases, hypertension, and type 2 diabetes mellitus stratified by age and sex, 2009-2018.</w:t>
      </w:r>
      <w:proofErr w:type="gramEnd"/>
    </w:p>
    <w:tbl>
      <w:tblPr>
        <w:tblW w:w="0" w:type="auto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1"/>
        <w:gridCol w:w="359"/>
        <w:gridCol w:w="485"/>
        <w:gridCol w:w="1742"/>
        <w:gridCol w:w="1093"/>
        <w:gridCol w:w="1857"/>
      </w:tblGrid>
      <w:tr w:rsidR="008E2F98" w:rsidRPr="008E2F98" w:rsidTr="005475D4">
        <w:trPr>
          <w:trHeight w:val="2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Year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Cardiovascular disease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Hypertension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Type 2 diabetes mellitus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  <w:t>Men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C5D9F1"/>
            <w:noWrap/>
            <w:textDirection w:val="btLr"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40-54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4.03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18.97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8.33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4.35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21.04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9.26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4.22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20.02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9.12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4.45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23.06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9.60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4.76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24.60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9.83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22.78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9.28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8.96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9.58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6.40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19.73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9.11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6.64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19.53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9.48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C5D9F1"/>
            <w:noWrap/>
            <w:textDirection w:val="btLr"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55-69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36.83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18.85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19.67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12.65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17.76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12.74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39.15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19.08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38.70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18.58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35.36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16.59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29.23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14.59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25.78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14.88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23.05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13.25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13.13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C5D9F1"/>
            <w:noWrap/>
            <w:textDirection w:val="btLr"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70+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26.69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33.31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17.78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25.68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33.77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18.72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22.53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29.78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16.03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22.68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32.98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16.49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33.28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16.19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28.51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14.17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23.99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23.29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12.98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22.38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19.77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12.20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23.03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17.60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10.61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22.80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15.92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10.66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8DB4E2"/>
            <w:noWrap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sz w:val="17"/>
                <w:szCs w:val="17"/>
                <w:lang w:val="en-US"/>
              </w:rPr>
              <w:t>Women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C5D9F1"/>
            <w:noWrap/>
            <w:textDirection w:val="btLr"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40-54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4.49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1.43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15.17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4.87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1.35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4.87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5.04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17.46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5.59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17.07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5.16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15.92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4.90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5.38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5.31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2.58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5.12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000000" w:fill="C5D9F1"/>
            <w:noWrap/>
            <w:textDirection w:val="btLr"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55-69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27.66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11.23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12.72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27.12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11.35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5.22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12.30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6.05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31.41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12.39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6.22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28.74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10.59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6.26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24.73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9.36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6.53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22.42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9.32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7.01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8.80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7.43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19.21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8.85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C5D9F1"/>
            <w:noWrap/>
            <w:textDirection w:val="btLr"/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  <w:t>70+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33.91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14.34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35.29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15.28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15.04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13.45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15.91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34.78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14.66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33.62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14.04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30.25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12.18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26.12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10.62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22.72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10.15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8.59</w:t>
            </w:r>
          </w:p>
        </w:tc>
      </w:tr>
      <w:tr w:rsidR="008E2F98" w:rsidRPr="008E2F98" w:rsidTr="005475D4">
        <w:trPr>
          <w:trHeight w:val="20"/>
          <w:jc w:val="center"/>
        </w:trPr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8E2F98" w:rsidRPr="008E2F98" w:rsidRDefault="008E2F98" w:rsidP="005475D4">
            <w:pPr>
              <w:spacing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7"/>
                <w:szCs w:val="17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2018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16.32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18.24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E2F98" w:rsidRPr="008E2F98" w:rsidRDefault="008E2F98" w:rsidP="005475D4">
            <w:pPr>
              <w:spacing w:line="240" w:lineRule="auto"/>
              <w:jc w:val="center"/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</w:pPr>
            <w:r w:rsidRPr="008E2F98">
              <w:rPr>
                <w:rFonts w:ascii="Calibri" w:eastAsia="Times New Roman" w:hAnsi="Calibri" w:cs="Calibri"/>
                <w:color w:val="000000"/>
                <w:sz w:val="17"/>
                <w:szCs w:val="17"/>
                <w:lang w:val="en-US"/>
              </w:rPr>
              <w:t>8.65</w:t>
            </w:r>
          </w:p>
        </w:tc>
      </w:tr>
    </w:tbl>
    <w:p w:rsidR="008E2F98" w:rsidRPr="008E2F98" w:rsidRDefault="008E2F98" w:rsidP="008E2F98">
      <w:pPr>
        <w:rPr>
          <w:lang w:val="en-US"/>
        </w:rPr>
      </w:pPr>
    </w:p>
    <w:p w:rsidR="005177DB" w:rsidRPr="008E2F98" w:rsidRDefault="008E2F98">
      <w:pPr>
        <w:spacing w:line="360" w:lineRule="auto"/>
        <w:jc w:val="both"/>
        <w:rPr>
          <w:lang w:val="en-US"/>
        </w:rPr>
      </w:pPr>
      <w:r w:rsidRPr="008E2F98">
        <w:rPr>
          <w:rFonts w:ascii="Calibri" w:eastAsia="Calibri" w:hAnsi="Calibri" w:cs="Calibri"/>
          <w:b/>
          <w:lang w:val="en-US"/>
        </w:rPr>
        <w:t xml:space="preserve">Figure S1. </w:t>
      </w:r>
      <w:r w:rsidRPr="008E2F98">
        <w:rPr>
          <w:rFonts w:ascii="Calibri" w:eastAsia="Calibri" w:hAnsi="Calibri" w:cs="Calibri"/>
          <w:lang w:val="en-US"/>
        </w:rPr>
        <w:t>Flow chart demonstrating the construction of the final study population.</w:t>
      </w:r>
    </w:p>
    <w:p w:rsidR="008E2F98" w:rsidRPr="008E2F98" w:rsidRDefault="008E2F98">
      <w:pPr>
        <w:rPr>
          <w:lang w:val="en-US"/>
        </w:rPr>
      </w:pPr>
      <w:r w:rsidRPr="008E2F98">
        <w:rPr>
          <w:noProof/>
          <w:lang w:val="es-ES"/>
        </w:rPr>
        <mc:AlternateContent>
          <mc:Choice Requires="wpg">
            <w:drawing>
              <wp:inline distT="114300" distB="114300" distL="114300" distR="114300" wp14:anchorId="34235C4D" wp14:editId="4B98C95E">
                <wp:extent cx="5730900" cy="5404916"/>
                <wp:effectExtent l="0" t="0" r="22225" b="24765"/>
                <wp:docPr id="1" name="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30900" cy="5404916"/>
                          <a:chOff x="350650" y="146100"/>
                          <a:chExt cx="6559957" cy="6186816"/>
                        </a:xfrm>
                      </wpg:grpSpPr>
                      <wps:wsp>
                        <wps:cNvPr id="2" name="2 Cuadro de texto"/>
                        <wps:cNvSpPr txBox="1"/>
                        <wps:spPr>
                          <a:xfrm>
                            <a:off x="350650" y="146100"/>
                            <a:ext cx="2698076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Initial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population</w:t>
                              </w:r>
                              <w:proofErr w:type="spellEnd"/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4"/>
                                </w:rPr>
                                <w:t>N = 6,780,282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3" name="3 Cuadro de texto"/>
                        <wps:cNvSpPr txBox="1"/>
                        <wps:spPr>
                          <a:xfrm>
                            <a:off x="350650" y="1254235"/>
                            <a:ext cx="2698076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Eligible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population</w:t>
                              </w:r>
                              <w:proofErr w:type="spellEnd"/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4"/>
                                </w:rPr>
                                <w:t>N = 5,947,562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4" name="4 Cuadro de texto"/>
                        <wps:cNvSpPr txBox="1"/>
                        <wps:spPr>
                          <a:xfrm>
                            <a:off x="4203031" y="1808289"/>
                            <a:ext cx="2698076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Age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eastAsia="Calibri" w:hAnsi="Calibri" w:cs="Calibri"/>
                                  <w:color w:val="202124"/>
                                  <w:sz w:val="24"/>
                                  <w:highlight w:val="white"/>
                                </w:rPr>
                                <w:t xml:space="preserve">≤ 40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202124"/>
                                  <w:sz w:val="24"/>
                                  <w:highlight w:val="white"/>
                                </w:rPr>
                                <w:t>years</w:t>
                              </w:r>
                              <w:proofErr w:type="spellEnd"/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N = 1,187,425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5" name="5 Cuadro de texto"/>
                        <wps:cNvSpPr txBox="1"/>
                        <wps:spPr>
                          <a:xfrm>
                            <a:off x="350650" y="2362369"/>
                            <a:ext cx="2698076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Eligible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population</w:t>
                              </w:r>
                              <w:proofErr w:type="spellEnd"/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4"/>
                                </w:rPr>
                                <w:t>N = 4,787,137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6" name="6 Cuadro de texto"/>
                        <wps:cNvSpPr txBox="1"/>
                        <wps:spPr>
                          <a:xfrm>
                            <a:off x="4212531" y="2916423"/>
                            <a:ext cx="2698076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CVD diagnosis prior to 01-01-2009</w:t>
                              </w:r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N = 209,886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7" name="7 Cuadro de texto"/>
                        <wps:cNvSpPr txBox="1"/>
                        <wps:spPr>
                          <a:xfrm>
                            <a:off x="350650" y="3470503"/>
                            <a:ext cx="2698076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Eligible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population</w:t>
                              </w:r>
                              <w:proofErr w:type="spellEnd"/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4"/>
                                </w:rPr>
                                <w:t>N = 4,577,251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8" name="8 Cuadro de texto"/>
                        <wps:cNvSpPr txBox="1"/>
                        <wps:spPr>
                          <a:xfrm>
                            <a:off x="4212531" y="4024558"/>
                            <a:ext cx="2698076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HTN diagnosis prior to 01-01-2009</w:t>
                              </w:r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N = 963,969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9" name="9 Cuadro de texto"/>
                        <wps:cNvSpPr txBox="1"/>
                        <wps:spPr>
                          <a:xfrm>
                            <a:off x="350650" y="4578636"/>
                            <a:ext cx="2698803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Eligible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population</w:t>
                              </w:r>
                              <w:proofErr w:type="spellEnd"/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4"/>
                                </w:rPr>
                                <w:t>N = 3,613,282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0" name="10 Cuadro de texto"/>
                        <wps:cNvSpPr txBox="1"/>
                        <wps:spPr>
                          <a:xfrm>
                            <a:off x="4203216" y="5132294"/>
                            <a:ext cx="2698076" cy="85911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B314E7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T2</w:t>
                              </w:r>
                              <w:bookmarkStart w:id="0" w:name="_GoBack"/>
                              <w:bookmarkEnd w:id="0"/>
                              <w:r w:rsidR="008E2F98"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DM diagnosis prior to 01-01-2009</w:t>
                              </w:r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N = 366,038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11" name="11 Conector recto de flecha"/>
                        <wps:cNvCnPr/>
                        <wps:spPr>
                          <a:xfrm>
                            <a:off x="1699750" y="700200"/>
                            <a:ext cx="0" cy="5541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2" name="12 Conector recto de flecha"/>
                        <wps:cNvCnPr/>
                        <wps:spPr>
                          <a:xfrm>
                            <a:off x="1699750" y="1808400"/>
                            <a:ext cx="0" cy="5541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3" name="13 Conector recto de flecha"/>
                        <wps:cNvCnPr/>
                        <wps:spPr>
                          <a:xfrm>
                            <a:off x="1699750" y="2916600"/>
                            <a:ext cx="0" cy="5541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4" name="14 Conector recto de flecha"/>
                        <wps:cNvCnPr/>
                        <wps:spPr>
                          <a:xfrm>
                            <a:off x="1699750" y="4024800"/>
                            <a:ext cx="0" cy="5541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5" name="15 Conector recto de flecha"/>
                        <wps:cNvCnPr/>
                        <wps:spPr>
                          <a:xfrm>
                            <a:off x="1699750" y="2082438"/>
                            <a:ext cx="2503500" cy="30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6" name="16 Conector recto de flecha"/>
                        <wps:cNvCnPr/>
                        <wps:spPr>
                          <a:xfrm>
                            <a:off x="1704650" y="2083950"/>
                            <a:ext cx="2503500" cy="30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7" name="17 Conector recto de flecha"/>
                        <wps:cNvCnPr/>
                        <wps:spPr>
                          <a:xfrm>
                            <a:off x="1699750" y="3192150"/>
                            <a:ext cx="2503500" cy="30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8" name="18 Conector recto de flecha"/>
                        <wps:cNvCnPr/>
                        <wps:spPr>
                          <a:xfrm>
                            <a:off x="1699750" y="4300350"/>
                            <a:ext cx="2503500" cy="30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19" name="19 Cuadro de texto"/>
                        <wps:cNvSpPr txBox="1"/>
                        <wps:spPr>
                          <a:xfrm>
                            <a:off x="350650" y="5686771"/>
                            <a:ext cx="2698803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Final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study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population</w:t>
                              </w:r>
                              <w:proofErr w:type="spellEnd"/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b/>
                                  <w:color w:val="000000"/>
                                  <w:sz w:val="24"/>
                                </w:rPr>
                                <w:t>N = 3,247,244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20" name="20 Conector recto de flecha"/>
                        <wps:cNvCnPr/>
                        <wps:spPr>
                          <a:xfrm>
                            <a:off x="1699750" y="5133000"/>
                            <a:ext cx="0" cy="5541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1" name="21 Conector recto de flecha"/>
                        <wps:cNvCnPr/>
                        <wps:spPr>
                          <a:xfrm>
                            <a:off x="1704650" y="5408550"/>
                            <a:ext cx="2503500" cy="30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  <wps:wsp>
                        <wps:cNvPr id="22" name="22 Cuadro de texto"/>
                        <wps:cNvSpPr txBox="1"/>
                        <wps:spPr>
                          <a:xfrm>
                            <a:off x="4203233" y="700143"/>
                            <a:ext cx="2698076" cy="646145"/>
                          </a:xfrm>
                          <a:prstGeom prst="rect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sm" len="sm"/>
                            <a:tailEnd type="none" w="sm" len="sm"/>
                          </a:ln>
                        </wps:spPr>
                        <wps:txbx>
                          <w:txbxContent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Less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than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1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year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 xml:space="preserve"> of </w:t>
                              </w:r>
                              <w:proofErr w:type="spellStart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follow</w:t>
                              </w:r>
                              <w:proofErr w:type="spellEnd"/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-up</w:t>
                              </w:r>
                            </w:p>
                            <w:p w:rsidR="005177DB" w:rsidRDefault="008E2F98">
                              <w:pPr>
                                <w:spacing w:line="24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rFonts w:ascii="Calibri" w:eastAsia="Calibri" w:hAnsi="Calibri" w:cs="Calibri"/>
                                  <w:color w:val="000000"/>
                                  <w:sz w:val="24"/>
                                </w:rPr>
                                <w:t>N = 805,720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23" name="23 Conector recto de flecha"/>
                        <wps:cNvCnPr/>
                        <wps:spPr>
                          <a:xfrm>
                            <a:off x="1699750" y="975750"/>
                            <a:ext cx="2503500" cy="3000"/>
                          </a:xfrm>
                          <a:prstGeom prst="straightConnector1">
                            <a:avLst/>
                          </a:prstGeom>
                          <a:noFill/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triangle" w="med" len="med"/>
                          </a:ln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_x0000_s1026" style="width:451.25pt;height:425.6pt;mso-position-horizontal-relative:char;mso-position-vertical-relative:line" coordorigin="3506,1461" coordsize="65599,618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2 Cuadro de texto" o:spid="_x0000_s1027" type="#_x0000_t202" style="position:absolute;left:3506;top:1461;width:26981;height:6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Jjx1cAA&#10;AADaAAAADwAAAGRycy9kb3ducmV2LnhtbESPzarCMBSE94LvEI7gTlNd6LUaRQXRhYJ/4PbYHNti&#10;c1KaqPXtjXDB5TAz3zCTWW0K8aTK5ZYV9LoRCOLE6pxTBefTqvMHwnlkjYVlUvAmB7NpszHBWNsX&#10;H+h59KkIEHYxKsi8L2MpXZKRQde1JXHwbrYy6IOsUqkrfAW4KWQ/igbSYM5hIcOSlhkl9+PDKFiu&#10;98M7zfeXXLpFubvSajsaFUq1W/V8DMJT7X/h//ZGK+jD90q4AX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Jjx1cAAAADaAAAADwAAAAAAAAAAAAAAAACYAgAAZHJzL2Rvd25y&#10;ZXYueG1sUEsFBgAAAAAEAAQA9QAAAIUDAAAAAA==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Initial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population</w:t>
                        </w:r>
                        <w:proofErr w:type="spellEnd"/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4"/>
                          </w:rPr>
                          <w:t>N = 6,780,282</w:t>
                        </w:r>
                      </w:p>
                    </w:txbxContent>
                  </v:textbox>
                </v:shape>
                <v:shape id="3 Cuadro de texto" o:spid="_x0000_s1028" type="#_x0000_t202" style="position:absolute;left:3506;top:12542;width:26981;height:6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9RUTsIA&#10;AADaAAAADwAAAGRycy9kb3ducmV2LnhtbESPT4vCMBTE74LfITzBm6bugqvVKCrI7sEF/4HXZ/Ns&#10;i81LaWJbv71ZWPA4zMxvmPmyNYWoqXK5ZQWjYQSCOLE651TB+bQdTEA4j6yxsEwKnuRgueh25hhr&#10;2/CB6qNPRYCwi1FB5n0ZS+mSjAy6oS2Jg3ezlUEfZJVKXWET4KaQH1E0lgZzDgsZlrTJKLkfH0bB&#10;5nv/dafV/pJLty5/r7TdTaeFUv1eu5qB8NT6d/i//aMVfMLflX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/1FROwgAAANoAAAAPAAAAAAAAAAAAAAAAAJgCAABkcnMvZG93&#10;bnJldi54bWxQSwUGAAAAAAQABAD1AAAAhwMAAAAA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Eligible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population</w:t>
                        </w:r>
                        <w:proofErr w:type="spellEnd"/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4"/>
                          </w:rPr>
                          <w:t>N = 5,947,562</w:t>
                        </w:r>
                      </w:p>
                    </w:txbxContent>
                  </v:textbox>
                </v:shape>
                <v:shape id="4 Cuadro de texto" o:spid="_x0000_s1029" type="#_x0000_t202" style="position:absolute;left:42030;top:18082;width:26981;height:6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D3MOsIA&#10;AADaAAAADwAAAGRycy9kb3ducmV2LnhtbESPT4vCMBTE74LfITzBm6Yui6vVKCrI7sEF/4HXZ/Ns&#10;i81LaWJbv71ZWPA4zMxvmPmyNYWoqXK5ZQWjYQSCOLE651TB+bQdTEA4j6yxsEwKnuRgueh25hhr&#10;2/CB6qNPRYCwi1FB5n0ZS+mSjAy6oS2Jg3ezlUEfZJVKXWET4KaQH1E0lgZzDgsZlrTJKLkfH0bB&#10;5nv/dafV/pJLty5/r7TdTaeFUv1eu5qB8NT6d/i//aMVfMLflX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Pcw6wgAAANoAAAAPAAAAAAAAAAAAAAAAAJgCAABkcnMvZG93&#10;bnJldi54bWxQSwUGAAAAAAQABAD1AAAAhwMAAAAA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Age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Calibri" w:eastAsia="Calibri" w:hAnsi="Calibri" w:cs="Calibri"/>
                            <w:color w:val="202124"/>
                            <w:sz w:val="24"/>
                            <w:highlight w:val="white"/>
                          </w:rPr>
                          <w:t xml:space="preserve">≤ 40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202124"/>
                            <w:sz w:val="24"/>
                            <w:highlight w:val="white"/>
                          </w:rPr>
                          <w:t>years</w:t>
                        </w:r>
                        <w:proofErr w:type="spellEnd"/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N = 1,187,425</w:t>
                        </w:r>
                      </w:p>
                    </w:txbxContent>
                  </v:textbox>
                </v:shape>
                <v:shape id="5 Cuadro de texto" o:spid="_x0000_s1030" type="#_x0000_t202" style="position:absolute;left:3506;top:23623;width:26981;height:6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3FpocIA&#10;AADaAAAADwAAAGRycy9kb3ducmV2LnhtbESPT4vCMBTE74LfITzBm6YurKvVKCrI7sEF/4HXZ/Ns&#10;i81LaWJbv71ZWPA4zMxvmPmyNYWoqXK5ZQWjYQSCOLE651TB+bQdTEA4j6yxsEwKnuRgueh25hhr&#10;2/CB6qNPRYCwi1FB5n0ZS+mSjAy6oS2Jg3ezlUEfZJVKXWET4KaQH1E0lgZzDgsZlrTJKLkfH0bB&#10;5nv/dafV/pJLty5/r7TdTaeFUv1eu5qB8NT6d/i//aMVfMLflXAD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cWmhwgAAANoAAAAPAAAAAAAAAAAAAAAAAJgCAABkcnMvZG93&#10;bnJldi54bWxQSwUGAAAAAAQABAD1AAAAhwMAAAAA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Eligible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population</w:t>
                        </w:r>
                        <w:proofErr w:type="spellEnd"/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4"/>
                          </w:rPr>
                          <w:t>N = 4,787,137</w:t>
                        </w:r>
                      </w:p>
                    </w:txbxContent>
                  </v:textbox>
                </v:shape>
                <v:shape id="6 Cuadro de texto" o:spid="_x0000_s1031" type="#_x0000_t202" style="position:absolute;left:42125;top:29164;width:26981;height:6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6P31sMA&#10;AADaAAAADwAAAGRycy9kb3ducmV2LnhtbESPT4vCMBTE74LfITzBm6Z68E/XKFoo62EFrQt7fds8&#10;22LzUpqsdr+9EQSPw8z8hlltOlOLG7WusqxgMo5AEOdWV1wo+D6nowUI55E11pZJwT852Kz7vRXG&#10;2t75RLfMFyJA2MWooPS+iaV0eUkG3dg2xMG72NagD7ItpG7xHuCmltMomkmDFYeFEhtKSsqv2Z9R&#10;kHwe51faHn8q6XbN4ZfSr+WyVmo46LYfIDx1/h1+tfdawQyeV8INkO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6P31sMAAADaAAAADwAAAAAAAAAAAAAAAACYAgAAZHJzL2Rv&#10;d25yZXYueG1sUEsFBgAAAAAEAAQA9QAAAIgDAAAAAA==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CVD diagnosis prior to 01-01-2009</w:t>
                        </w:r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N = 209,886</w:t>
                        </w:r>
                      </w:p>
                    </w:txbxContent>
                  </v:textbox>
                </v:shape>
                <v:shape id="7 Cuadro de texto" o:spid="_x0000_s1032" type="#_x0000_t202" style="position:absolute;left:3506;top:34705;width:26981;height:6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O9STcEA&#10;AADaAAAADwAAAGRycy9kb3ducmV2LnhtbESPzarCMBSE94LvEI7gTlNd+NNrFBVEFwpaL9ztuc2x&#10;LTYnpYla394IgsthZr5hZovGlOJOtSssKxj0IxDEqdUFZwp+z5veBITzyBpLy6TgSQ4W83ZrhrG2&#10;Dz7RPfGZCBB2MSrIva9iKV2ak0HXtxVx8C62NuiDrDOpa3wEuCnlMIpG0mDBYSHHitY5pdfkZhSs&#10;t8fxlZbHv0K6VXX4p81+Oi2V6naa5Q8IT43/hj/tnVYwhveVcAPk/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DvUk3BAAAA2gAAAA8AAAAAAAAAAAAAAAAAmAIAAGRycy9kb3du&#10;cmV2LnhtbFBLBQYAAAAABAAEAPUAAACGAwAAAAA=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Eligible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population</w:t>
                        </w:r>
                        <w:proofErr w:type="spellEnd"/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4"/>
                          </w:rPr>
                          <w:t>N = 4,577,251</w:t>
                        </w:r>
                      </w:p>
                    </w:txbxContent>
                  </v:textbox>
                </v:shape>
                <v:shape id="8 Cuadro de texto" o:spid="_x0000_s1033" type="#_x0000_t202" style="position:absolute;left:42125;top:40245;width:26981;height:6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XDGP7wA&#10;AADaAAAADwAAAGRycy9kb3ducmV2LnhtbERPyQrCMBC9C/5DGMGbpnpwqUZRQfSg4AZex2Zsi82k&#10;NFHr35uD4PHx9um8NoV4UeVyywp63QgEcWJ1zqmCy3ndGYFwHlljYZkUfMjBfNZsTDHW9s1Hep18&#10;KkIIuxgVZN6XsZQuycig69qSOHB3Wxn0AVap1BW+Q7gpZD+KBtJgzqEhw5JWGSWP09MoWG0Owwct&#10;DtdcumW5v9F6Nx4XSrVb9WICwlPt/+Kfe6sVhK3hSrgBcvY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DxcMY/vAAAANoAAAAPAAAAAAAAAAAAAAAAAJgCAABkcnMvZG93bnJldi54&#10;bWxQSwUGAAAAAAQABAD1AAAAgQMAAAAA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HTN diagnosis prior to 01-01-2009</w:t>
                        </w:r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N = 963,969</w:t>
                        </w:r>
                      </w:p>
                    </w:txbxContent>
                  </v:textbox>
                </v:shape>
                <v:shape id="9 Cuadro de texto" o:spid="_x0000_s1034" type="#_x0000_t202" style="position:absolute;left:3506;top:45786;width:26988;height:6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xjpMIA&#10;AADaAAAADwAAAGRycy9kb3ducmV2LnhtbESPQYvCMBSE78L+h/AWvGm6HlxbjcUVRA8K6i54fTbP&#10;trR5KU3U+u83guBxmJlvmFnamVrcqHWlZQVfwwgEcWZ1ybmCv9/VYALCeWSNtWVS8CAH6fyjN8NE&#10;2zsf6Hb0uQgQdgkqKLxvEildVpBBN7QNcfAutjXog2xzqVu8B7ip5SiKxtJgyWGhwIaWBWXV8WoU&#10;LNf774oW+1Mp3U+zO9NqG8e1Uv3PbjEF4anz7/CrvdEKYnheCTdAzv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PGOkwgAAANoAAAAPAAAAAAAAAAAAAAAAAJgCAABkcnMvZG93&#10;bnJldi54bWxQSwUGAAAAAAQABAD1AAAAhwMAAAAA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Eligible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population</w:t>
                        </w:r>
                        <w:proofErr w:type="spellEnd"/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4"/>
                          </w:rPr>
                          <w:t>N = 3,613,282</w:t>
                        </w:r>
                      </w:p>
                    </w:txbxContent>
                  </v:textbox>
                </v:shape>
                <v:shape id="10 Cuadro de texto" o:spid="_x0000_s1035" type="#_x0000_t202" style="position:absolute;left:42032;top:51322;width:26980;height:859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Yrz8MA&#10;AADbAAAADwAAAGRycy9kb3ducmV2LnhtbESPT4vCQAzF74LfYcjC3nS6HlbtOooKsntQ8B/sNXZi&#10;W+xkSmfU+u3NQfCW8F7e+2Uya12lbtSE0rOBr34CijjztuTcwPGw6o1AhYhssfJMBh4UYDbtdiaY&#10;Wn/nHd32MVcSwiFFA0WMdap1yApyGPq+Jhbt7BuHUdYm17bBu4S7Sg+S5Fs7LFkaCqxpWVB22V+d&#10;geXvdnih+fa/1GFRb060Wo/HlTGfH+38B1SkNr7Nr+s/K/hCL7/IAHr6B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ZYrz8MAAADbAAAADwAAAAAAAAAAAAAAAACYAgAAZHJzL2Rv&#10;d25yZXYueG1sUEsFBgAAAAAEAAQA9QAAAIgDAAAAAA==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B314E7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T2</w:t>
                        </w:r>
                        <w:bookmarkStart w:id="1" w:name="_GoBack"/>
                        <w:bookmarkEnd w:id="1"/>
                        <w:r w:rsidR="008E2F98"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DM diagnosis prior to 01-01-2009</w:t>
                        </w:r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N = 366,038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11 Conector recto de flecha" o:spid="_x0000_s1036" type="#_x0000_t32" style="position:absolute;left:16997;top:7002;width:0;height:554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1N4sIAAADbAAAADwAAAGRycy9kb3ducmV2LnhtbERPTWvCQBC9C/0PyxR60016KDW6BhFa&#10;itJDVYLehuw0Cc3Oht2NRn99VxC8zeN9zjwfTCtO5HxjWUE6SUAQl1Y3XCnY7z7G7yB8QNbYWiYF&#10;F/KQL55Gc8y0PfMPnbahEjGEfYYK6hC6TEpf1mTQT2xHHLlf6wyGCF0ltcNzDDetfE2SN2mw4dhQ&#10;Y0ermsq/bW8UHDbTvrgU37Qu0un6iM746+5TqZfnYTkDEWgID/Hd/aXj/BRuv8QD5OI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sE1N4sIAAADbAAAADwAAAAAAAAAAAAAA&#10;AAChAgAAZHJzL2Rvd25yZXYueG1sUEsFBgAAAAAEAAQA+QAAAJADAAAAAA==&#10;">
                  <v:stroke endarrow="block"/>
                </v:shape>
                <v:shape id="12 Conector recto de flecha" o:spid="_x0000_s1037" type="#_x0000_t32" style="position:absolute;left:16997;top:18084;width:0;height:554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J/TlcEAAADbAAAADwAAAGRycy9kb3ducmV2LnhtbERPTYvCMBC9C/sfwix401QPotUosrAi&#10;Lh5WpehtaMa22ExKErXur98Igrd5vM+ZLVpTixs5X1lWMOgnIIhzqysuFBz2370xCB+QNdaWScGD&#10;PCzmH50Zptre+Zduu1CIGMI+RQVlCE0qpc9LMuj7tiGO3Nk6gyFCV0jt8B7DTS2HSTKSBiuODSU2&#10;9FVSftldjYLjz+SaPbItbbLBZHNCZ/zffqVU97NdTkEEasNb/HKvdZw/hOcv8QA5/w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An9OVwQAAANsAAAAPAAAAAAAAAAAAAAAA&#10;AKECAABkcnMvZG93bnJldi54bWxQSwUGAAAAAAQABAD5AAAAjwMAAAAA&#10;">
                  <v:stroke endarrow="block"/>
                </v:shape>
                <v:shape id="13 Conector recto de flecha" o:spid="_x0000_s1038" type="#_x0000_t32" style="position:absolute;left:16997;top:29166;width:0;height:554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9N2DsIAAADbAAAADwAAAGRycy9kb3ducmV2LnhtbERPTYvCMBC9C/6HMII3TV1B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L9N2DsIAAADbAAAADwAAAAAAAAAAAAAA&#10;AAChAgAAZHJzL2Rvd25yZXYueG1sUEsFBgAAAAAEAAQA+QAAAJADAAAAAA==&#10;">
                  <v:stroke endarrow="block"/>
                </v:shape>
                <v:shape id="14 Conector recto de flecha" o:spid="_x0000_s1039" type="#_x0000_t32" style="position:absolute;left:16997;top:40248;width:0;height:554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DruesIAAADbAAAADwAAAGRycy9kb3ducmV2LnhtbERPTYvCMBC9C/6HMII3TV1E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DruesIAAADbAAAADwAAAAAAAAAAAAAA&#10;AAChAgAAZHJzL2Rvd25yZXYueG1sUEsFBgAAAAAEAAQA+QAAAJADAAAAAA==&#10;">
                  <v:stroke endarrow="block"/>
                </v:shape>
                <v:shape id="15 Conector recto de flecha" o:spid="_x0000_s1040" type="#_x0000_t32" style="position:absolute;left:16997;top:20824;width:25035;height: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ZL4cIAAADbAAAADwAAAGRycy9kb3ducmV2LnhtbERPTYvCMBC9C/6HMII3TV1Q1moUEVZE&#10;8bC6lPU2NLNt2WZSkqjVX2+Ehb3N433OfNmaWlzJ+cqygtEwAUGcW11xoeDr9DF4B+EDssbaMim4&#10;k4flotuZY6rtjT/pegyFiCHsU1RQhtCkUvq8JIN+aBviyP1YZzBE6AqpHd5iuKnlW5JMpMGKY0OJ&#10;Da1Lyn+PF6Pgez+9ZPfsQLtsNN2d0Rn/OG2U6vfa1QxEoDb8i//cWx3nj+H1SzxALp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3ZL4cIAAADbAAAADwAAAAAAAAAAAAAA&#10;AAChAgAAZHJzL2Rvd25yZXYueG1sUEsFBgAAAAAEAAQA+QAAAJADAAAAAA==&#10;">
                  <v:stroke endarrow="block"/>
                </v:shape>
                <v:shape id="16 Conector recto de flecha" o:spid="_x0000_s1041" type="#_x0000_t32" style="position:absolute;left:17046;top:20839;width:25035;height: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6TVlsMAAADbAAAADwAAAGRycy9kb3ducmV2LnhtbERPTWvCQBC9C/6HZYTedGMPUlNXKYKl&#10;pPSgKaHehuyYhGZnw+5qkv56t1DobR7vcza7wbTiRs43lhUsFwkI4tLqhisFn/lh/gTCB2SNrWVS&#10;MJKH3XY62WCqbc9Hup1CJWII+xQV1CF0qZS+rMmgX9iOOHIX6wyGCF0ltcM+hptWPibJShpsODbU&#10;2NG+pvL7dDUKvt7X12IsPigrluvsjM74n/xVqYfZ8PIMItAQ/sV/7jcd56/g95d4gNze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D+k1ZbDAAAA2wAAAA8AAAAAAAAAAAAA&#10;AAAAoQIAAGRycy9kb3ducmV2LnhtbFBLBQYAAAAABAAEAPkAAACRAwAAAAA=&#10;">
                  <v:stroke endarrow="block"/>
                </v:shape>
                <v:shape id="17 Conector recto de flecha" o:spid="_x0000_s1042" type="#_x0000_t32" style="position:absolute;left:16997;top:31921;width:25035;height: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OhwDcIAAADbAAAADwAAAGRycy9kb3ducmV2LnhtbERPTYvCMBC9C/6HMII3Td2DrtUoIqyI&#10;4mF1KettaGbbss2kJFGrv94IC3ubx/uc+bI1tbiS85VlBaNhAoI4t7riQsHX6WPwDsIHZI21ZVJw&#10;Jw/LRbczx1TbG3/S9RgKEUPYp6igDKFJpfR5SQb90DbEkfuxzmCI0BVSO7zFcFPLtyQZS4MVx4YS&#10;G1qXlP8eL0bB9356ye7ZgXbZaLo7ozP+cdoo1e+1qxmIQG34F/+5tzrOn8Drl3iAX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OhwDcIAAADbAAAADwAAAAAAAAAAAAAA&#10;AAChAgAAZHJzL2Rvd25yZXYueG1sUEsFBgAAAAAEAAQA+QAAAJADAAAAAA==&#10;">
                  <v:stroke endarrow="block"/>
                </v:shape>
                <v:shape id="18 Conector recto de flecha" o:spid="_x0000_s1043" type="#_x0000_t32" style="position:absolute;left:16997;top:43003;width:25035;height: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Xfkf8UAAADbAAAADwAAAGRycy9kb3ducmV2LnhtbESPQWvCQBCF74L/YRmhN93YQ9HUVUqh&#10;pSgeNCW0tyE7TUKzs2F31eivdw6F3mZ4b977ZrUZXKfOFGLr2cB8loEirrxtuTbwWbxNF6BiQrbY&#10;eSYDV4qwWY9HK8ytv/CBzsdUKwnhmKOBJqU+1zpWDTmMM98Ti/bjg8Mka6i1DXiRcNfpxyx70g5b&#10;loYGe3ptqPo9npyBr93yVF7LPW3L+XL7jcHFW/FuzMNkeHkGlWhI/+a/6w8r+AIrv8gAen0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Xfkf8UAAADbAAAADwAAAAAAAAAA&#10;AAAAAAChAgAAZHJzL2Rvd25yZXYueG1sUEsFBgAAAAAEAAQA+QAAAJMDAAAAAA==&#10;">
                  <v:stroke endarrow="block"/>
                </v:shape>
                <v:shape id="19 Cuadro de texto" o:spid="_x0000_s1044" type="#_x0000_t202" style="position:absolute;left:3506;top:56867;width:26988;height:64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yCUsEA&#10;AADbAAAADwAAAGRycy9kb3ducmV2LnhtbERPTYvCMBC9C/sfwix403Q9uLYaiyuIHhTUXfA6NmNb&#10;2kxKE7X++40geJvH+5xZ2pla3Kh1pWUFX8MIBHFmdcm5gr/f1WACwnlkjbVlUvAgB+n8ozfDRNs7&#10;H+h29LkIIewSVFB43yRSuqwgg25oG+LAXWxr0AfY5lK3eA/hppajKBpLgyWHhgIbWhaUVcerUbBc&#10;778rWuxPpXQ/ze5Mq20c10r1P7vFFISnzr/FL/dGh/kxPH8JB8j5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CsglLBAAAA2wAAAA8AAAAAAAAAAAAAAAAAmAIAAGRycy9kb3du&#10;cmV2LnhtbFBLBQYAAAAABAAEAPUAAACGAwAAAAA=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Final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study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population</w:t>
                        </w:r>
                        <w:proofErr w:type="spellEnd"/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b/>
                            <w:color w:val="000000"/>
                            <w:sz w:val="24"/>
                          </w:rPr>
                          <w:t>N = 3,247,244</w:t>
                        </w:r>
                      </w:p>
                    </w:txbxContent>
                  </v:textbox>
                </v:shape>
                <v:shape id="20 Conector recto de flecha" o:spid="_x0000_s1045" type="#_x0000_t32" style="position:absolute;left:16997;top:51330;width:0;height:5541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W0ixMIAAADbAAAADwAAAGRycy9kb3ducmV2LnhtbERPz2vCMBS+D/wfwhN2m6kexuyMIoJj&#10;VHawStluj+atLTYvJYm29a83h8GOH9/v1WYwrbiR841lBfNZAoK4tLrhSsH5tH95A+EDssbWMikY&#10;ycNmPXlaYaptz0e65aESMYR9igrqELpUSl/WZNDPbEccuV/rDIYIXSW1wz6Gm1YukuRVGmw4NtTY&#10;0a6m8pJfjYLvw/JajMUXZcV8mf2gM/5++lDqeTps30EEGsK/+M/9qRUs4vr4Jf4AuX4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EW0ixMIAAADbAAAADwAAAAAAAAAAAAAA&#10;AAChAgAAZHJzL2Rvd25yZXYueG1sUEsFBgAAAAAEAAQA+QAAAJADAAAAAA==&#10;">
                  <v:stroke endarrow="block"/>
                </v:shape>
                <v:shape id="21 Conector recto de flecha" o:spid="_x0000_s1046" type="#_x0000_t32" style="position:absolute;left:17046;top:54085;width:25035;height: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iGHX8QAAADbAAAADwAAAGRycy9kb3ducmV2LnhtbESPQWvCQBSE74L/YXlCb2YTD6VGVymC&#10;pSg9VCXY2yP7moRm34bdVaO/visIHoeZ+YaZL3vTijM531hWkCUpCOLS6oYrBYf9evwGwgdkja1l&#10;UnAlD8vFcDDHXNsLf9N5FyoRIexzVFCH0OVS+rImgz6xHXH0fq0zGKJ0ldQOLxFuWjlJ01dpsOG4&#10;UGNHq5rKv93JKDhup6fiWnzRpsimmx90xt/2H0q9jPr3GYhAfXiGH+1PrWCSwf1L/AFy8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+IYdfxAAAANsAAAAPAAAAAAAAAAAA&#10;AAAAAKECAABkcnMvZG93bnJldi54bWxQSwUGAAAAAAQABAD5AAAAkgMAAAAA&#10;">
                  <v:stroke endarrow="block"/>
                </v:shape>
                <v:shape id="22 Cuadro de texto" o:spid="_x0000_s1047" type="#_x0000_t202" style="position:absolute;left:42032;top:7001;width:26981;height:64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TansQA&#10;AADbAAAADwAAAGRycy9kb3ducmV2LnhtbESPS4vCQBCE78L+h6EXvOlkc/ARHYMriB4UfCzstc30&#10;JiGZnpCZ1fjvHUHwWFTVV9Q87UwtrtS60rKCr2EEgjizuuRcwc95PZiAcB5ZY22ZFNzJQbr46M0x&#10;0fbGR7qefC4ChF2CCgrvm0RKlxVk0A1tQxy8P9sa9EG2udQt3gLc1DKOopE0WHJYKLChVUFZdfo3&#10;Clabw7ii5eG3lO672V9ovZtOa6X6n91yBsJT59/hV3urFcQxPL+EHyA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Bk2p7EAAAA2wAAAA8AAAAAAAAAAAAAAAAAmAIAAGRycy9k&#10;b3ducmV2LnhtbFBLBQYAAAAABAAEAPUAAACJAwAAAAA=&#10;" filled="f">
                  <v:stroke startarrowwidth="narrow" startarrowlength="short" endarrowwidth="narrow" endarrowlength="short" joinstyle="round"/>
                  <v:textbox style="mso-fit-shape-to-text:t" inset="2.53958mm,2.53958mm,2.53958mm,2.53958mm">
                    <w:txbxContent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Less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than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1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year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 xml:space="preserve"> of </w:t>
                        </w:r>
                        <w:proofErr w:type="spellStart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follow</w:t>
                        </w:r>
                        <w:proofErr w:type="spellEnd"/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-up</w:t>
                        </w:r>
                      </w:p>
                      <w:p w:rsidR="005177DB" w:rsidRDefault="008E2F98">
                        <w:pPr>
                          <w:spacing w:line="240" w:lineRule="auto"/>
                          <w:jc w:val="center"/>
                          <w:textDirection w:val="btLr"/>
                        </w:pPr>
                        <w:r>
                          <w:rPr>
                            <w:rFonts w:ascii="Calibri" w:eastAsia="Calibri" w:hAnsi="Calibri" w:cs="Calibri"/>
                            <w:color w:val="000000"/>
                            <w:sz w:val="24"/>
                          </w:rPr>
                          <w:t>N = 805,720</w:t>
                        </w:r>
                      </w:p>
                    </w:txbxContent>
                  </v:textbox>
                </v:shape>
                <v:shape id="23 Conector recto de flecha" o:spid="_x0000_s1048" type="#_x0000_t32" style="position:absolute;left:16997;top:9757;width:25035;height:3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b+8s8QAAADbAAAADwAAAGRycy9kb3ducmV2LnhtbESPQWvCQBSE74X+h+UVvNWNCqVGVymF&#10;ilg81EjQ2yP7TEKzb8PuqtFf7wqCx2FmvmGm88404kTO15YVDPoJCOLC6ppLBdvs5/0ThA/IGhvL&#10;pOBCHuaz15cpptqe+Y9Om1CKCGGfooIqhDaV0hcVGfR92xJH72CdwRClK6V2eI5w08hhknxIgzXH&#10;hQpb+q6o+N8cjYLd7/iYX/I1rfLBeLVHZ/w1WyjVe+u+JiACdeEZfrSXWsFwBPcv8QfI2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hv7yzxAAAANsAAAAPAAAAAAAAAAAA&#10;AAAAAKECAABkcnMvZG93bnJldi54bWxQSwUGAAAAAAQABAD5AAAAkgMAAAAA&#10;">
                  <v:stroke endarrow="block"/>
                </v:shape>
                <w10:anchorlock/>
              </v:group>
            </w:pict>
          </mc:Fallback>
        </mc:AlternateContent>
      </w:r>
    </w:p>
    <w:p w:rsidR="008E2F98" w:rsidRPr="008E2F98" w:rsidRDefault="008E2F98">
      <w:pPr>
        <w:rPr>
          <w:lang w:val="en-US"/>
        </w:rPr>
      </w:pPr>
    </w:p>
    <w:sectPr w:rsidR="008E2F98" w:rsidRPr="008E2F98"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2F98" w:rsidRDefault="008E2F98" w:rsidP="008E2F98">
      <w:pPr>
        <w:spacing w:line="240" w:lineRule="auto"/>
      </w:pPr>
      <w:r>
        <w:separator/>
      </w:r>
    </w:p>
  </w:endnote>
  <w:endnote w:type="continuationSeparator" w:id="0">
    <w:p w:rsidR="008E2F98" w:rsidRDefault="008E2F98" w:rsidP="008E2F9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2F98" w:rsidRDefault="008E2F98" w:rsidP="008E2F98">
      <w:pPr>
        <w:spacing w:line="240" w:lineRule="auto"/>
      </w:pPr>
      <w:r>
        <w:separator/>
      </w:r>
    </w:p>
  </w:footnote>
  <w:footnote w:type="continuationSeparator" w:id="0">
    <w:p w:rsidR="008E2F98" w:rsidRDefault="008E2F98" w:rsidP="008E2F98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5177DB"/>
    <w:rsid w:val="005177DB"/>
    <w:rsid w:val="008E2F98"/>
    <w:rsid w:val="00B314E7"/>
    <w:rsid w:val="00EB1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ca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E2F9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F98"/>
  </w:style>
  <w:style w:type="paragraph" w:styleId="Piedepgina">
    <w:name w:val="footer"/>
    <w:basedOn w:val="Normal"/>
    <w:link w:val="PiedepginaCar"/>
    <w:uiPriority w:val="99"/>
    <w:unhideWhenUsed/>
    <w:rsid w:val="008E2F9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F9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ca" w:eastAsia="es-E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8E2F98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F98"/>
  </w:style>
  <w:style w:type="paragraph" w:styleId="Piedepgina">
    <w:name w:val="footer"/>
    <w:basedOn w:val="Normal"/>
    <w:link w:val="PiedepginaCar"/>
    <w:uiPriority w:val="99"/>
    <w:unhideWhenUsed/>
    <w:rsid w:val="008E2F98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F9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709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6</Pages>
  <Words>750</Words>
  <Characters>4129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Matthew Edward Bennett</cp:lastModifiedBy>
  <cp:revision>3</cp:revision>
  <dcterms:created xsi:type="dcterms:W3CDTF">2022-04-07T12:36:00Z</dcterms:created>
  <dcterms:modified xsi:type="dcterms:W3CDTF">2022-04-27T08:16:00Z</dcterms:modified>
</cp:coreProperties>
</file>