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D67C6" w14:textId="27B43220" w:rsidR="001B7B8D" w:rsidRPr="00A30EDF" w:rsidRDefault="00732297">
      <w:pPr>
        <w:rPr>
          <w:rFonts w:ascii="Arial" w:hAnsi="Arial" w:cs="Arial"/>
          <w:b/>
          <w:bCs/>
          <w:sz w:val="22"/>
          <w:szCs w:val="22"/>
        </w:rPr>
      </w:pPr>
      <w:r w:rsidRPr="00A30EDF">
        <w:rPr>
          <w:rFonts w:ascii="Arial" w:hAnsi="Arial" w:cs="Arial"/>
          <w:b/>
          <w:bCs/>
          <w:sz w:val="22"/>
          <w:szCs w:val="22"/>
        </w:rPr>
        <w:t>Supplementary Note 1</w:t>
      </w:r>
      <w:r w:rsidR="005133B4">
        <w:rPr>
          <w:rFonts w:ascii="Arial" w:hAnsi="Arial" w:cs="Arial"/>
          <w:b/>
          <w:bCs/>
          <w:sz w:val="22"/>
          <w:szCs w:val="22"/>
        </w:rPr>
        <w:t>. Co-Expression of CRY2-MinC and ZapA-CIBN in the LInC Assay</w:t>
      </w:r>
    </w:p>
    <w:p w14:paraId="528C883E" w14:textId="74539474" w:rsidR="00732297" w:rsidRPr="00A30EDF" w:rsidRDefault="00732297">
      <w:pPr>
        <w:rPr>
          <w:rFonts w:ascii="Arial" w:hAnsi="Arial" w:cs="Arial"/>
          <w:b/>
          <w:bCs/>
          <w:sz w:val="22"/>
          <w:szCs w:val="22"/>
        </w:rPr>
      </w:pPr>
    </w:p>
    <w:p w14:paraId="704260E8" w14:textId="0FAB0AA9" w:rsidR="00CD54E9" w:rsidRPr="00A30EDF" w:rsidRDefault="001616D0" w:rsidP="00DF55D9">
      <w:pPr>
        <w:ind w:firstLine="720"/>
        <w:jc w:val="both"/>
        <w:divId w:val="526410685"/>
        <w:rPr>
          <w:rFonts w:ascii="Arial" w:hAnsi="Arial" w:cs="Arial"/>
          <w:sz w:val="22"/>
          <w:szCs w:val="22"/>
        </w:rPr>
      </w:pPr>
      <w:proofErr w:type="gramStart"/>
      <w:r w:rsidRPr="00A30EDF">
        <w:rPr>
          <w:rFonts w:ascii="Arial" w:hAnsi="Arial" w:cs="Arial"/>
          <w:sz w:val="22"/>
          <w:szCs w:val="22"/>
        </w:rPr>
        <w:t>For the purpose of</w:t>
      </w:r>
      <w:proofErr w:type="gramEnd"/>
      <w:r w:rsidRPr="00A30EDF">
        <w:rPr>
          <w:rFonts w:ascii="Arial" w:hAnsi="Arial" w:cs="Arial"/>
          <w:sz w:val="22"/>
          <w:szCs w:val="22"/>
        </w:rPr>
        <w:t xml:space="preserve"> the LInC assay, </w:t>
      </w:r>
      <w:r w:rsidR="00732297" w:rsidRPr="00A30EDF">
        <w:rPr>
          <w:rFonts w:ascii="Arial" w:hAnsi="Arial" w:cs="Arial"/>
          <w:sz w:val="22"/>
          <w:szCs w:val="22"/>
        </w:rPr>
        <w:t xml:space="preserve">expression levels of CRY2-MinC and ZapA-CIBN in cells </w:t>
      </w:r>
      <w:r w:rsidR="00572DA9" w:rsidRPr="00A30EDF">
        <w:rPr>
          <w:rFonts w:ascii="Arial" w:hAnsi="Arial" w:cs="Arial"/>
          <w:sz w:val="22"/>
          <w:szCs w:val="22"/>
        </w:rPr>
        <w:t xml:space="preserve">need to be optimized </w:t>
      </w:r>
      <w:r w:rsidRPr="00A30EDF">
        <w:rPr>
          <w:rFonts w:ascii="Arial" w:hAnsi="Arial" w:cs="Arial"/>
          <w:sz w:val="22"/>
          <w:szCs w:val="22"/>
        </w:rPr>
        <w:t xml:space="preserve">so that cell division is not inhibited until light induced complex formation between CRY2 and CIBN to bring MinC to the Z-ring. </w:t>
      </w:r>
      <w:r w:rsidR="00896395" w:rsidRPr="00A30EDF">
        <w:rPr>
          <w:rFonts w:ascii="Arial" w:hAnsi="Arial" w:cs="Arial"/>
          <w:sz w:val="22"/>
          <w:szCs w:val="22"/>
        </w:rPr>
        <w:t>On one hand, a very high level of o</w:t>
      </w:r>
      <w:r w:rsidR="00732297" w:rsidRPr="00A30EDF">
        <w:rPr>
          <w:rFonts w:ascii="Arial" w:hAnsi="Arial" w:cs="Arial"/>
          <w:sz w:val="22"/>
          <w:szCs w:val="22"/>
        </w:rPr>
        <w:t xml:space="preserve">verexpression of MinC </w:t>
      </w:r>
      <w:r w:rsidRPr="00A30EDF">
        <w:rPr>
          <w:rFonts w:ascii="Arial" w:hAnsi="Arial" w:cs="Arial"/>
          <w:sz w:val="22"/>
          <w:szCs w:val="22"/>
        </w:rPr>
        <w:t xml:space="preserve">is known to </w:t>
      </w:r>
      <w:r w:rsidR="00767842" w:rsidRPr="00A30EDF">
        <w:rPr>
          <w:rFonts w:ascii="Arial" w:hAnsi="Arial" w:cs="Arial"/>
          <w:sz w:val="22"/>
          <w:szCs w:val="22"/>
        </w:rPr>
        <w:t>destabiliz</w:t>
      </w:r>
      <w:r w:rsidRPr="00A30EDF">
        <w:rPr>
          <w:rFonts w:ascii="Arial" w:hAnsi="Arial" w:cs="Arial"/>
          <w:sz w:val="22"/>
          <w:szCs w:val="22"/>
        </w:rPr>
        <w:t>e</w:t>
      </w:r>
      <w:r w:rsidR="00767842" w:rsidRPr="00A30EDF">
        <w:rPr>
          <w:rFonts w:ascii="Arial" w:hAnsi="Arial" w:cs="Arial"/>
          <w:sz w:val="22"/>
          <w:szCs w:val="22"/>
        </w:rPr>
        <w:t xml:space="preserve"> of WT Z-rings </w:t>
      </w:r>
      <w:r w:rsidR="00896395" w:rsidRPr="00A30EDF">
        <w:rPr>
          <w:rFonts w:ascii="Arial" w:hAnsi="Arial" w:cs="Arial"/>
          <w:sz w:val="22"/>
          <w:szCs w:val="22"/>
        </w:rPr>
        <w:t xml:space="preserve">by itself, </w:t>
      </w:r>
      <w:r w:rsidR="00767842" w:rsidRPr="00A30EDF">
        <w:rPr>
          <w:rFonts w:ascii="Arial" w:hAnsi="Arial" w:cs="Arial"/>
          <w:sz w:val="22"/>
          <w:szCs w:val="22"/>
        </w:rPr>
        <w:t xml:space="preserve">resulting in </w:t>
      </w:r>
      <w:r w:rsidR="00896395" w:rsidRPr="00A30EDF">
        <w:rPr>
          <w:rFonts w:ascii="Arial" w:hAnsi="Arial" w:cs="Arial"/>
          <w:sz w:val="22"/>
          <w:szCs w:val="22"/>
        </w:rPr>
        <w:t xml:space="preserve">cell </w:t>
      </w:r>
      <w:r w:rsidR="00767842" w:rsidRPr="00A30EDF">
        <w:rPr>
          <w:rFonts w:ascii="Arial" w:hAnsi="Arial" w:cs="Arial"/>
          <w:sz w:val="22"/>
          <w:szCs w:val="22"/>
        </w:rPr>
        <w:t>filamentation and lysis</w:t>
      </w:r>
      <w:sdt>
        <w:sdtPr>
          <w:rPr>
            <w:rFonts w:ascii="Arial" w:hAnsi="Arial" w:cs="Arial"/>
            <w:sz w:val="22"/>
            <w:szCs w:val="22"/>
          </w:rPr>
          <w:alias w:val="SmartCite Citation"/>
          <w:tag w:val="b00a0e89-25a9-41df-907d-5eb817ec2b0d:d60ae738-cf72-4fc2-9644-3dd8ba44287c+"/>
          <w:id w:val="766811404"/>
          <w:placeholder>
            <w:docPart w:val="4CA0C0080414B0438004FC719ED8CCB2"/>
          </w:placeholder>
        </w:sdtPr>
        <w:sdtContent>
          <w:r w:rsidR="00615143" w:rsidRPr="00A30EDF">
            <w:rPr>
              <w:rFonts w:ascii="Arial" w:eastAsia="Times New Roman" w:hAnsi="Arial" w:cs="Arial"/>
              <w:color w:val="000000"/>
              <w:sz w:val="22"/>
              <w:szCs w:val="22"/>
              <w:vertAlign w:val="superscript"/>
            </w:rPr>
            <w:t>1</w:t>
          </w:r>
        </w:sdtContent>
      </w:sdt>
      <w:r w:rsidR="00767842" w:rsidRPr="00A30EDF">
        <w:rPr>
          <w:rFonts w:ascii="Arial" w:hAnsi="Arial" w:cs="Arial"/>
          <w:sz w:val="22"/>
          <w:szCs w:val="22"/>
        </w:rPr>
        <w:t>.</w:t>
      </w:r>
      <w:r w:rsidR="00732297" w:rsidRPr="00A30EDF">
        <w:rPr>
          <w:rFonts w:ascii="Arial" w:hAnsi="Arial" w:cs="Arial"/>
          <w:sz w:val="22"/>
          <w:szCs w:val="22"/>
        </w:rPr>
        <w:t xml:space="preserve"> </w:t>
      </w:r>
      <w:r w:rsidR="00767842" w:rsidRPr="00A30EDF">
        <w:rPr>
          <w:rFonts w:ascii="Arial" w:hAnsi="Arial" w:cs="Arial"/>
          <w:sz w:val="22"/>
          <w:szCs w:val="22"/>
        </w:rPr>
        <w:t xml:space="preserve">On the other hand, overexpression of </w:t>
      </w:r>
      <w:r w:rsidR="00732297" w:rsidRPr="00A30EDF">
        <w:rPr>
          <w:rFonts w:ascii="Arial" w:hAnsi="Arial" w:cs="Arial"/>
          <w:sz w:val="22"/>
          <w:szCs w:val="22"/>
        </w:rPr>
        <w:t>ZapA is known to over-</w:t>
      </w:r>
      <w:r w:rsidR="00767842" w:rsidRPr="00A30EDF">
        <w:rPr>
          <w:rFonts w:ascii="Arial" w:hAnsi="Arial" w:cs="Arial"/>
          <w:sz w:val="22"/>
          <w:szCs w:val="22"/>
        </w:rPr>
        <w:t>stabilize</w:t>
      </w:r>
      <w:r w:rsidR="00732297" w:rsidRPr="00A30EDF">
        <w:rPr>
          <w:rFonts w:ascii="Arial" w:hAnsi="Arial" w:cs="Arial"/>
          <w:sz w:val="22"/>
          <w:szCs w:val="22"/>
        </w:rPr>
        <w:t xml:space="preserve"> the Z-ring </w:t>
      </w:r>
      <w:r w:rsidR="00767842" w:rsidRPr="00A30EDF">
        <w:rPr>
          <w:rFonts w:ascii="Arial" w:hAnsi="Arial" w:cs="Arial"/>
          <w:sz w:val="22"/>
          <w:szCs w:val="22"/>
        </w:rPr>
        <w:t xml:space="preserve">that likely </w:t>
      </w:r>
      <w:r w:rsidR="00732297" w:rsidRPr="00A30EDF">
        <w:rPr>
          <w:rFonts w:ascii="Arial" w:hAnsi="Arial" w:cs="Arial"/>
          <w:sz w:val="22"/>
          <w:szCs w:val="22"/>
        </w:rPr>
        <w:t xml:space="preserve">rendering it more resistant to </w:t>
      </w:r>
      <w:proofErr w:type="spellStart"/>
      <w:r w:rsidR="00732297" w:rsidRPr="00A30EDF">
        <w:rPr>
          <w:rFonts w:ascii="Arial" w:hAnsi="Arial" w:cs="Arial"/>
          <w:sz w:val="22"/>
          <w:szCs w:val="22"/>
        </w:rPr>
        <w:t>MinC’s</w:t>
      </w:r>
      <w:proofErr w:type="spellEnd"/>
      <w:r w:rsidR="00732297" w:rsidRPr="00A30EDF">
        <w:rPr>
          <w:rFonts w:ascii="Arial" w:hAnsi="Arial" w:cs="Arial"/>
          <w:sz w:val="22"/>
          <w:szCs w:val="22"/>
        </w:rPr>
        <w:t xml:space="preserve"> activity</w:t>
      </w:r>
      <w:sdt>
        <w:sdtPr>
          <w:rPr>
            <w:rFonts w:ascii="Arial" w:hAnsi="Arial" w:cs="Arial"/>
            <w:sz w:val="22"/>
            <w:szCs w:val="22"/>
          </w:rPr>
          <w:alias w:val="SmartCite Citation"/>
          <w:tag w:val="b00a0e89-25a9-41df-907d-5eb817ec2b0d:6c798ec8-8eab-4aa0-8104-ddf04978caf4+"/>
          <w:id w:val="-1619128097"/>
          <w:placeholder>
            <w:docPart w:val="DefaultPlaceholder_-1854013440"/>
          </w:placeholder>
        </w:sdtPr>
        <w:sdtContent>
          <w:r w:rsidR="00615143" w:rsidRPr="00A30EDF">
            <w:rPr>
              <w:rFonts w:ascii="Arial" w:eastAsia="Times New Roman" w:hAnsi="Arial" w:cs="Arial"/>
              <w:color w:val="000000"/>
              <w:sz w:val="22"/>
              <w:szCs w:val="22"/>
              <w:vertAlign w:val="superscript"/>
            </w:rPr>
            <w:t>2</w:t>
          </w:r>
        </w:sdtContent>
      </w:sdt>
      <w:r w:rsidR="00732297" w:rsidRPr="00A30EDF">
        <w:rPr>
          <w:rFonts w:ascii="Arial" w:hAnsi="Arial" w:cs="Arial"/>
          <w:sz w:val="22"/>
          <w:szCs w:val="22"/>
        </w:rPr>
        <w:t>.</w:t>
      </w:r>
      <w:r w:rsidR="00767842" w:rsidRPr="00A30EDF">
        <w:rPr>
          <w:rFonts w:ascii="Arial" w:hAnsi="Arial" w:cs="Arial"/>
          <w:sz w:val="22"/>
          <w:szCs w:val="22"/>
        </w:rPr>
        <w:t xml:space="preserve"> </w:t>
      </w:r>
      <w:r w:rsidR="004E0528" w:rsidRPr="00A30EDF">
        <w:rPr>
          <w:rFonts w:ascii="Arial" w:hAnsi="Arial" w:cs="Arial"/>
          <w:sz w:val="22"/>
          <w:szCs w:val="22"/>
        </w:rPr>
        <w:t>Therefore, the expression levels of</w:t>
      </w:r>
      <w:r w:rsidR="00732297" w:rsidRPr="00A30EDF">
        <w:rPr>
          <w:rFonts w:ascii="Arial" w:hAnsi="Arial" w:cs="Arial"/>
          <w:sz w:val="22"/>
          <w:szCs w:val="22"/>
        </w:rPr>
        <w:t xml:space="preserve"> both of ZapA and MinC fusions need to </w:t>
      </w:r>
      <w:r w:rsidR="004E0528" w:rsidRPr="00A30EDF">
        <w:rPr>
          <w:rFonts w:ascii="Arial" w:hAnsi="Arial" w:cs="Arial"/>
          <w:sz w:val="22"/>
          <w:szCs w:val="22"/>
        </w:rPr>
        <w:t xml:space="preserve">be </w:t>
      </w:r>
      <w:r w:rsidR="00732297" w:rsidRPr="00A30EDF">
        <w:rPr>
          <w:rFonts w:ascii="Arial" w:hAnsi="Arial" w:cs="Arial"/>
          <w:sz w:val="22"/>
          <w:szCs w:val="22"/>
        </w:rPr>
        <w:t xml:space="preserve">carefully </w:t>
      </w:r>
      <w:r w:rsidR="00AF18F8" w:rsidRPr="00A30EDF">
        <w:rPr>
          <w:rFonts w:ascii="Arial" w:hAnsi="Arial" w:cs="Arial"/>
          <w:sz w:val="22"/>
          <w:szCs w:val="22"/>
        </w:rPr>
        <w:t>controlled so that the</w:t>
      </w:r>
      <w:r w:rsidR="00FB13CC" w:rsidRPr="00A30EDF">
        <w:rPr>
          <w:rFonts w:ascii="Arial" w:hAnsi="Arial" w:cs="Arial"/>
          <w:sz w:val="22"/>
          <w:szCs w:val="22"/>
        </w:rPr>
        <w:t xml:space="preserve"> Z-ring morphology</w:t>
      </w:r>
      <w:r w:rsidR="00AF18F8" w:rsidRPr="00A30EDF">
        <w:rPr>
          <w:rFonts w:ascii="Arial" w:hAnsi="Arial" w:cs="Arial"/>
          <w:sz w:val="22"/>
          <w:szCs w:val="22"/>
        </w:rPr>
        <w:t xml:space="preserve"> and</w:t>
      </w:r>
      <w:r w:rsidR="00FB13CC" w:rsidRPr="00A30EDF">
        <w:rPr>
          <w:rFonts w:ascii="Arial" w:hAnsi="Arial" w:cs="Arial"/>
          <w:sz w:val="22"/>
          <w:szCs w:val="22"/>
        </w:rPr>
        <w:t xml:space="preserve"> </w:t>
      </w:r>
      <w:r w:rsidR="00AF18F8" w:rsidRPr="00A30EDF">
        <w:rPr>
          <w:rFonts w:ascii="Arial" w:hAnsi="Arial" w:cs="Arial"/>
          <w:sz w:val="22"/>
          <w:szCs w:val="22"/>
        </w:rPr>
        <w:t>cell growth/</w:t>
      </w:r>
      <w:r w:rsidR="00FB13CC" w:rsidRPr="00A30EDF">
        <w:rPr>
          <w:rFonts w:ascii="Arial" w:hAnsi="Arial" w:cs="Arial"/>
          <w:sz w:val="22"/>
          <w:szCs w:val="22"/>
        </w:rPr>
        <w:t>division</w:t>
      </w:r>
      <w:r w:rsidR="00AF18F8" w:rsidRPr="00A30EDF">
        <w:rPr>
          <w:rFonts w:ascii="Arial" w:hAnsi="Arial" w:cs="Arial"/>
          <w:sz w:val="22"/>
          <w:szCs w:val="22"/>
        </w:rPr>
        <w:t xml:space="preserve"> are not perturbed</w:t>
      </w:r>
      <w:r w:rsidR="00572DA9" w:rsidRPr="00A30EDF">
        <w:rPr>
          <w:rFonts w:ascii="Arial" w:hAnsi="Arial" w:cs="Arial"/>
          <w:sz w:val="22"/>
          <w:szCs w:val="22"/>
        </w:rPr>
        <w:t xml:space="preserve"> prior to light induction, but efficiently perturbed after light induction</w:t>
      </w:r>
      <w:r w:rsidR="00FB13CC" w:rsidRPr="00A30EDF">
        <w:rPr>
          <w:rFonts w:ascii="Arial" w:hAnsi="Arial" w:cs="Arial"/>
          <w:sz w:val="22"/>
          <w:szCs w:val="22"/>
        </w:rPr>
        <w:t>.</w:t>
      </w:r>
      <w:r w:rsidR="00135F51" w:rsidRPr="00A30EDF">
        <w:rPr>
          <w:rFonts w:ascii="Arial" w:hAnsi="Arial" w:cs="Arial"/>
          <w:sz w:val="22"/>
          <w:szCs w:val="22"/>
        </w:rPr>
        <w:t xml:space="preserve"> </w:t>
      </w:r>
    </w:p>
    <w:p w14:paraId="5300063A" w14:textId="77777777" w:rsidR="00CD54E9" w:rsidRPr="00A30EDF" w:rsidRDefault="00CD54E9" w:rsidP="00FB13CC">
      <w:pPr>
        <w:jc w:val="both"/>
        <w:divId w:val="526410685"/>
        <w:rPr>
          <w:rFonts w:ascii="Arial" w:hAnsi="Arial" w:cs="Arial"/>
          <w:sz w:val="22"/>
          <w:szCs w:val="22"/>
        </w:rPr>
      </w:pPr>
    </w:p>
    <w:p w14:paraId="611A48FA" w14:textId="49738840" w:rsidR="00732297" w:rsidRPr="00A30EDF" w:rsidRDefault="00135F51" w:rsidP="00DF55D9">
      <w:pPr>
        <w:ind w:firstLine="720"/>
        <w:jc w:val="both"/>
        <w:divId w:val="526410685"/>
        <w:rPr>
          <w:rFonts w:ascii="Arial" w:hAnsi="Arial" w:cs="Arial"/>
          <w:sz w:val="22"/>
          <w:szCs w:val="22"/>
        </w:rPr>
      </w:pPr>
      <w:r w:rsidRPr="00A30EDF">
        <w:rPr>
          <w:rFonts w:ascii="Arial" w:hAnsi="Arial" w:cs="Arial"/>
          <w:sz w:val="22"/>
          <w:szCs w:val="22"/>
        </w:rPr>
        <w:t xml:space="preserve">To </w:t>
      </w:r>
      <w:r w:rsidR="001616D0" w:rsidRPr="00A30EDF">
        <w:rPr>
          <w:rFonts w:ascii="Arial" w:hAnsi="Arial" w:cs="Arial"/>
          <w:sz w:val="22"/>
          <w:szCs w:val="22"/>
        </w:rPr>
        <w:t>achieve optimal expression levels of both CRY2-MinC and ZapA-CIBN</w:t>
      </w:r>
      <w:r w:rsidR="00572DA9" w:rsidRPr="00A30EDF">
        <w:rPr>
          <w:rFonts w:ascii="Arial" w:hAnsi="Arial" w:cs="Arial"/>
          <w:sz w:val="22"/>
          <w:szCs w:val="22"/>
        </w:rPr>
        <w:t>,</w:t>
      </w:r>
      <w:r w:rsidR="001616D0" w:rsidRPr="00A30EDF">
        <w:rPr>
          <w:rFonts w:ascii="Arial" w:hAnsi="Arial" w:cs="Arial"/>
          <w:sz w:val="22"/>
          <w:szCs w:val="22"/>
        </w:rPr>
        <w:t xml:space="preserve"> </w:t>
      </w:r>
      <w:r w:rsidRPr="00A30EDF">
        <w:rPr>
          <w:rFonts w:ascii="Arial" w:hAnsi="Arial" w:cs="Arial"/>
          <w:sz w:val="22"/>
          <w:szCs w:val="22"/>
        </w:rPr>
        <w:t>we grew cells harboring</w:t>
      </w:r>
      <w:r w:rsidR="00572DA9" w:rsidRPr="00A30EDF">
        <w:rPr>
          <w:rFonts w:ascii="Arial" w:hAnsi="Arial" w:cs="Arial"/>
          <w:sz w:val="22"/>
          <w:szCs w:val="22"/>
        </w:rPr>
        <w:t xml:space="preserve"> </w:t>
      </w:r>
      <w:r w:rsidRPr="00A30EDF">
        <w:rPr>
          <w:rFonts w:ascii="Arial" w:hAnsi="Arial" w:cs="Arial"/>
          <w:sz w:val="22"/>
          <w:szCs w:val="22"/>
        </w:rPr>
        <w:t xml:space="preserve">ZapA and MinC fusions overnight in LB </w:t>
      </w:r>
      <w:r w:rsidR="00AF18F8" w:rsidRPr="00A30EDF">
        <w:rPr>
          <w:rFonts w:ascii="Arial" w:hAnsi="Arial" w:cs="Arial"/>
          <w:sz w:val="22"/>
          <w:szCs w:val="22"/>
        </w:rPr>
        <w:t xml:space="preserve">to reach saturation. We then </w:t>
      </w:r>
      <w:r w:rsidR="00955402" w:rsidRPr="00A30EDF">
        <w:rPr>
          <w:rFonts w:ascii="Arial" w:hAnsi="Arial" w:cs="Arial"/>
          <w:sz w:val="22"/>
          <w:szCs w:val="22"/>
        </w:rPr>
        <w:t>diluted</w:t>
      </w:r>
      <w:r w:rsidR="00AF18F8" w:rsidRPr="00A30EDF">
        <w:rPr>
          <w:rFonts w:ascii="Arial" w:hAnsi="Arial" w:cs="Arial"/>
          <w:sz w:val="22"/>
          <w:szCs w:val="22"/>
        </w:rPr>
        <w:t xml:space="preserve"> the overnight culture</w:t>
      </w:r>
      <w:r w:rsidRPr="00A30EDF">
        <w:rPr>
          <w:rFonts w:ascii="Arial" w:hAnsi="Arial" w:cs="Arial"/>
          <w:sz w:val="22"/>
          <w:szCs w:val="22"/>
        </w:rPr>
        <w:t xml:space="preserve"> 1:200 in M9+ medium and allowed them to reach </w:t>
      </w:r>
      <w:r w:rsidR="00572DA9" w:rsidRPr="00A30EDF">
        <w:rPr>
          <w:rFonts w:ascii="Arial" w:hAnsi="Arial" w:cs="Arial"/>
          <w:sz w:val="22"/>
          <w:szCs w:val="22"/>
        </w:rPr>
        <w:t xml:space="preserve">early </w:t>
      </w:r>
      <w:r w:rsidRPr="00A30EDF">
        <w:rPr>
          <w:rFonts w:ascii="Arial" w:hAnsi="Arial" w:cs="Arial"/>
          <w:sz w:val="22"/>
          <w:szCs w:val="22"/>
        </w:rPr>
        <w:t>log-phase (OD</w:t>
      </w:r>
      <w:r w:rsidRPr="00A30EDF">
        <w:rPr>
          <w:rFonts w:ascii="Arial" w:hAnsi="Arial" w:cs="Arial"/>
          <w:sz w:val="22"/>
          <w:szCs w:val="22"/>
          <w:vertAlign w:val="subscript"/>
        </w:rPr>
        <w:t>600</w:t>
      </w:r>
      <w:r w:rsidRPr="00A30EDF">
        <w:rPr>
          <w:rFonts w:ascii="Arial" w:hAnsi="Arial" w:cs="Arial"/>
          <w:sz w:val="22"/>
          <w:szCs w:val="22"/>
        </w:rPr>
        <w:t xml:space="preserve"> between 0.1 and 0.2). We then shifted </w:t>
      </w:r>
      <w:r w:rsidR="00AF18F8" w:rsidRPr="00A30EDF">
        <w:rPr>
          <w:rFonts w:ascii="Arial" w:hAnsi="Arial" w:cs="Arial"/>
          <w:sz w:val="22"/>
          <w:szCs w:val="22"/>
        </w:rPr>
        <w:t xml:space="preserve">the </w:t>
      </w:r>
      <w:r w:rsidRPr="00A30EDF">
        <w:rPr>
          <w:rFonts w:ascii="Arial" w:hAnsi="Arial" w:cs="Arial"/>
          <w:sz w:val="22"/>
          <w:szCs w:val="22"/>
        </w:rPr>
        <w:t xml:space="preserve">culture </w:t>
      </w:r>
      <w:r w:rsidR="00AF18F8" w:rsidRPr="00A30EDF">
        <w:rPr>
          <w:rFonts w:ascii="Arial" w:hAnsi="Arial" w:cs="Arial"/>
          <w:sz w:val="22"/>
          <w:szCs w:val="22"/>
        </w:rPr>
        <w:t xml:space="preserve">to room temperature </w:t>
      </w:r>
      <w:r w:rsidRPr="00A30EDF">
        <w:rPr>
          <w:rFonts w:ascii="Arial" w:hAnsi="Arial" w:cs="Arial"/>
          <w:sz w:val="22"/>
          <w:szCs w:val="22"/>
        </w:rPr>
        <w:t xml:space="preserve">to slow </w:t>
      </w:r>
      <w:r w:rsidR="00AF18F8" w:rsidRPr="00A30EDF">
        <w:rPr>
          <w:rFonts w:ascii="Arial" w:hAnsi="Arial" w:cs="Arial"/>
          <w:sz w:val="22"/>
          <w:szCs w:val="22"/>
        </w:rPr>
        <w:t xml:space="preserve">down </w:t>
      </w:r>
      <w:r w:rsidRPr="00A30EDF">
        <w:rPr>
          <w:rFonts w:ascii="Arial" w:hAnsi="Arial" w:cs="Arial"/>
          <w:sz w:val="22"/>
          <w:szCs w:val="22"/>
        </w:rPr>
        <w:t xml:space="preserve">their growth and induced </w:t>
      </w:r>
      <w:r w:rsidR="00AF18F8" w:rsidRPr="00A30EDF">
        <w:rPr>
          <w:rFonts w:ascii="Arial" w:hAnsi="Arial" w:cs="Arial"/>
          <w:sz w:val="22"/>
          <w:szCs w:val="22"/>
        </w:rPr>
        <w:t xml:space="preserve">the culture with </w:t>
      </w:r>
      <w:r w:rsidRPr="00A30EDF">
        <w:rPr>
          <w:rFonts w:ascii="Arial" w:hAnsi="Arial" w:cs="Arial"/>
          <w:sz w:val="22"/>
          <w:szCs w:val="22"/>
        </w:rPr>
        <w:t xml:space="preserve">different concentrations of IPTG and arabinose for 1-2hrs. After the induction period we immediately examined the cell and Z-ring morphology in the absence of blue light. </w:t>
      </w:r>
      <w:r w:rsidR="00AF18F8" w:rsidRPr="00A30EDF">
        <w:rPr>
          <w:rFonts w:ascii="Arial" w:hAnsi="Arial" w:cs="Arial"/>
          <w:sz w:val="22"/>
          <w:szCs w:val="22"/>
        </w:rPr>
        <w:t xml:space="preserve">From these experiments, we determined that the induction condition of </w:t>
      </w:r>
      <w:r w:rsidRPr="00A30EDF">
        <w:rPr>
          <w:rFonts w:ascii="Arial" w:hAnsi="Arial" w:cs="Arial"/>
          <w:sz w:val="22"/>
          <w:szCs w:val="22"/>
        </w:rPr>
        <w:t>10</w:t>
      </w:r>
      <w:r w:rsidR="00F2367D">
        <w:rPr>
          <w:rFonts w:ascii="Arial" w:hAnsi="Arial" w:cs="Arial"/>
          <w:sz w:val="22"/>
          <w:szCs w:val="22"/>
        </w:rPr>
        <w:t xml:space="preserve"> </w:t>
      </w:r>
      <w:r w:rsidRPr="00A30EDF">
        <w:rPr>
          <w:rFonts w:ascii="Arial" w:hAnsi="Arial" w:cs="Arial"/>
          <w:sz w:val="22"/>
          <w:szCs w:val="22"/>
        </w:rPr>
        <w:t xml:space="preserve">μM IPTG </w:t>
      </w:r>
      <w:r w:rsidR="007F6FC0" w:rsidRPr="00A30EDF">
        <w:rPr>
          <w:rFonts w:ascii="Arial" w:hAnsi="Arial" w:cs="Arial"/>
          <w:sz w:val="22"/>
          <w:szCs w:val="22"/>
        </w:rPr>
        <w:t xml:space="preserve">for CRY2-MinC </w:t>
      </w:r>
      <w:r w:rsidRPr="00A30EDF">
        <w:rPr>
          <w:rFonts w:ascii="Arial" w:hAnsi="Arial" w:cs="Arial"/>
          <w:sz w:val="22"/>
          <w:szCs w:val="22"/>
        </w:rPr>
        <w:t xml:space="preserve">and 0.2% arabinose </w:t>
      </w:r>
      <w:r w:rsidR="007F6FC0" w:rsidRPr="00A30EDF">
        <w:rPr>
          <w:rFonts w:ascii="Arial" w:hAnsi="Arial" w:cs="Arial"/>
          <w:sz w:val="22"/>
          <w:szCs w:val="22"/>
        </w:rPr>
        <w:t xml:space="preserve">for ZapA-CIBN </w:t>
      </w:r>
      <w:r w:rsidRPr="00A30EDF">
        <w:rPr>
          <w:rFonts w:ascii="Arial" w:hAnsi="Arial" w:cs="Arial"/>
          <w:sz w:val="22"/>
          <w:szCs w:val="22"/>
        </w:rPr>
        <w:t xml:space="preserve">yielded the most WT-looking cells as determined by </w:t>
      </w:r>
      <w:r w:rsidR="00CD54E9" w:rsidRPr="00A30EDF">
        <w:rPr>
          <w:rFonts w:ascii="Arial" w:hAnsi="Arial" w:cs="Arial"/>
          <w:sz w:val="22"/>
          <w:szCs w:val="22"/>
        </w:rPr>
        <w:t>cell length</w:t>
      </w:r>
      <w:r w:rsidR="00AF18F8" w:rsidRPr="00A30EDF">
        <w:rPr>
          <w:rFonts w:ascii="Arial" w:hAnsi="Arial" w:cs="Arial"/>
          <w:sz w:val="22"/>
          <w:szCs w:val="22"/>
        </w:rPr>
        <w:t xml:space="preserve"> measurement</w:t>
      </w:r>
      <w:r w:rsidR="00CD54E9" w:rsidRPr="00A30EDF">
        <w:rPr>
          <w:rFonts w:ascii="Arial" w:hAnsi="Arial" w:cs="Arial"/>
          <w:sz w:val="22"/>
          <w:szCs w:val="22"/>
        </w:rPr>
        <w:t>.</w:t>
      </w:r>
    </w:p>
    <w:p w14:paraId="356DF1CE" w14:textId="76258D5B" w:rsidR="00732297" w:rsidRPr="00A30EDF" w:rsidRDefault="00732297">
      <w:pPr>
        <w:divId w:val="526410685"/>
        <w:rPr>
          <w:rFonts w:ascii="Arial" w:hAnsi="Arial" w:cs="Arial"/>
          <w:sz w:val="22"/>
          <w:szCs w:val="22"/>
        </w:rPr>
      </w:pPr>
    </w:p>
    <w:p w14:paraId="19ACC4D0" w14:textId="02F628BF" w:rsidR="00732297" w:rsidRPr="00A30EDF" w:rsidRDefault="00732297">
      <w:pPr>
        <w:divId w:val="526410685"/>
        <w:rPr>
          <w:rFonts w:ascii="Arial" w:hAnsi="Arial" w:cs="Arial"/>
          <w:sz w:val="22"/>
          <w:szCs w:val="22"/>
        </w:rPr>
      </w:pPr>
    </w:p>
    <w:p w14:paraId="3885CE20" w14:textId="77777777" w:rsidR="00615143" w:rsidRPr="00A30EDF" w:rsidRDefault="00615143">
      <w:pPr>
        <w:divId w:val="526410685"/>
        <w:rPr>
          <w:rFonts w:ascii="Arial" w:hAnsi="Arial" w:cs="Arial"/>
          <w:sz w:val="22"/>
          <w:szCs w:val="22"/>
        </w:rPr>
      </w:pPr>
    </w:p>
    <w:p w14:paraId="6E163C71" w14:textId="56349A93" w:rsidR="00732297" w:rsidRPr="00A30EDF" w:rsidRDefault="00732297">
      <w:pPr>
        <w:divId w:val="526410685"/>
        <w:rPr>
          <w:rFonts w:ascii="Arial" w:hAnsi="Arial" w:cs="Arial"/>
          <w:b/>
          <w:bCs/>
          <w:sz w:val="22"/>
          <w:szCs w:val="22"/>
        </w:rPr>
      </w:pPr>
      <w:r w:rsidRPr="00A30EDF">
        <w:rPr>
          <w:rFonts w:ascii="Arial" w:hAnsi="Arial" w:cs="Arial"/>
          <w:b/>
          <w:bCs/>
          <w:sz w:val="22"/>
          <w:szCs w:val="22"/>
        </w:rPr>
        <w:t>References</w:t>
      </w:r>
    </w:p>
    <w:sdt>
      <w:sdtPr>
        <w:rPr>
          <w:rFonts w:ascii="Arial" w:hAnsi="Arial" w:cs="Arial"/>
          <w:sz w:val="22"/>
          <w:szCs w:val="22"/>
        </w:rPr>
        <w:alias w:val="SmartCite Bibliography"/>
        <w:tag w:val="Nature Methods"/>
        <w:id w:val="1216005408"/>
        <w:placeholder>
          <w:docPart w:val="DefaultPlaceholder_-1854013440"/>
        </w:placeholder>
      </w:sdtPr>
      <w:sdtContent>
        <w:p w14:paraId="50141A97" w14:textId="77777777" w:rsidR="00615143" w:rsidRPr="00A30EDF" w:rsidRDefault="00615143">
          <w:pPr>
            <w:divId w:val="1177041851"/>
            <w:rPr>
              <w:rFonts w:ascii="Arial" w:eastAsia="Times New Roman" w:hAnsi="Arial" w:cs="Arial"/>
              <w:color w:val="000000"/>
              <w:sz w:val="22"/>
              <w:szCs w:val="22"/>
            </w:rPr>
          </w:pPr>
        </w:p>
        <w:p w14:paraId="2E4CEB7F" w14:textId="77777777" w:rsidR="00615143" w:rsidRPr="00A30EDF" w:rsidRDefault="00615143">
          <w:pPr>
            <w:pStyle w:val="csl-entry"/>
            <w:divId w:val="1177041851"/>
            <w:rPr>
              <w:rFonts w:ascii="Arial" w:hAnsi="Arial" w:cs="Arial"/>
              <w:color w:val="000000"/>
              <w:sz w:val="22"/>
              <w:szCs w:val="22"/>
            </w:rPr>
          </w:pPr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1. Hu, Z. &amp; </w:t>
          </w:r>
          <w:proofErr w:type="spellStart"/>
          <w:r w:rsidRPr="00A30EDF">
            <w:rPr>
              <w:rFonts w:ascii="Arial" w:hAnsi="Arial" w:cs="Arial"/>
              <w:color w:val="000000"/>
              <w:sz w:val="22"/>
              <w:szCs w:val="22"/>
            </w:rPr>
            <w:t>Lutkenhaus</w:t>
          </w:r>
          <w:proofErr w:type="spellEnd"/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, J. Analysis of MinC Reveals Two Independent Domains Involved in Interaction with </w:t>
          </w:r>
          <w:proofErr w:type="spellStart"/>
          <w:r w:rsidRPr="00A30EDF">
            <w:rPr>
              <w:rFonts w:ascii="Arial" w:hAnsi="Arial" w:cs="Arial"/>
              <w:color w:val="000000"/>
              <w:sz w:val="22"/>
              <w:szCs w:val="22"/>
            </w:rPr>
            <w:t>MinD</w:t>
          </w:r>
          <w:proofErr w:type="spellEnd"/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 and FtsZ. </w:t>
          </w:r>
          <w:r w:rsidRPr="00A30EDF">
            <w:rPr>
              <w:rFonts w:ascii="Arial" w:hAnsi="Arial" w:cs="Arial"/>
              <w:i/>
              <w:iCs/>
              <w:color w:val="000000"/>
              <w:sz w:val="22"/>
              <w:szCs w:val="22"/>
            </w:rPr>
            <w:t xml:space="preserve">J </w:t>
          </w:r>
          <w:proofErr w:type="spellStart"/>
          <w:r w:rsidRPr="00A30EDF">
            <w:rPr>
              <w:rFonts w:ascii="Arial" w:hAnsi="Arial" w:cs="Arial"/>
              <w:i/>
              <w:iCs/>
              <w:color w:val="000000"/>
              <w:sz w:val="22"/>
              <w:szCs w:val="22"/>
            </w:rPr>
            <w:t>Bacteriol</w:t>
          </w:r>
          <w:proofErr w:type="spellEnd"/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 </w:t>
          </w:r>
          <w:r w:rsidRPr="00A30EDF">
            <w:rPr>
              <w:rFonts w:ascii="Arial" w:hAnsi="Arial" w:cs="Arial"/>
              <w:bCs/>
              <w:color w:val="000000"/>
              <w:sz w:val="22"/>
              <w:szCs w:val="22"/>
            </w:rPr>
            <w:t>182</w:t>
          </w:r>
          <w:r w:rsidRPr="00A30EDF">
            <w:rPr>
              <w:rFonts w:ascii="Arial" w:hAnsi="Arial" w:cs="Arial"/>
              <w:color w:val="000000"/>
              <w:sz w:val="22"/>
              <w:szCs w:val="22"/>
            </w:rPr>
            <w:t>, 3965–3971 (2000).</w:t>
          </w:r>
        </w:p>
        <w:p w14:paraId="57F33C67" w14:textId="77777777" w:rsidR="00615143" w:rsidRPr="00A30EDF" w:rsidRDefault="00615143">
          <w:pPr>
            <w:pStyle w:val="csl-entry"/>
            <w:divId w:val="1177041851"/>
            <w:rPr>
              <w:rFonts w:ascii="Arial" w:hAnsi="Arial" w:cs="Arial"/>
              <w:color w:val="000000"/>
              <w:sz w:val="22"/>
              <w:szCs w:val="22"/>
            </w:rPr>
          </w:pPr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2. Arumugam, S., </w:t>
          </w:r>
          <w:proofErr w:type="spellStart"/>
          <w:r w:rsidRPr="00A30EDF">
            <w:rPr>
              <w:rFonts w:ascii="Arial" w:hAnsi="Arial" w:cs="Arial"/>
              <w:color w:val="000000"/>
              <w:sz w:val="22"/>
              <w:szCs w:val="22"/>
            </w:rPr>
            <w:t>Petrášek</w:t>
          </w:r>
          <w:proofErr w:type="spellEnd"/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, Z. &amp; </w:t>
          </w:r>
          <w:proofErr w:type="spellStart"/>
          <w:r w:rsidRPr="00A30EDF">
            <w:rPr>
              <w:rFonts w:ascii="Arial" w:hAnsi="Arial" w:cs="Arial"/>
              <w:color w:val="000000"/>
              <w:sz w:val="22"/>
              <w:szCs w:val="22"/>
            </w:rPr>
            <w:t>Schwille</w:t>
          </w:r>
          <w:proofErr w:type="spellEnd"/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, P. </w:t>
          </w:r>
          <w:proofErr w:type="spellStart"/>
          <w:r w:rsidRPr="00A30EDF">
            <w:rPr>
              <w:rFonts w:ascii="Arial" w:hAnsi="Arial" w:cs="Arial"/>
              <w:color w:val="000000"/>
              <w:sz w:val="22"/>
              <w:szCs w:val="22"/>
            </w:rPr>
            <w:t>MinCDE</w:t>
          </w:r>
          <w:proofErr w:type="spellEnd"/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 exploits the dynamic nature of FtsZ filaments for its spatial regulation. </w:t>
          </w:r>
          <w:r w:rsidRPr="00A30EDF">
            <w:rPr>
              <w:rFonts w:ascii="Arial" w:hAnsi="Arial" w:cs="Arial"/>
              <w:i/>
              <w:iCs/>
              <w:color w:val="000000"/>
              <w:sz w:val="22"/>
              <w:szCs w:val="22"/>
            </w:rPr>
            <w:t xml:space="preserve">Proc National </w:t>
          </w:r>
          <w:proofErr w:type="spellStart"/>
          <w:r w:rsidRPr="00A30EDF">
            <w:rPr>
              <w:rFonts w:ascii="Arial" w:hAnsi="Arial" w:cs="Arial"/>
              <w:i/>
              <w:iCs/>
              <w:color w:val="000000"/>
              <w:sz w:val="22"/>
              <w:szCs w:val="22"/>
            </w:rPr>
            <w:t>Acad</w:t>
          </w:r>
          <w:proofErr w:type="spellEnd"/>
          <w:r w:rsidRPr="00A30EDF">
            <w:rPr>
              <w:rFonts w:ascii="Arial" w:hAnsi="Arial" w:cs="Arial"/>
              <w:i/>
              <w:iCs/>
              <w:color w:val="000000"/>
              <w:sz w:val="22"/>
              <w:szCs w:val="22"/>
            </w:rPr>
            <w:t xml:space="preserve"> Sci</w:t>
          </w:r>
          <w:r w:rsidRPr="00A30EDF">
            <w:rPr>
              <w:rFonts w:ascii="Arial" w:hAnsi="Arial" w:cs="Arial"/>
              <w:color w:val="000000"/>
              <w:sz w:val="22"/>
              <w:szCs w:val="22"/>
            </w:rPr>
            <w:t xml:space="preserve"> </w:t>
          </w:r>
          <w:r w:rsidRPr="00A30EDF">
            <w:rPr>
              <w:rFonts w:ascii="Arial" w:hAnsi="Arial" w:cs="Arial"/>
              <w:bCs/>
              <w:color w:val="000000"/>
              <w:sz w:val="22"/>
              <w:szCs w:val="22"/>
            </w:rPr>
            <w:t>111</w:t>
          </w:r>
          <w:r w:rsidRPr="00A30EDF">
            <w:rPr>
              <w:rFonts w:ascii="Arial" w:hAnsi="Arial" w:cs="Arial"/>
              <w:color w:val="000000"/>
              <w:sz w:val="22"/>
              <w:szCs w:val="22"/>
            </w:rPr>
            <w:t>, E1192-200 (2014).</w:t>
          </w:r>
        </w:p>
        <w:p w14:paraId="45730F7D" w14:textId="29613062" w:rsidR="00732297" w:rsidRPr="00A30EDF" w:rsidRDefault="00615143">
          <w:pPr>
            <w:rPr>
              <w:rFonts w:ascii="Arial" w:hAnsi="Arial" w:cs="Arial"/>
              <w:sz w:val="22"/>
              <w:szCs w:val="22"/>
            </w:rPr>
          </w:pPr>
          <w:r w:rsidRPr="00A30EDF">
            <w:rPr>
              <w:rFonts w:ascii="Arial" w:eastAsia="Times New Roman" w:hAnsi="Arial" w:cs="Arial"/>
              <w:color w:val="000000"/>
              <w:sz w:val="22"/>
              <w:szCs w:val="22"/>
            </w:rPr>
            <w:t> </w:t>
          </w:r>
        </w:p>
      </w:sdtContent>
    </w:sdt>
    <w:sectPr w:rsidR="00732297" w:rsidRPr="00A30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297"/>
    <w:rsid w:val="00135F51"/>
    <w:rsid w:val="001616D0"/>
    <w:rsid w:val="001B7B8D"/>
    <w:rsid w:val="002027BC"/>
    <w:rsid w:val="0028272A"/>
    <w:rsid w:val="004E0528"/>
    <w:rsid w:val="005133B4"/>
    <w:rsid w:val="00572DA9"/>
    <w:rsid w:val="00587641"/>
    <w:rsid w:val="00615143"/>
    <w:rsid w:val="0067772B"/>
    <w:rsid w:val="006943E5"/>
    <w:rsid w:val="00732297"/>
    <w:rsid w:val="00767842"/>
    <w:rsid w:val="007F6FC0"/>
    <w:rsid w:val="00896395"/>
    <w:rsid w:val="008F38A6"/>
    <w:rsid w:val="00955402"/>
    <w:rsid w:val="009A3D77"/>
    <w:rsid w:val="00A30EDF"/>
    <w:rsid w:val="00AF18F8"/>
    <w:rsid w:val="00CD54E9"/>
    <w:rsid w:val="00DF55D9"/>
    <w:rsid w:val="00E27164"/>
    <w:rsid w:val="00E90D21"/>
    <w:rsid w:val="00F2367D"/>
    <w:rsid w:val="00FB13CC"/>
    <w:rsid w:val="00FB2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E3758"/>
  <w15:chartTrackingRefBased/>
  <w15:docId w15:val="{2FA0B7A2-F7B3-F647-8D76-96AE62018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32297"/>
    <w:rPr>
      <w:color w:val="808080"/>
    </w:rPr>
  </w:style>
  <w:style w:type="paragraph" w:customStyle="1" w:styleId="csl-entry">
    <w:name w:val="csl-entry"/>
    <w:basedOn w:val="Normal"/>
    <w:rsid w:val="00732297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styleId="Revision">
    <w:name w:val="Revision"/>
    <w:hidden/>
    <w:uiPriority w:val="99"/>
    <w:semiHidden/>
    <w:rsid w:val="004E05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84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028CA1-B311-8D49-91ED-91AF3F7E5BDD}"/>
      </w:docPartPr>
      <w:docPartBody>
        <w:p w:rsidR="0027634E" w:rsidRDefault="001E2C0F">
          <w:r w:rsidRPr="00AD19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A0C0080414B0438004FC719ED8CC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E21E3-2699-C24A-BCA8-DEB03E25E651}"/>
      </w:docPartPr>
      <w:docPartBody>
        <w:p w:rsidR="0027634E" w:rsidRDefault="001E2C0F" w:rsidP="001E2C0F">
          <w:pPr>
            <w:pStyle w:val="4CA0C0080414B0438004FC719ED8CCB2"/>
          </w:pPr>
          <w:r w:rsidRPr="00AD198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1E2C0F"/>
    <w:rsid w:val="0027634E"/>
    <w:rsid w:val="0028272A"/>
    <w:rsid w:val="004721C1"/>
    <w:rsid w:val="00810E01"/>
    <w:rsid w:val="009A3D77"/>
    <w:rsid w:val="009B1C26"/>
    <w:rsid w:val="00A119C8"/>
    <w:rsid w:val="00AC0EEC"/>
    <w:rsid w:val="00AF7E4E"/>
    <w:rsid w:val="00CA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E2C0F"/>
    <w:rPr>
      <w:color w:val="808080"/>
    </w:rPr>
  </w:style>
  <w:style w:type="paragraph" w:customStyle="1" w:styleId="4CA0C0080414B0438004FC719ED8CCB2">
    <w:name w:val="4CA0C0080414B0438004FC719ED8CCB2"/>
    <w:rsid w:val="001E2C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0B5291F-96F6-4046-96DD-AE79AC593BA7}">
  <we:reference id="wa104380917" version="1.0.1.0" store="en-US" storeType="OMEX"/>
  <we:alternateReferences>
    <we:reference id="wa104380917" version="1.0.1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84581E1-B2B5-8348-90F0-2312E9C0E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JHU APL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McQuillen</dc:creator>
  <cp:keywords/>
  <dc:description/>
  <cp:lastModifiedBy>Ryan McQuillen</cp:lastModifiedBy>
  <cp:revision>8</cp:revision>
  <dcterms:created xsi:type="dcterms:W3CDTF">2022-03-23T21:14:00Z</dcterms:created>
  <dcterms:modified xsi:type="dcterms:W3CDTF">2024-07-10T10:52:00Z</dcterms:modified>
</cp:coreProperties>
</file>