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69D69" w14:textId="77777777" w:rsidR="005C7C43" w:rsidRDefault="005A4796" w:rsidP="005A4796">
      <w:pPr>
        <w:pStyle w:val="Title"/>
      </w:pPr>
      <w:r>
        <w:t>Supplementary material</w:t>
      </w:r>
      <w:r w:rsidR="008C26C9">
        <w:t xml:space="preserve"> 2</w:t>
      </w:r>
    </w:p>
    <w:p w14:paraId="5891AC52" w14:textId="77777777" w:rsidR="005A4796" w:rsidRDefault="005A4796" w:rsidP="005A4796"/>
    <w:p w14:paraId="678CA432" w14:textId="77777777" w:rsidR="005A4796" w:rsidRDefault="005A4796" w:rsidP="005A4796"/>
    <w:p w14:paraId="19840D46" w14:textId="77777777" w:rsidR="005A4796" w:rsidRDefault="005A4796" w:rsidP="005A4796">
      <w:pPr>
        <w:keepNext/>
      </w:pPr>
      <w:r>
        <w:rPr>
          <w:noProof/>
        </w:rPr>
        <w:drawing>
          <wp:inline distT="0" distB="0" distL="0" distR="0" wp14:anchorId="071EA249" wp14:editId="3D447920">
            <wp:extent cx="3810000" cy="3810000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DFA9C" w14:textId="77777777" w:rsidR="005A4796" w:rsidRPr="005A4796" w:rsidRDefault="005A4796" w:rsidP="005A4796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E06C53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Supplementary Figure 1 –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Mean reads of all samples within each group.</w:t>
      </w:r>
    </w:p>
    <w:p w14:paraId="1F843E1E" w14:textId="77777777" w:rsidR="005A4796" w:rsidRDefault="005A4796" w:rsidP="005A4796">
      <w:pPr>
        <w:pStyle w:val="Heading1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6E799B8" wp14:editId="7E00DA31">
            <wp:extent cx="5715000" cy="381000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FB9B9" w14:textId="77777777" w:rsidR="005A4796" w:rsidRPr="005A4796" w:rsidRDefault="005A4796" w:rsidP="005A4796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Supplementary Figure </w:t>
      </w:r>
      <w:r w:rsidR="0082006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2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–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Rarefaction curves for each sample within each group. </w:t>
      </w:r>
    </w:p>
    <w:p w14:paraId="2094CA39" w14:textId="13A97277" w:rsidR="005A4796" w:rsidRDefault="005A4796" w:rsidP="005A4796">
      <w:pPr>
        <w:rPr>
          <w:lang w:val="en-US"/>
        </w:rPr>
      </w:pPr>
    </w:p>
    <w:p w14:paraId="669909C8" w14:textId="7C13786E" w:rsidR="001107F4" w:rsidRDefault="001107F4" w:rsidP="005A4796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D282182" wp14:editId="25E2779D">
            <wp:extent cx="6118860" cy="61493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614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D2450" w14:textId="53AF92EB" w:rsidR="001107F4" w:rsidRPr="001107F4" w:rsidRDefault="001107F4" w:rsidP="005A4796">
      <w:pPr>
        <w:rPr>
          <w:lang w:val="en-US"/>
        </w:rPr>
      </w:pPr>
      <w:r w:rsidRPr="001107F4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3</w:t>
      </w:r>
      <w:r w:rsidRPr="001107F4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–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Correlation analyses between immune markers and β-diversity measures.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Vascular epithelial growth factor C (VEGF-C) was found to correlate positively with weighted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UniFrac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(A). VEGF-D was found to correlate positively with weighted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UniFrac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(B). IL-1a was found to correlate negatively with weighted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UniFrac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(C).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</w:p>
    <w:sectPr w:rsidR="001107F4" w:rsidRPr="001107F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796"/>
    <w:rsid w:val="001107F4"/>
    <w:rsid w:val="0045401A"/>
    <w:rsid w:val="005A4796"/>
    <w:rsid w:val="005C7C43"/>
    <w:rsid w:val="0082006E"/>
    <w:rsid w:val="008C26C9"/>
    <w:rsid w:val="00F1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7A15F9"/>
  <w15:chartTrackingRefBased/>
  <w15:docId w15:val="{E3F5ABE1-9BC1-4B36-947B-3FD69E255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7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A47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A47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4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796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5A479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</Words>
  <Characters>445</Characters>
  <Application>Microsoft Office Word</Application>
  <DocSecurity>0</DocSecurity>
  <Lines>3</Lines>
  <Paragraphs>1</Paragraphs>
  <ScaleCrop>false</ScaleCrop>
  <Company>Region Nordjylland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Kristine Knudsen</dc:creator>
  <cp:keywords/>
  <dc:description/>
  <cp:lastModifiedBy>Julie Knudsen</cp:lastModifiedBy>
  <cp:revision>2</cp:revision>
  <dcterms:created xsi:type="dcterms:W3CDTF">2022-04-18T14:06:00Z</dcterms:created>
  <dcterms:modified xsi:type="dcterms:W3CDTF">2022-04-18T14:06:00Z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