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024FD" w14:textId="2DD2CFF5" w:rsidR="00455754" w:rsidRPr="00280BDD" w:rsidRDefault="00AB0D20" w:rsidP="004557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B0D2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Online Resource 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="00455754" w:rsidRPr="00280BDD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. Univariable and multivariable analyses of MACEs for patients with limus-DES repeat stenting </w:t>
      </w:r>
    </w:p>
    <w:tbl>
      <w:tblPr>
        <w:tblStyle w:val="a7"/>
        <w:tblW w:w="10915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0"/>
        <w:gridCol w:w="1701"/>
        <w:gridCol w:w="1935"/>
        <w:gridCol w:w="1032"/>
        <w:gridCol w:w="1871"/>
        <w:gridCol w:w="1032"/>
        <w:gridCol w:w="64"/>
      </w:tblGrid>
      <w:tr w:rsidR="00455754" w:rsidRPr="00280BDD" w14:paraId="55556B20" w14:textId="77777777" w:rsidTr="00470EE2">
        <w:trPr>
          <w:jc w:val="center"/>
        </w:trPr>
        <w:tc>
          <w:tcPr>
            <w:tcW w:w="3280" w:type="dxa"/>
            <w:tcBorders>
              <w:top w:val="single" w:sz="4" w:space="0" w:color="auto"/>
            </w:tcBorders>
            <w:vAlign w:val="center"/>
          </w:tcPr>
          <w:p w14:paraId="56B80082" w14:textId="77777777" w:rsidR="00455754" w:rsidRPr="00280BDD" w:rsidRDefault="00455754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vAlign w:val="center"/>
          </w:tcPr>
          <w:p w14:paraId="6BF86C24" w14:textId="77777777" w:rsidR="00455754" w:rsidRPr="00280BDD" w:rsidRDefault="00455754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M</w:t>
            </w:r>
            <w:r w:rsidRPr="00280BDD">
              <w:rPr>
                <w:rFonts w:eastAsiaTheme="minorEastAsia"/>
                <w:sz w:val="24"/>
                <w:szCs w:val="24"/>
              </w:rPr>
              <w:t>ACEs, n (%)</w:t>
            </w:r>
          </w:p>
        </w:tc>
        <w:tc>
          <w:tcPr>
            <w:tcW w:w="2967" w:type="dxa"/>
            <w:gridSpan w:val="2"/>
            <w:tcBorders>
              <w:top w:val="single" w:sz="4" w:space="0" w:color="auto"/>
            </w:tcBorders>
            <w:vAlign w:val="center"/>
          </w:tcPr>
          <w:p w14:paraId="34599704" w14:textId="77777777" w:rsidR="00455754" w:rsidRPr="00280BDD" w:rsidRDefault="00455754" w:rsidP="00470EE2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Univariable</w:t>
            </w:r>
          </w:p>
        </w:tc>
        <w:tc>
          <w:tcPr>
            <w:tcW w:w="2967" w:type="dxa"/>
            <w:gridSpan w:val="3"/>
            <w:tcBorders>
              <w:top w:val="single" w:sz="4" w:space="0" w:color="auto"/>
            </w:tcBorders>
            <w:vAlign w:val="center"/>
          </w:tcPr>
          <w:p w14:paraId="6C034AB1" w14:textId="77777777" w:rsidR="00455754" w:rsidRPr="00280BDD" w:rsidRDefault="00455754" w:rsidP="00470EE2">
            <w:pPr>
              <w:spacing w:line="480" w:lineRule="auto"/>
              <w:jc w:val="center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Multivariable</w:t>
            </w:r>
          </w:p>
        </w:tc>
      </w:tr>
      <w:tr w:rsidR="00455754" w:rsidRPr="00280BDD" w14:paraId="5B4C03CF" w14:textId="77777777" w:rsidTr="00470EE2">
        <w:trPr>
          <w:gridAfter w:val="1"/>
          <w:wAfter w:w="64" w:type="dxa"/>
          <w:jc w:val="center"/>
        </w:trPr>
        <w:tc>
          <w:tcPr>
            <w:tcW w:w="3280" w:type="dxa"/>
            <w:tcBorders>
              <w:bottom w:val="single" w:sz="4" w:space="0" w:color="auto"/>
            </w:tcBorders>
            <w:vAlign w:val="center"/>
          </w:tcPr>
          <w:p w14:paraId="48FB8A29" w14:textId="77777777" w:rsidR="00455754" w:rsidRPr="00280BDD" w:rsidRDefault="00455754" w:rsidP="00470EE2">
            <w:pPr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14:paraId="74F01112" w14:textId="77777777" w:rsidR="00455754" w:rsidRPr="00280BDD" w:rsidRDefault="00455754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</w:p>
        </w:tc>
        <w:tc>
          <w:tcPr>
            <w:tcW w:w="1935" w:type="dxa"/>
            <w:tcBorders>
              <w:bottom w:val="single" w:sz="4" w:space="0" w:color="auto"/>
            </w:tcBorders>
            <w:vAlign w:val="center"/>
            <w:hideMark/>
          </w:tcPr>
          <w:p w14:paraId="38CBD900" w14:textId="77777777" w:rsidR="00455754" w:rsidRPr="00280BDD" w:rsidRDefault="00455754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HR (95% CI)</w:t>
            </w: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  <w:hideMark/>
          </w:tcPr>
          <w:p w14:paraId="7F509968" w14:textId="77777777" w:rsidR="00455754" w:rsidRPr="00280BDD" w:rsidRDefault="00455754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i/>
                <w:iCs/>
                <w:sz w:val="24"/>
                <w:szCs w:val="24"/>
              </w:rPr>
              <w:t>P</w:t>
            </w:r>
            <w:r w:rsidRPr="00280BDD">
              <w:rPr>
                <w:sz w:val="24"/>
                <w:szCs w:val="24"/>
              </w:rPr>
              <w:t>-value</w:t>
            </w:r>
          </w:p>
        </w:tc>
        <w:tc>
          <w:tcPr>
            <w:tcW w:w="1871" w:type="dxa"/>
            <w:tcBorders>
              <w:bottom w:val="single" w:sz="4" w:space="0" w:color="auto"/>
            </w:tcBorders>
            <w:vAlign w:val="center"/>
            <w:hideMark/>
          </w:tcPr>
          <w:p w14:paraId="521A24C4" w14:textId="77777777" w:rsidR="00455754" w:rsidRPr="00280BDD" w:rsidRDefault="00455754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HR (95% CI)</w:t>
            </w: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  <w:hideMark/>
          </w:tcPr>
          <w:p w14:paraId="500141F4" w14:textId="77777777" w:rsidR="00455754" w:rsidRPr="00280BDD" w:rsidRDefault="00455754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i/>
                <w:iCs/>
                <w:sz w:val="24"/>
                <w:szCs w:val="24"/>
              </w:rPr>
              <w:t>P</w:t>
            </w:r>
            <w:r w:rsidRPr="00280BDD">
              <w:rPr>
                <w:sz w:val="24"/>
                <w:szCs w:val="24"/>
              </w:rPr>
              <w:t>-value</w:t>
            </w:r>
          </w:p>
        </w:tc>
      </w:tr>
      <w:tr w:rsidR="00455754" w:rsidRPr="00280BDD" w14:paraId="2D446776" w14:textId="77777777" w:rsidTr="00470EE2">
        <w:trPr>
          <w:jc w:val="center"/>
        </w:trPr>
        <w:tc>
          <w:tcPr>
            <w:tcW w:w="3280" w:type="dxa"/>
            <w:tcBorders>
              <w:top w:val="single" w:sz="4" w:space="0" w:color="auto"/>
            </w:tcBorders>
            <w:vAlign w:val="center"/>
            <w:hideMark/>
          </w:tcPr>
          <w:p w14:paraId="0E3AF1B2" w14:textId="77777777" w:rsidR="00455754" w:rsidRPr="00280BDD" w:rsidRDefault="00455754" w:rsidP="00470EE2">
            <w:pPr>
              <w:spacing w:line="480" w:lineRule="auto"/>
              <w:rPr>
                <w:sz w:val="24"/>
                <w:szCs w:val="24"/>
              </w:rPr>
            </w:pPr>
            <w:r w:rsidRPr="00280BDD">
              <w:rPr>
                <w:rFonts w:eastAsia="等线"/>
                <w:sz w:val="24"/>
                <w:szCs w:val="24"/>
              </w:rPr>
              <w:t>Same antiproliferative drug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0656F6CF" w14:textId="77777777" w:rsidR="00455754" w:rsidRPr="00280BDD" w:rsidRDefault="00455754" w:rsidP="00470EE2">
            <w:pPr>
              <w:widowControl/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2</w:t>
            </w:r>
            <w:r w:rsidRPr="00280BDD">
              <w:rPr>
                <w:rFonts w:eastAsiaTheme="minorEastAsia"/>
                <w:sz w:val="24"/>
                <w:szCs w:val="24"/>
              </w:rPr>
              <w:t>6 (38.2)</w:t>
            </w:r>
          </w:p>
        </w:tc>
        <w:tc>
          <w:tcPr>
            <w:tcW w:w="2967" w:type="dxa"/>
            <w:gridSpan w:val="2"/>
            <w:tcBorders>
              <w:top w:val="single" w:sz="4" w:space="0" w:color="auto"/>
            </w:tcBorders>
            <w:vAlign w:val="center"/>
          </w:tcPr>
          <w:p w14:paraId="51471F11" w14:textId="77777777" w:rsidR="00455754" w:rsidRPr="00280BDD" w:rsidRDefault="00455754" w:rsidP="00470EE2">
            <w:pPr>
              <w:widowControl/>
              <w:spacing w:line="480" w:lineRule="auto"/>
              <w:rPr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Reference</w:t>
            </w:r>
          </w:p>
        </w:tc>
        <w:tc>
          <w:tcPr>
            <w:tcW w:w="2967" w:type="dxa"/>
            <w:gridSpan w:val="3"/>
            <w:tcBorders>
              <w:top w:val="single" w:sz="4" w:space="0" w:color="auto"/>
            </w:tcBorders>
            <w:vAlign w:val="center"/>
          </w:tcPr>
          <w:p w14:paraId="307FAE09" w14:textId="77777777" w:rsidR="00455754" w:rsidRPr="00280BDD" w:rsidRDefault="00455754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Reference</w:t>
            </w:r>
          </w:p>
        </w:tc>
      </w:tr>
      <w:tr w:rsidR="00455754" w:rsidRPr="00280BDD" w14:paraId="43A39465" w14:textId="77777777" w:rsidTr="00470EE2">
        <w:trPr>
          <w:gridAfter w:val="1"/>
          <w:wAfter w:w="64" w:type="dxa"/>
          <w:jc w:val="center"/>
        </w:trPr>
        <w:tc>
          <w:tcPr>
            <w:tcW w:w="3280" w:type="dxa"/>
            <w:tcBorders>
              <w:bottom w:val="single" w:sz="4" w:space="0" w:color="auto"/>
            </w:tcBorders>
            <w:vAlign w:val="center"/>
          </w:tcPr>
          <w:p w14:paraId="3441EBB1" w14:textId="77777777" w:rsidR="00455754" w:rsidRPr="00280BDD" w:rsidRDefault="00455754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sz w:val="24"/>
                <w:szCs w:val="24"/>
              </w:rPr>
              <w:t>Different antiproliferative drug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FFBA643" w14:textId="77777777" w:rsidR="00455754" w:rsidRPr="00280BDD" w:rsidRDefault="00455754" w:rsidP="00470EE2">
            <w:pPr>
              <w:widowControl/>
              <w:spacing w:line="480" w:lineRule="auto"/>
              <w:rPr>
                <w:rFonts w:eastAsia="等线"/>
                <w:sz w:val="24"/>
                <w:szCs w:val="24"/>
              </w:rPr>
            </w:pPr>
            <w:r w:rsidRPr="00280BDD">
              <w:rPr>
                <w:rFonts w:eastAsia="等线" w:hint="eastAsia"/>
                <w:sz w:val="24"/>
                <w:szCs w:val="24"/>
              </w:rPr>
              <w:t>8</w:t>
            </w:r>
            <w:r w:rsidRPr="00280BDD">
              <w:rPr>
                <w:rFonts w:eastAsia="等线"/>
                <w:sz w:val="24"/>
                <w:szCs w:val="24"/>
              </w:rPr>
              <w:t xml:space="preserve"> (12.7)</w:t>
            </w:r>
          </w:p>
        </w:tc>
        <w:tc>
          <w:tcPr>
            <w:tcW w:w="1935" w:type="dxa"/>
            <w:tcBorders>
              <w:bottom w:val="single" w:sz="4" w:space="0" w:color="auto"/>
            </w:tcBorders>
            <w:vAlign w:val="center"/>
          </w:tcPr>
          <w:p w14:paraId="542644AF" w14:textId="77777777" w:rsidR="00455754" w:rsidRPr="00280BDD" w:rsidRDefault="00455754" w:rsidP="00470EE2">
            <w:pPr>
              <w:widowControl/>
              <w:spacing w:line="480" w:lineRule="auto"/>
              <w:rPr>
                <w:rFonts w:eastAsia="等线"/>
                <w:sz w:val="24"/>
                <w:szCs w:val="24"/>
              </w:rPr>
            </w:pPr>
            <w:r w:rsidRPr="00280BDD">
              <w:rPr>
                <w:rFonts w:eastAsia="等线" w:hint="eastAsia"/>
                <w:sz w:val="24"/>
                <w:szCs w:val="24"/>
              </w:rPr>
              <w:t>0</w:t>
            </w:r>
            <w:r w:rsidRPr="00280BDD">
              <w:rPr>
                <w:rFonts w:eastAsia="等线"/>
                <w:sz w:val="24"/>
                <w:szCs w:val="24"/>
              </w:rPr>
              <w:t>.29 (0.13-0.64)</w:t>
            </w: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</w:tcPr>
          <w:p w14:paraId="5B25E070" w14:textId="77777777" w:rsidR="00455754" w:rsidRPr="00280BDD" w:rsidRDefault="00455754" w:rsidP="00470EE2">
            <w:pPr>
              <w:widowControl/>
              <w:spacing w:line="480" w:lineRule="auto"/>
              <w:rPr>
                <w:rFonts w:eastAsia="等线"/>
                <w:sz w:val="24"/>
                <w:szCs w:val="24"/>
              </w:rPr>
            </w:pPr>
            <w:r w:rsidRPr="00280BDD">
              <w:rPr>
                <w:rFonts w:eastAsia="等线" w:hint="eastAsia"/>
                <w:sz w:val="24"/>
                <w:szCs w:val="24"/>
              </w:rPr>
              <w:t>0</w:t>
            </w:r>
            <w:r w:rsidRPr="00280BDD">
              <w:rPr>
                <w:rFonts w:eastAsia="等线"/>
                <w:sz w:val="24"/>
                <w:szCs w:val="24"/>
              </w:rPr>
              <w:t>.002</w:t>
            </w:r>
          </w:p>
        </w:tc>
        <w:tc>
          <w:tcPr>
            <w:tcW w:w="1871" w:type="dxa"/>
            <w:tcBorders>
              <w:bottom w:val="single" w:sz="4" w:space="0" w:color="auto"/>
            </w:tcBorders>
            <w:vAlign w:val="center"/>
          </w:tcPr>
          <w:p w14:paraId="572013FC" w14:textId="77777777" w:rsidR="00455754" w:rsidRPr="00280BDD" w:rsidRDefault="00455754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.35 (0.15-0.79)</w:t>
            </w:r>
          </w:p>
        </w:tc>
        <w:tc>
          <w:tcPr>
            <w:tcW w:w="1032" w:type="dxa"/>
            <w:tcBorders>
              <w:bottom w:val="single" w:sz="4" w:space="0" w:color="auto"/>
            </w:tcBorders>
            <w:vAlign w:val="center"/>
          </w:tcPr>
          <w:p w14:paraId="04AB8896" w14:textId="77777777" w:rsidR="00455754" w:rsidRPr="00280BDD" w:rsidRDefault="00455754" w:rsidP="00470EE2">
            <w:pPr>
              <w:spacing w:line="480" w:lineRule="auto"/>
              <w:rPr>
                <w:rFonts w:eastAsiaTheme="minorEastAsia"/>
                <w:sz w:val="24"/>
                <w:szCs w:val="24"/>
              </w:rPr>
            </w:pPr>
            <w:r w:rsidRPr="00280BDD">
              <w:rPr>
                <w:rFonts w:eastAsiaTheme="minorEastAsia" w:hint="eastAsia"/>
                <w:sz w:val="24"/>
                <w:szCs w:val="24"/>
              </w:rPr>
              <w:t>0</w:t>
            </w:r>
            <w:r w:rsidRPr="00280BDD">
              <w:rPr>
                <w:rFonts w:eastAsiaTheme="minorEastAsia"/>
                <w:sz w:val="24"/>
                <w:szCs w:val="24"/>
              </w:rPr>
              <w:t>.012</w:t>
            </w:r>
          </w:p>
        </w:tc>
      </w:tr>
    </w:tbl>
    <w:p w14:paraId="7580BF7A" w14:textId="77777777" w:rsidR="00455754" w:rsidRPr="00280BDD" w:rsidRDefault="00455754" w:rsidP="0045575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80BDD">
        <w:rPr>
          <w:rFonts w:ascii="Times New Roman" w:hAnsi="Times New Roman" w:cs="Times New Roman"/>
          <w:sz w:val="24"/>
          <w:szCs w:val="24"/>
        </w:rPr>
        <w:t xml:space="preserve">The data are presented as the hazard ratio (95% confidence interval) and </w:t>
      </w:r>
      <w:r w:rsidRPr="00280BDD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280BDD">
        <w:rPr>
          <w:rFonts w:ascii="Times New Roman" w:hAnsi="Times New Roman" w:cs="Times New Roman"/>
          <w:sz w:val="24"/>
          <w:szCs w:val="24"/>
        </w:rPr>
        <w:t xml:space="preserve"> value. Multivariable model was adjusted for final implantation, CKD,</w:t>
      </w:r>
      <w:r w:rsidRPr="00280BDD">
        <w:rPr>
          <w:rFonts w:ascii="Times New Roman" w:hAnsi="Times New Roman" w:cs="Times New Roman"/>
          <w:kern w:val="0"/>
          <w:sz w:val="24"/>
          <w:szCs w:val="24"/>
        </w:rPr>
        <w:t xml:space="preserve"> dual antiplatelet therapy,</w:t>
      </w:r>
      <w:r w:rsidRPr="00280BDD">
        <w:t xml:space="preserve"> </w:t>
      </w:r>
      <w:r w:rsidRPr="00280BDD">
        <w:rPr>
          <w:rFonts w:ascii="Times New Roman" w:hAnsi="Times New Roman" w:cs="Times New Roman"/>
          <w:sz w:val="24"/>
          <w:szCs w:val="24"/>
        </w:rPr>
        <w:t>time since last stents implantation in target lesion, number of stent layers in lesions, and different antiproliferative drug. CI: confidence interval; DES: drug-eluting stent; HR: hazard ratio; MACE: major adverse cardiac event</w:t>
      </w:r>
    </w:p>
    <w:p w14:paraId="7917F98E" w14:textId="77777777" w:rsidR="00CD1C54" w:rsidRPr="00455754" w:rsidRDefault="00CD1C54" w:rsidP="00455754"/>
    <w:sectPr w:rsidR="00CD1C54" w:rsidRPr="00455754" w:rsidSect="00EA23F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D28EF" w14:textId="77777777" w:rsidR="00AA3708" w:rsidRDefault="00AA3708" w:rsidP="00EA23F5">
      <w:r>
        <w:separator/>
      </w:r>
    </w:p>
  </w:endnote>
  <w:endnote w:type="continuationSeparator" w:id="0">
    <w:p w14:paraId="233A8E52" w14:textId="77777777" w:rsidR="00AA3708" w:rsidRDefault="00AA3708" w:rsidP="00EA2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A25E9B" w14:textId="77777777" w:rsidR="00AA3708" w:rsidRDefault="00AA3708" w:rsidP="00EA23F5">
      <w:r>
        <w:separator/>
      </w:r>
    </w:p>
  </w:footnote>
  <w:footnote w:type="continuationSeparator" w:id="0">
    <w:p w14:paraId="0E7FA215" w14:textId="77777777" w:rsidR="00AA3708" w:rsidRDefault="00AA3708" w:rsidP="00EA23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C54"/>
    <w:rsid w:val="0021760E"/>
    <w:rsid w:val="00455754"/>
    <w:rsid w:val="007615A6"/>
    <w:rsid w:val="0091759C"/>
    <w:rsid w:val="00943E21"/>
    <w:rsid w:val="00AA3708"/>
    <w:rsid w:val="00AB0D20"/>
    <w:rsid w:val="00CD1C54"/>
    <w:rsid w:val="00EA2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F6790B"/>
  <w15:chartTrackingRefBased/>
  <w15:docId w15:val="{8F664B8F-5880-41C4-BCB9-014DD236F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23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23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23F5"/>
    <w:rPr>
      <w:sz w:val="18"/>
      <w:szCs w:val="18"/>
    </w:rPr>
  </w:style>
  <w:style w:type="table" w:styleId="a7">
    <w:name w:val="Table Grid"/>
    <w:basedOn w:val="a1"/>
    <w:uiPriority w:val="99"/>
    <w:rsid w:val="00943E21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634</Characters>
  <Application>Microsoft Office Word</Application>
  <DocSecurity>0</DocSecurity>
  <Lines>5</Lines>
  <Paragraphs>1</Paragraphs>
  <ScaleCrop>false</ScaleCrop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宇超</dc:creator>
  <cp:keywords/>
  <dc:description/>
  <cp:lastModifiedBy>张 宇超</cp:lastModifiedBy>
  <cp:revision>5</cp:revision>
  <dcterms:created xsi:type="dcterms:W3CDTF">2022-04-28T04:22:00Z</dcterms:created>
  <dcterms:modified xsi:type="dcterms:W3CDTF">2022-04-28T07:48:00Z</dcterms:modified>
</cp:coreProperties>
</file>