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95BE3" w14:textId="56C0A768" w:rsidR="00943E21" w:rsidRPr="00280BDD" w:rsidRDefault="00487B32" w:rsidP="00943E21">
      <w:pPr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487B32">
        <w:rPr>
          <w:rFonts w:ascii="Times New Roman" w:hAnsi="Times New Roman" w:cs="Times New Roman"/>
          <w:b/>
          <w:bCs/>
          <w:kern w:val="0"/>
          <w:sz w:val="24"/>
          <w:szCs w:val="24"/>
        </w:rPr>
        <w:t>Online Resource 3</w:t>
      </w:r>
      <w:r w:rsidR="00943E21" w:rsidRPr="00280BDD">
        <w:rPr>
          <w:rFonts w:ascii="Times New Roman" w:hAnsi="Times New Roman" w:cs="Times New Roman"/>
          <w:b/>
          <w:bCs/>
          <w:kern w:val="0"/>
          <w:sz w:val="24"/>
          <w:szCs w:val="24"/>
        </w:rPr>
        <w:t>. Risk of clinical outcome after IPTW</w:t>
      </w:r>
    </w:p>
    <w:tbl>
      <w:tblPr>
        <w:tblStyle w:val="a7"/>
        <w:tblW w:w="6577" w:type="dxa"/>
        <w:jc w:val="center"/>
        <w:tblInd w:w="0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232"/>
        <w:gridCol w:w="1077"/>
      </w:tblGrid>
      <w:tr w:rsidR="00943E21" w:rsidRPr="00280BDD" w14:paraId="72B67A66" w14:textId="77777777" w:rsidTr="00470EE2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</w:tcBorders>
            <w:vAlign w:val="center"/>
          </w:tcPr>
          <w:p w14:paraId="7016E61C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4" w:space="0" w:color="auto"/>
            </w:tcBorders>
          </w:tcPr>
          <w:p w14:paraId="3986A76C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/>
                <w:sz w:val="24"/>
                <w:szCs w:val="24"/>
              </w:rPr>
              <w:t>HR</w:t>
            </w:r>
            <w:r w:rsidRPr="00280BDD">
              <w:rPr>
                <w:sz w:val="24"/>
                <w:szCs w:val="24"/>
              </w:rPr>
              <w:t xml:space="preserve"> (95% CI)</w:t>
            </w:r>
          </w:p>
        </w:tc>
        <w:tc>
          <w:tcPr>
            <w:tcW w:w="1077" w:type="dxa"/>
            <w:tcBorders>
              <w:top w:val="single" w:sz="4" w:space="0" w:color="auto"/>
              <w:right w:val="nil"/>
            </w:tcBorders>
          </w:tcPr>
          <w:p w14:paraId="7DD1BFC2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i/>
                <w:iCs/>
                <w:sz w:val="24"/>
                <w:szCs w:val="24"/>
              </w:rPr>
              <w:t>P</w:t>
            </w:r>
            <w:r w:rsidRPr="00280BDD">
              <w:rPr>
                <w:sz w:val="24"/>
                <w:szCs w:val="24"/>
              </w:rPr>
              <w:t>-value</w:t>
            </w:r>
          </w:p>
        </w:tc>
      </w:tr>
      <w:tr w:rsidR="00943E21" w:rsidRPr="00280BDD" w14:paraId="23D76E73" w14:textId="77777777" w:rsidTr="00470EE2">
        <w:trPr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</w:tcBorders>
            <w:vAlign w:val="center"/>
          </w:tcPr>
          <w:p w14:paraId="5D827DE2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MACEs</w:t>
            </w:r>
          </w:p>
        </w:tc>
        <w:tc>
          <w:tcPr>
            <w:tcW w:w="3232" w:type="dxa"/>
            <w:tcBorders>
              <w:top w:val="single" w:sz="4" w:space="0" w:color="auto"/>
            </w:tcBorders>
          </w:tcPr>
          <w:p w14:paraId="7224376B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0.76 (0.42-1.36)</w:t>
            </w:r>
          </w:p>
        </w:tc>
        <w:tc>
          <w:tcPr>
            <w:tcW w:w="1077" w:type="dxa"/>
            <w:tcBorders>
              <w:top w:val="single" w:sz="4" w:space="0" w:color="auto"/>
              <w:right w:val="nil"/>
            </w:tcBorders>
          </w:tcPr>
          <w:p w14:paraId="726EE86C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hint="eastAsia"/>
                <w:sz w:val="24"/>
                <w:szCs w:val="24"/>
              </w:rPr>
              <w:t>0</w:t>
            </w:r>
            <w:r w:rsidRPr="00280BDD">
              <w:rPr>
                <w:sz w:val="24"/>
                <w:szCs w:val="24"/>
              </w:rPr>
              <w:t>.354</w:t>
            </w:r>
          </w:p>
        </w:tc>
      </w:tr>
      <w:tr w:rsidR="00943E21" w:rsidRPr="00280BDD" w14:paraId="22323D10" w14:textId="77777777" w:rsidTr="00470EE2">
        <w:trPr>
          <w:jc w:val="center"/>
        </w:trPr>
        <w:tc>
          <w:tcPr>
            <w:tcW w:w="2268" w:type="dxa"/>
            <w:tcBorders>
              <w:left w:val="nil"/>
            </w:tcBorders>
            <w:vAlign w:val="center"/>
            <w:hideMark/>
          </w:tcPr>
          <w:p w14:paraId="1AB4E4F5" w14:textId="77777777" w:rsidR="00943E21" w:rsidRPr="00280BDD" w:rsidRDefault="00943E21" w:rsidP="00470EE2">
            <w:pPr>
              <w:widowControl/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Cardiac death</w:t>
            </w:r>
          </w:p>
        </w:tc>
        <w:tc>
          <w:tcPr>
            <w:tcW w:w="3232" w:type="dxa"/>
          </w:tcPr>
          <w:p w14:paraId="28C040CE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0.57 (0.12-2.76)</w:t>
            </w:r>
          </w:p>
        </w:tc>
        <w:tc>
          <w:tcPr>
            <w:tcW w:w="1077" w:type="dxa"/>
            <w:tcBorders>
              <w:right w:val="nil"/>
            </w:tcBorders>
          </w:tcPr>
          <w:p w14:paraId="7282E258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hint="eastAsia"/>
                <w:sz w:val="24"/>
                <w:szCs w:val="24"/>
              </w:rPr>
              <w:t>0</w:t>
            </w:r>
            <w:r w:rsidRPr="00280BDD">
              <w:rPr>
                <w:sz w:val="24"/>
                <w:szCs w:val="24"/>
              </w:rPr>
              <w:t>.481</w:t>
            </w:r>
          </w:p>
        </w:tc>
      </w:tr>
      <w:tr w:rsidR="00943E21" w:rsidRPr="00280BDD" w14:paraId="3ACD16CA" w14:textId="77777777" w:rsidTr="00470EE2">
        <w:trPr>
          <w:jc w:val="center"/>
        </w:trPr>
        <w:tc>
          <w:tcPr>
            <w:tcW w:w="2268" w:type="dxa"/>
            <w:tcBorders>
              <w:left w:val="nil"/>
            </w:tcBorders>
            <w:vAlign w:val="center"/>
            <w:hideMark/>
          </w:tcPr>
          <w:p w14:paraId="7C5D4249" w14:textId="77777777" w:rsidR="00943E21" w:rsidRPr="00280BDD" w:rsidRDefault="00943E21" w:rsidP="00470EE2">
            <w:pPr>
              <w:widowControl/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MI</w:t>
            </w:r>
          </w:p>
        </w:tc>
        <w:tc>
          <w:tcPr>
            <w:tcW w:w="3232" w:type="dxa"/>
          </w:tcPr>
          <w:p w14:paraId="20C4E28F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0.86 (0.37-1.98)</w:t>
            </w:r>
          </w:p>
        </w:tc>
        <w:tc>
          <w:tcPr>
            <w:tcW w:w="1077" w:type="dxa"/>
            <w:tcBorders>
              <w:right w:val="nil"/>
            </w:tcBorders>
          </w:tcPr>
          <w:p w14:paraId="3C343B20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hint="eastAsia"/>
                <w:sz w:val="24"/>
                <w:szCs w:val="24"/>
              </w:rPr>
              <w:t>0</w:t>
            </w:r>
            <w:r w:rsidRPr="00280BDD">
              <w:rPr>
                <w:sz w:val="24"/>
                <w:szCs w:val="24"/>
              </w:rPr>
              <w:t>.719</w:t>
            </w:r>
          </w:p>
        </w:tc>
      </w:tr>
      <w:tr w:rsidR="00943E21" w:rsidRPr="00280BDD" w14:paraId="64D7F949" w14:textId="77777777" w:rsidTr="00470EE2">
        <w:trPr>
          <w:jc w:val="center"/>
        </w:trPr>
        <w:tc>
          <w:tcPr>
            <w:tcW w:w="2268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68F006E4" w14:textId="77777777" w:rsidR="00943E21" w:rsidRPr="00280BDD" w:rsidRDefault="00943E21" w:rsidP="00470EE2">
            <w:pPr>
              <w:widowControl/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TLR</w:t>
            </w:r>
          </w:p>
        </w:tc>
        <w:tc>
          <w:tcPr>
            <w:tcW w:w="3232" w:type="dxa"/>
            <w:tcBorders>
              <w:bottom w:val="single" w:sz="4" w:space="0" w:color="auto"/>
            </w:tcBorders>
          </w:tcPr>
          <w:p w14:paraId="5B454BEB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0.70 (0.36-1.35)</w:t>
            </w:r>
          </w:p>
        </w:tc>
        <w:tc>
          <w:tcPr>
            <w:tcW w:w="1077" w:type="dxa"/>
            <w:tcBorders>
              <w:bottom w:val="single" w:sz="4" w:space="0" w:color="auto"/>
              <w:right w:val="nil"/>
            </w:tcBorders>
          </w:tcPr>
          <w:p w14:paraId="0C7E5037" w14:textId="77777777" w:rsidR="00943E21" w:rsidRPr="00280BDD" w:rsidRDefault="00943E21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hint="eastAsia"/>
                <w:sz w:val="24"/>
                <w:szCs w:val="24"/>
              </w:rPr>
              <w:t>0</w:t>
            </w:r>
            <w:r w:rsidRPr="00280BDD">
              <w:rPr>
                <w:sz w:val="24"/>
                <w:szCs w:val="24"/>
              </w:rPr>
              <w:t>.383</w:t>
            </w:r>
          </w:p>
        </w:tc>
      </w:tr>
    </w:tbl>
    <w:p w14:paraId="4C836546" w14:textId="77777777" w:rsidR="00943E21" w:rsidRPr="00280BDD" w:rsidRDefault="00943E21" w:rsidP="00943E21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280BDD">
        <w:rPr>
          <w:rFonts w:ascii="Times New Roman" w:hAnsi="Times New Roman" w:cs="Times New Roman"/>
          <w:sz w:val="24"/>
          <w:szCs w:val="24"/>
        </w:rPr>
        <w:t xml:space="preserve">Reference category is DES repeat stenting. The data are presented as the hazard ratio (95% confidence interval) and </w:t>
      </w:r>
      <w:r w:rsidRPr="00280BD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80BDD">
        <w:rPr>
          <w:rFonts w:ascii="Times New Roman" w:hAnsi="Times New Roman" w:cs="Times New Roman"/>
          <w:sz w:val="24"/>
          <w:szCs w:val="24"/>
        </w:rPr>
        <w:t xml:space="preserve"> value. CI: confidence interval; HR: hazard ratio; </w:t>
      </w:r>
      <w:r w:rsidRPr="00280BDD">
        <w:rPr>
          <w:rFonts w:ascii="Times New Roman" w:hAnsi="Times New Roman"/>
          <w:sz w:val="24"/>
        </w:rPr>
        <w:t>IPTW: inverse probability of treatment weighting</w:t>
      </w:r>
      <w:r w:rsidRPr="00280BDD">
        <w:rPr>
          <w:rFonts w:ascii="Times New Roman" w:hAnsi="Times New Roman" w:cs="Times New Roman"/>
          <w:sz w:val="24"/>
          <w:szCs w:val="24"/>
        </w:rPr>
        <w:t xml:space="preserve">; MACE: major adverse cardiac event; </w:t>
      </w:r>
      <w:r w:rsidRPr="00280BDD">
        <w:rPr>
          <w:rFonts w:ascii="Times New Roman" w:hAnsi="Times New Roman" w:cs="Times New Roman"/>
          <w:kern w:val="0"/>
          <w:sz w:val="24"/>
          <w:szCs w:val="24"/>
        </w:rPr>
        <w:t>MI: myocardial infarction; TLR: target lesion revascularization</w:t>
      </w:r>
    </w:p>
    <w:p w14:paraId="7917F98E" w14:textId="77777777" w:rsidR="00CD1C54" w:rsidRPr="00943E21" w:rsidRDefault="00CD1C54"/>
    <w:sectPr w:rsidR="00CD1C54" w:rsidRPr="00943E21" w:rsidSect="00EA23F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47D90" w14:textId="77777777" w:rsidR="004B5FBC" w:rsidRDefault="004B5FBC" w:rsidP="00EA23F5">
      <w:r>
        <w:separator/>
      </w:r>
    </w:p>
  </w:endnote>
  <w:endnote w:type="continuationSeparator" w:id="0">
    <w:p w14:paraId="3419B21B" w14:textId="77777777" w:rsidR="004B5FBC" w:rsidRDefault="004B5FBC" w:rsidP="00EA2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CC62B" w14:textId="77777777" w:rsidR="004B5FBC" w:rsidRDefault="004B5FBC" w:rsidP="00EA23F5">
      <w:r>
        <w:separator/>
      </w:r>
    </w:p>
  </w:footnote>
  <w:footnote w:type="continuationSeparator" w:id="0">
    <w:p w14:paraId="5DE6421F" w14:textId="77777777" w:rsidR="004B5FBC" w:rsidRDefault="004B5FBC" w:rsidP="00EA23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C54"/>
    <w:rsid w:val="00487B32"/>
    <w:rsid w:val="004B5FBC"/>
    <w:rsid w:val="007615A6"/>
    <w:rsid w:val="0091759C"/>
    <w:rsid w:val="00943E21"/>
    <w:rsid w:val="00CD1C54"/>
    <w:rsid w:val="00EA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F664B8F-5880-41C4-BCB9-014DD236F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3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3F5"/>
    <w:rPr>
      <w:sz w:val="18"/>
      <w:szCs w:val="18"/>
    </w:rPr>
  </w:style>
  <w:style w:type="table" w:styleId="a7">
    <w:name w:val="Table Grid"/>
    <w:basedOn w:val="a1"/>
    <w:uiPriority w:val="99"/>
    <w:rsid w:val="00943E21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宇超</dc:creator>
  <cp:keywords/>
  <dc:description/>
  <cp:lastModifiedBy>张 宇超</cp:lastModifiedBy>
  <cp:revision>4</cp:revision>
  <dcterms:created xsi:type="dcterms:W3CDTF">2022-04-28T04:22:00Z</dcterms:created>
  <dcterms:modified xsi:type="dcterms:W3CDTF">2022-04-28T07:48:00Z</dcterms:modified>
</cp:coreProperties>
</file>