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 xml:space="preserve">Table S1.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 xml:space="preserve">The expression of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418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>DEmRNAs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 xml:space="preserve"> in PD from GEO database.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> </w:t>
      </w:r>
    </w:p>
    <w:tbl>
      <w:tblPr>
        <w:tblStyle w:val="4"/>
        <w:tblW w:w="82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1553"/>
        <w:gridCol w:w="1498"/>
        <w:gridCol w:w="1757"/>
        <w:gridCol w:w="13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LogFC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P.Value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CLEC4F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3.1296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4.8534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PRAMEF2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3.2161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TRPC5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2.1685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2.7671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4.4239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GAPDHS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2.4548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USP18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1.8226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ACOXL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4.1943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HIST1H2AL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2.2771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1.4950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2.4746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NKX3-1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1.4765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2.7722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1.4662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OR51G2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1.3767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OR1Q1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1.3483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2.3497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1.3145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3.3299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CAPSL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1.2989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2.3596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LIPJ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1.2935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2.2919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PABPC3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1.2652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2.4071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HIST1H2BJ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1.2439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1.2204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2.6615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HIST1H2AB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2.6515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RNF180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1.1823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4.7345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TTLL9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1.1781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2.2524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1.1773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2.2690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RASD1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1.1753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2.5684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1.1719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2.3600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1.1668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2.5354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DCAF8L2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1.1454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2.7271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1.1395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2.6594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1.1392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2.8710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ADH1B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1.1293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3.7755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TNFSF15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3.7246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NLRP7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2.2990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IGSF6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3.9921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PLGLB1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KRTAP5-1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3.4390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SH3BP4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1.0957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2.9449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RAB39A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1.0869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2.5187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TRIM6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1.0763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2.3243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ZNF429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1.0648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HERC6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1.0544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2.3524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DDX58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1.0408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3.3146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PTPRU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1.0298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3.0387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C6orf47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1.0198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4.5035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CTAGE6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2.8254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HNRNPCL4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3.8534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ZNF709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0.9839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2.2722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MXD3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0.9822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3.3438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HIST2H2BE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0.9781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4.0739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SLC35G4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0.9613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2.2744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LAMB1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0.9448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GPRC5C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0.9438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2.5542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TRNAU1AP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0.9401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3.1414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ERVMER34-1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0.9397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TRPC6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0.9386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3.0489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0.9333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2.4868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SAMD15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0.9324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3.5723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TCL1B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0.9281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0.9278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2.2884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ZNF479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0.9269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3.7138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JOSD2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0.9258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3.1184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HSPA1B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0.9217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3.2975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FOLR1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2.7712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ZNF839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2.5199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TP53TG3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2.9691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LCE2B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3.5788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OR2M3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3.0542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2.6884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0.8932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XKR4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0.8615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3.1430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VWA3A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2.5289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2.6646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TCP11X2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2.5967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NUP210L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2.2800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HIST1H1T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SOWAHD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2.2635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C9orf92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OR13C8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2.3726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FOLR3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3.1367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PLCB3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KIRREL3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ITPR1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HPGDS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WFDC9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2.7472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2.7546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TRPM4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2.6790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KIF5A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2.3634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C1orf68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2.3416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STX11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CCDC62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2.9272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C11orf74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2.3843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KLK10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0.7849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2.6656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4.4777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KRTAP1-4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SPRR2B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4.0654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0.7619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2.5539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LRRC31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2.9913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2.2940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2.7243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ZBTB41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ANGPTL5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3.9763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2.2723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3.1723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OR10R2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SRRM3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TNFSF10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2.4158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2.9245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IFNA14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ARMC10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2.8230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0.7146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2.2712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OR4C15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2.3378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DYNC1I1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3.2222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IGSF21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2.9258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2.3984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3.1536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2.3466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FANCB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3.4662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BHLHE23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2.6267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C8orf88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2.9979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RDH8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LGALS9B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2.3498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MYLPF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2.5848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FBXL5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DHRS13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FAM19A3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2.2578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KCNJ2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2.2933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TMPRSS2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0.6710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3.6216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LHX1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STK38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2.9292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ST3GAL4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2.8249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ZXDB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4.0771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CNIH4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2.4284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PLEKHM3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2.5580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SFTPD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2.4910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TP53TG3C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FAM161B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2.3646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CTAGE9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2.7293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2.5832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3.8233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TNFAIP8L2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2.5589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2.4262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2.6821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2.7348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FFAR3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2.3370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STMN4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SMTNL1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2.7714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2.5787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C5orf46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3.1521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2.2631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ZSCAN9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2.5359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2.2583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NR1H3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2.8467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3.7385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2.7527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HOXB1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2.7348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3.7221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2.2504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DGKQ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2.2351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OR11H4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3.0289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AC138647.1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3.0348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FOXO6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2.4980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TNFSF14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2.2510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FAM181B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2.6762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YJEFN3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2.2920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2.7829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2.5458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LYPD5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2.7540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LOXL3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KRTAP10-9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2.4730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CCDC142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UNC93B1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2.5973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2.4944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KRTAP10-8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2.2903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GSTA4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3.6933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2.6692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LYSMD2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2.3605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2.3558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SCN9A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WDR35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ODF3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2.2505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CFAP74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2.3881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CT45A7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TUNAR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2.4381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2.5730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HIST2H2BF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SLC30A2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2.2653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PABPC1L2B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3.0379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POU5F1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2.5743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WNK4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2.2371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FAM126B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KRTAP10-7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2.3655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HDDC2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2.2351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CBLL1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TMOD2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2.3342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3.1577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2.4571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TEAD2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2.2564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PHYHIPL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2.7586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-2.3472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UBE2V1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-0.5098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-2.3237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-0.5114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-2.2653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P2RY10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-0.5114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-2.5840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FRMPD1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-2.2968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-2.4403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SLC25A28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-2.2918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-0.5260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-2.5878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TBC1D16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-2.8387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-2.5432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OR13J1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-2.3563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KLK13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-2.2636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C4orf33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-2.2691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ARHGEF6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-2.7250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PHGDH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PRMT7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POFUT2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-0.5390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OR5V1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-0.5428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-2.5227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-0.5480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-2.6491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B3GNT7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-0.5483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-2.2933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PM20D1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-0.5490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-2.4918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-0.5493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-0.5519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-2.9321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PYROXD2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-0.5520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-2.2521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ATP8B3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-0.5544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-2.3354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SLC25A32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-0.5548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METRNL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-0.5592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-2.7439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ECSCR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-0.5613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SMIM1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-0.5613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-2.7785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OXNAD1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-0.5617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-2.6358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HERC2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-0.5626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-2.4384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DIXDC1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-0.5673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-3.2482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-0.5700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-2.2717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MEIKIN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-0.5717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-2.4207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SLC22A25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-0.5773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OR4P4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-0.5774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-2.7448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FETUB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-0.5789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-2.3743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HOXC12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-0.5855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-2.7780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-0.5870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-3.0355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TIMM10B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-0.5876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-3.2555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-2.2255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QPCTL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-3.6234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CEP70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-0.5896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CEP112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-0.5907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-2.8315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MAPK12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-0.5974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-2.3617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OR8B12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-0.5999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-3.0439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-2.2366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-3.0646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MFSD6L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-2.4269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-2.5721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SLC27A2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-2.4597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IGSF11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-0.6271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-2.4265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-0.6276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-2.7291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OR51V1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-0.6322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-2.3925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-2.2908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CWH43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-0.6377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-2.3588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AP3M2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-0.6379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-2.3944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-0.6389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-2.4252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RNF208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-0.6476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-2.3867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-0.6494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-2.4376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NOXO1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-0.6521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-2.2819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SGPP2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-0.6525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-0.6594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C6orf118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-2.5356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GAL3ST1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-0.6667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-2.4663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CASP14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-0.6696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-2.6868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MYCT1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-0.6708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-0.6721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-2.5802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-0.6725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-2.4163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IZUMO1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-0.6741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-2.7342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-0.6747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-2.4467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-0.6762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NKX6-2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-0.6849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-2.4863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KHDRBS3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-0.6916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-3.0988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RCAN3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-0.6943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-2.3964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-0.6949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-2.6556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GINS2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-0.6953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-2.7906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-0.6973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-3.0283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P2RY14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-2.3359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OR10H1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-3.4049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TXNDC8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-0.7121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GFOD1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-0.7187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-2.7849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-0.7327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-2.2835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-0.7366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EIF2AK3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-0.7392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-2.8543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-3.8720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KPNA7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-2.3861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MAGOHB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-0.7406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-0.7492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GFI1B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-0.7544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-2.2298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PAPSS1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-0.7578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-0.7626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-2.6582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OR6K3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-0.7687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-3.6330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-0.7734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-2.3707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-0.7754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-4.3390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-0.7859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-3.4985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-0.7865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-0.7881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-2.4858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WDR76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-0.7917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-0.7920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-2.3298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GABRA6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-0.7937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-4.2745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FANCI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-0.7942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-2.3569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-0.7980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-2.7801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-0.7996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-2.3955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-2.5515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FAM83C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-5.2781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DEFB125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-2.6403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PTCD2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SPATA2L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-2.2760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-0.8314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-2.9556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HYAL3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-0.8411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-3.4017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-0.8427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-2.4401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-0.8431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-3.3325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-0.8466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-2.7826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TSHZ2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-0.8520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-2.9548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PRSS45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-0.8544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-2.9724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ANKRD45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-0.8615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USH2A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-2.5666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PGPEP1L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-0.8635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-0.8684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-3.5741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-0.8721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-2.7679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TNNT1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-0.8861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-3.1369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NUP62CL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-0.8948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-2.2736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OR2C3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-0.8958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-2.4396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RPL31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-0.8996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-3.3607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-2.4253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-2.9882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ICOSLG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-2.6134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TLCD2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-0.9095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-2.6398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SLC45A3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-3.3220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PKP1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-0.9230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-2.6555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BUB1B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-0.9238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-3.0544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RRM2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-3.1321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-0.9310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-2.7365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AZU1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-0.9326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-2.3851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SOX7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-0.9409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-2.5499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-0.9453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-4.3332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-0.9517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-2.3509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ADAMTS7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-0.9530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-3.2738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-0.9535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ANKRD31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SPC25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-0.9627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-2.9793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-0.9667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-3.0773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-0.9753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-2.5563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LGI4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-0.9803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-4.3734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OR51E1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-0.9998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-3.5774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LRRC14B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-2.3334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TTBK1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-3.1332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PKD1L1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-1.0176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-8.0962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CACNG6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-1.0285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-3.1462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ITIH2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-1.0287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-2.3725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DZIP3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-1.0421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SHCBP1L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-1.0453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-2.3793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DCAF4L2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-1.0521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-2.3341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-1.0587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-2.8432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-1.0592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-2.8921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MKI67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-1.0651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-1.0681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-3.8343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-1.0901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-3.3407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LRRIQ1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-1.1538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-1.1758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-5.9712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CEP55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-1.1975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-2.6882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-1.2015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-2.5487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SEMA5A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-1.2021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-3.3216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SLC29A1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-1.2160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-2.9341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-1.2327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-3.1655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TEKT4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-1.2410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-2.9767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CYP26B1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-1.2655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-2.9223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-1.3035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-4.3840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HIST1H3G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-1.3036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-3.2715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-1.3136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-3.4625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-1.3292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-4.1665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THBS4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-1.3349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-4.7569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-1.3355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-3.4604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ALOX15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-1.3737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-2.9827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PRSS33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-1.4499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-1.4763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-2.9535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-1.4977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-1.5479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-3.6840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HRASLS5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-1.5527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-3.3541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SLC7A8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-1.5887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-5.3204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-1.5920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-4.5564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SMPD3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-1.6078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-3.0383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DEFA1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-1.6109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DEFA3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-1.6232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-2.8513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RGS1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-1.6344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-3.8606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-1.6459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-4.4458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-1.6962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-2.6126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DEFA4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-1.7547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-2.7141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OLFM4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-1.8424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-3.4646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NDFIP2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-1.8995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-2.4213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NR4A3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-2.3270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-3.8505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-2.7553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-2.2756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BTNL3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-4.2248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</w:tbl>
    <w:p>
      <w:pPr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DEmRNAs, differentially expressed messenger RNAs;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shd w:val="clear" w:fill="FFFFFF"/>
          <w:lang w:val="en-US" w:eastAsia="zh-CN" w:bidi="ar"/>
        </w:rPr>
        <w:t>GEO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highlight w:val="none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shd w:val="clear" w:fill="FFFFFF"/>
          <w:lang w:val="en-US" w:eastAsia="zh-CN" w:bidi="ar"/>
        </w:rPr>
        <w:t>the Gene Expression Omnibus database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highlight w:val="none"/>
          <w:shd w:val="clear" w:fill="FFFFFF"/>
          <w:lang w:val="en-US" w:eastAsia="zh-CN" w:bidi="ar"/>
        </w:rPr>
        <w:t xml:space="preserve">; </w:t>
      </w:r>
      <w:r>
        <w:rPr>
          <w:rFonts w:ascii="Times New Roman" w:hAnsi="Times New Roman" w:cs="Times New Roman"/>
          <w:highlight w:val="none"/>
        </w:rPr>
        <w:t>PD, Parkinson disease; LogFC, log2 fold change.</w:t>
      </w: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pStyle w:val="2"/>
        <w:keepNext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>Table S2. All 10 DElncRNAs, 193 miRNAs and 62 DEmRNA in the ceRNA network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.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2763"/>
        <w:gridCol w:w="27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DE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lncRNA</w:t>
            </w:r>
          </w:p>
        </w:tc>
        <w:tc>
          <w:tcPr>
            <w:tcW w:w="276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iRNA</w:t>
            </w:r>
          </w:p>
        </w:tc>
        <w:tc>
          <w:tcPr>
            <w:tcW w:w="276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DE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mRNA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MYO16-AS1</w:t>
            </w:r>
          </w:p>
        </w:tc>
        <w:tc>
          <w:tcPr>
            <w:tcW w:w="276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hsa-miR-4451</w:t>
            </w:r>
          </w:p>
        </w:tc>
        <w:tc>
          <w:tcPr>
            <w:tcW w:w="2764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OR2C3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AGBL5-IT1</w:t>
            </w:r>
          </w:p>
        </w:tc>
        <w:tc>
          <w:tcPr>
            <w:tcW w:w="2763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hsa-miR-6754-3p</w:t>
            </w:r>
          </w:p>
        </w:tc>
        <w:tc>
          <w:tcPr>
            <w:tcW w:w="2764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FAM126B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HOTAIRM1</w:t>
            </w: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hsa-miR-412-3p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ARMC10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RABGAP1L-IT1</w:t>
            </w: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hsa-miR-1322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WDR35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HLCS-IT1</w:t>
            </w: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hsa-miR-4636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SIK1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LINC00393</w:t>
            </w: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hsa-miR-3188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RRM2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CHRM3-AS1</w:t>
            </w: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hsa-miR-607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ZNF202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ZMYND10-AS1</w:t>
            </w: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hsa-miR-6856-5p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PPP1R3B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LINC01259</w:t>
            </w: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hsa-miR-3689d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UBE2V1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TTC3-AS1</w:t>
            </w: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hsa-miR-7160-5p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ZBTB41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hsa-miR-584-3p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DCP2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hsa-miR-4695-5p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TLCD2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hsa-miR-6813-3p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TET1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hsa-miR-3166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TRIM13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hsa-miR-2115-3p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FBXL5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hsa-miR-6837-5p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CXCR4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hsa-miR-3620-3p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WDR76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hsa-miR-6720-5p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HDDC2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hsa-miR-6851-5p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RNF2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hsa-miR-4490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TSHZ2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hsa-miR-3137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EGF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hsa-miR-17-3p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EREG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hsa-miR-4533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ZNF333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hsa-miR-552-5p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FGF12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hsa-miR-520g-5p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ITPR1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hsa-miR-5696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ZXDB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hsa-miR-215-3p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P2RY10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hsa-miR-4251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MAPK6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hsa-miR-4729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NDFIP2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hsa-miR-622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GATA2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hsa-miR-6775-3p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PLD3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hsa-miR-4679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PRC1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hsa-miR-1184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AMFR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hsa-miR-7156-5p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HSPA1B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hsa-miR-6796-5p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BACE2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hsa-miR-4428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DISC1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hsa-miR-6071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DSP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hsa-miR-324-3p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TNFSF15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hsa-miR-4743-5p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SP110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hsa-miR-545-3p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NR4A3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hsa-miR-4758-3p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TNFSF14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hsa-miR-3144-5p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FAM161B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hsa-miR-1236-3p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GJB7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hsa-miR-3938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SLC25A32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hsa-miR-4715-3p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CCDC62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hsa-miR-125b-2-3p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FAHD1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hsa-miR-4522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NKX3-1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hsa-miR-6832-3p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ZNF607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hsa-miR-1226-3p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CDCA3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hsa-miR-4733-3p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STK38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hsa-miR-3679-3p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ZNF620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hsa-miR-3127-3p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ALOX15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hsa-miR-6756-3p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PABPC1L2B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hsa-miR-5707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TNFAIP8L2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hsa-miR-2052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REG4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hsa-miR-375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CCDC142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hsa-miR-7110-3p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SCN9A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hsa-miR-365b-3p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PLEKHM3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hsa-miR-507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ZNF423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hsa-miR-365a-3p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TBC1D16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hsa-miR-421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AURKA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hsa-miR-9500</w:t>
            </w:r>
          </w:p>
        </w:tc>
        <w:tc>
          <w:tcPr>
            <w:tcW w:w="276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SKA1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hsa-miR-4520-3p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hsa-miR-6873-3p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hsa-miR-6817-3p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hsa-miR-557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hsa-miR-548x-3p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hsa-miR-548aj-3p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hsa-miR-769-5p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hsa-miR-7161-5p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hsa-miR-513c-5p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hsa-miR-4325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hsa-miR-4784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hsa-miR-3928-5p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hsa-miR-1199-3p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hsa-miR-6806-3p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hsa-miR-3977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hsa-miR-2467-5p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hsa-miR-6873-5p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hsa-miR-4803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hsa-miR-379-5p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hsa-miR-127-5p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hsa-miR-6796-3p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hsa-miR-4786-3p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hsa-miR-4326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hsa-miR-27a-3p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hsa-miR-27b-3p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hsa-miR-6768-5p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hsa-miR-671-5p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hsa-miR-6742-3p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hsa-miR-7856-5p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hsa-miR-6842-3p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hsa-miR-155-5p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hsa-miR-452-3p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hsa-miR-1273f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hsa-miR-1289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hsa-miR-664a-5p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hsa-miR-205-3p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hsa-miR-1197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hsa-miR-583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hsa-miR-5191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hsa-miR-3121-3p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hsa-miR-186-5p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hsa-miR-10b-3p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hsa-miR-4309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hsa-miR-3135b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hsa-miR-8063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hsa-miR-3664-3p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hsa-miR-30e-3p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hsa-miR-1976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hsa-miR-30a-3p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hsa-miR-383-5p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hsa-miR-5581-3p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hsa-miR-4257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hsa-miR-4524b-3p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hsa-miR-3065-5p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hsa-miR-2681-3p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hsa-miR-4770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hsa-miR-3198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hsa-miR-433-3p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hsa-miR-5095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hsa-miR-30d-3p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hsa-miR-513b-5p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hsa-miR-4794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hsa-miR-4694-3p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hsa-miR-4775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hsa-miR-4511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hsa-miR-4772-3p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hsa-miR-6787-3p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hsa-miR-7154-5p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hsa-miR-6131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hsa-miR-3664-5p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hsa-miR-892b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hsa-miR-153-5p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hsa-miR-137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hsa-miR-6881-3p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hsa-miR-7159-3p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hsa-miR-20a-5p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hsa-miR-664a-3p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hsa-miR-106b-5p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hsa-miR-519d-3p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hsa-miR-579-3p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hsa-miR-4760-3p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hsa-miR-664b-3p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hsa-miR-526b-3p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hsa-miR-519e-3p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hsa-miR-106a-5p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hsa-miR-17-5p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hsa-miR-4279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hsa-miR-4668-3p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hsa-miR-7151-5p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hsa-miR-93-5p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hsa-miR-20b-5p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hsa-miR-101-5p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hsa-miR-4302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hsa-miR-4315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hsa-miR-4433b-5p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hsa-miR-3671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hsa-miR-4717-5p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hsa-miR-3657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hsa-miR-1301-3p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hsa-miR-5047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hsa-miR-92a-2-5p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hsa-miR-5589-3p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hsa-miR-4802-3p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hsa-miR-585-5p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hsa-miR-4660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hsa-miR-4717-3p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hsa-miR-8075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hsa-miR-4755-5p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hsa-miR-5006-3p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hsa-miR-5190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hsa-miR-204-5p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hsa-miR-211-5p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hsa-miR-485-5p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hsa-miR-6884-5p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hsa-miR-873-5p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hsa-miR-1252-5p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hsa-miR-6764-5p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hsa-miR-4446-5p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hsa-miR-651-3p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hsa-miR-6840-3p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hsa-miR-8067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hsa-miR-7977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hsa-miR-4502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hsa-miR-3613-3p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hsa-miR-138-2-3p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hsa-miR-3929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hsa-miR-92a-1-5p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hsa-miR-4478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hsa-miR-4419b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hsa-miR-2392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</w:rPr>
              <w:t>hsa-miR-6888-3p</w:t>
            </w:r>
          </w:p>
        </w:tc>
        <w:tc>
          <w:tcPr>
            <w:tcW w:w="2764" w:type="dxa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highlight w:val="none"/>
        </w:rPr>
        <w:t>D</w:t>
      </w:r>
      <w:r>
        <w:rPr>
          <w:rFonts w:ascii="Times New Roman" w:hAnsi="Times New Roman" w:eastAsia="宋体" w:cs="Times New Roman"/>
          <w:kern w:val="0"/>
          <w:highlight w:val="none"/>
        </w:rPr>
        <w:t xml:space="preserve">ElncRNAs, </w:t>
      </w:r>
      <w:r>
        <w:rPr>
          <w:rFonts w:ascii="Times New Roman" w:hAnsi="Times New Roman" w:cs="Times New Roman"/>
          <w:highlight w:val="none"/>
        </w:rPr>
        <w:t xml:space="preserve">differentially expressed </w:t>
      </w:r>
      <w:r>
        <w:rPr>
          <w:rFonts w:ascii="Times New Roman" w:hAnsi="Times New Roman" w:eastAsia="宋体" w:cs="Times New Roman"/>
          <w:kern w:val="0"/>
          <w:highlight w:val="none"/>
        </w:rPr>
        <w:t>long non-coding RNAs</w:t>
      </w:r>
      <w:r>
        <w:rPr>
          <w:rFonts w:ascii="Times New Roman" w:hAnsi="Times New Roman" w:cs="Times New Roman"/>
          <w:highlight w:val="none"/>
        </w:rPr>
        <w:t>;</w:t>
      </w:r>
      <w:r>
        <w:rPr>
          <w:rFonts w:ascii="Times New Roman" w:hAnsi="Times New Roman" w:eastAsia="宋体" w:cs="Times New Roman"/>
          <w:kern w:val="0"/>
          <w:highlight w:val="none"/>
        </w:rPr>
        <w:t xml:space="preserve"> MiRNAs, </w:t>
      </w:r>
      <w:r>
        <w:rPr>
          <w:rFonts w:hint="eastAsia" w:ascii="Times New Roman" w:hAnsi="Times New Roman" w:cs="Times New Roman"/>
          <w:highlight w:val="none"/>
        </w:rPr>
        <w:t>microRNAs</w:t>
      </w:r>
      <w:r>
        <w:rPr>
          <w:rFonts w:ascii="Times New Roman" w:hAnsi="Times New Roman" w:eastAsia="宋体" w:cs="Times New Roman"/>
          <w:kern w:val="0"/>
          <w:highlight w:val="none"/>
        </w:rPr>
        <w:t xml:space="preserve">; DEmRNAs, </w:t>
      </w:r>
      <w:r>
        <w:rPr>
          <w:rFonts w:ascii="Times New Roman" w:hAnsi="Times New Roman" w:cs="Times New Roman"/>
          <w:highlight w:val="none"/>
        </w:rPr>
        <w:t xml:space="preserve">differentially expressed </w:t>
      </w:r>
      <w:r>
        <w:rPr>
          <w:rFonts w:ascii="Times New Roman" w:hAnsi="Times New Roman" w:eastAsia="宋体" w:cs="Times New Roman"/>
          <w:kern w:val="0"/>
          <w:highlight w:val="none"/>
        </w:rPr>
        <w:t>messenger RNAs</w:t>
      </w:r>
      <w:r>
        <w:rPr>
          <w:rFonts w:hint="eastAsia" w:ascii="Times New Roman" w:hAnsi="Times New Roman" w:eastAsia="宋体" w:cs="Times New Roman"/>
          <w:kern w:val="0"/>
          <w:highlight w:val="none"/>
        </w:rPr>
        <w:t>;</w:t>
      </w:r>
      <w:r>
        <w:rPr>
          <w:rFonts w:ascii="Times New Roman" w:hAnsi="Times New Roman" w:eastAsia="宋体" w:cs="Times New Roman"/>
          <w:kern w:val="0"/>
          <w:highlight w:val="none"/>
        </w:rPr>
        <w:t xml:space="preserve"> ceRNA, </w:t>
      </w:r>
      <w:r>
        <w:rPr>
          <w:rFonts w:hint="eastAsia" w:ascii="Times New Roman" w:hAnsi="Times New Roman" w:eastAsia="宋体" w:cs="Times New Roman"/>
          <w:kern w:val="0"/>
          <w:highlight w:val="none"/>
        </w:rPr>
        <w:t>c</w:t>
      </w:r>
      <w:r>
        <w:rPr>
          <w:rFonts w:ascii="Times New Roman" w:hAnsi="Times New Roman" w:eastAsia="宋体" w:cs="Times New Roman"/>
          <w:kern w:val="0"/>
          <w:highlight w:val="none"/>
        </w:rPr>
        <w:t xml:space="preserve">ompeting </w:t>
      </w:r>
      <w:r>
        <w:rPr>
          <w:rFonts w:hint="eastAsia" w:ascii="Times New Roman" w:hAnsi="Times New Roman" w:eastAsia="宋体" w:cs="Times New Roman"/>
          <w:kern w:val="0"/>
          <w:highlight w:val="none"/>
        </w:rPr>
        <w:t>e</w:t>
      </w:r>
      <w:r>
        <w:rPr>
          <w:rFonts w:ascii="Times New Roman" w:hAnsi="Times New Roman" w:eastAsia="宋体" w:cs="Times New Roman"/>
          <w:kern w:val="0"/>
          <w:highlight w:val="none"/>
        </w:rPr>
        <w:t>ndogenous RNA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>s</w:t>
      </w:r>
      <w:r>
        <w:rPr>
          <w:rFonts w:ascii="Times New Roman" w:hAnsi="Times New Roman" w:eastAsia="宋体" w:cs="Times New Roman"/>
          <w:kern w:val="0"/>
          <w:highlight w:val="none"/>
        </w:rPr>
        <w:t xml:space="preserve">. </w:t>
      </w: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rPr>
          <w:rFonts w:hint="default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>Table S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highlight w:val="none"/>
        </w:rPr>
        <w:t>Validation of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 xml:space="preserve"> the 10</w:t>
      </w:r>
      <w:r>
        <w:rPr>
          <w:rFonts w:hint="default" w:ascii="Times New Roman" w:hAnsi="Times New Roman" w:cs="Times New Roman"/>
          <w:b/>
          <w:highlight w:val="none"/>
        </w:rPr>
        <w:t xml:space="preserve"> 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>DElncRNAs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highlight w:val="none"/>
        </w:rPr>
        <w:t xml:space="preserve">in 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 xml:space="preserve">32 </w:t>
      </w:r>
      <w:r>
        <w:rPr>
          <w:rFonts w:hint="default" w:ascii="Times New Roman" w:hAnsi="Times New Roman" w:cs="Times New Roman"/>
          <w:b/>
          <w:highlight w:val="none"/>
        </w:rPr>
        <w:t xml:space="preserve">PD Patients and 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 xml:space="preserve">31 </w:t>
      </w:r>
      <w:r>
        <w:rPr>
          <w:rFonts w:hint="default" w:ascii="Times New Roman" w:hAnsi="Times New Roman" w:cs="Times New Roman"/>
          <w:b/>
          <w:highlight w:val="none"/>
        </w:rPr>
        <w:t>H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>C.</w:t>
      </w:r>
    </w:p>
    <w:tbl>
      <w:tblPr>
        <w:tblStyle w:val="5"/>
        <w:tblW w:w="83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523"/>
        <w:gridCol w:w="2471"/>
        <w:gridCol w:w="12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084" w:type="dxa"/>
            <w:tcBorders>
              <w:top w:val="single" w:color="auto" w:sz="4" w:space="0"/>
              <w:bottom w:val="single" w:color="auto" w:sz="2" w:space="0"/>
            </w:tcBorders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</w:rPr>
              <w:t>I</w:t>
            </w:r>
            <w:r>
              <w:rPr>
                <w:rFonts w:hint="default"/>
                <w:b/>
                <w:sz w:val="24"/>
                <w:szCs w:val="24"/>
                <w:highlight w:val="none"/>
              </w:rPr>
              <w:t>D</w:t>
            </w:r>
          </w:p>
        </w:tc>
        <w:tc>
          <w:tcPr>
            <w:tcW w:w="2523" w:type="dxa"/>
            <w:tcBorders>
              <w:top w:val="single" w:color="auto" w:sz="4" w:space="0"/>
              <w:bottom w:val="single" w:color="auto" w:sz="2" w:space="0"/>
            </w:tcBorders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  <w:lang w:val="en-US" w:eastAsia="zh-CN"/>
              </w:rPr>
              <w:t>PD</w:t>
            </w:r>
            <w:r>
              <w:rPr>
                <w:rFonts w:hint="eastAsia" w:eastAsia="等线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superscript"/>
                <w:lang w:val="en-US" w:eastAsia="zh-CN"/>
              </w:rPr>
              <w:t>a</w:t>
            </w:r>
          </w:p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eastAsiaTheme="minorEastAsia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  <w:lang w:val="en-US" w:eastAsia="zh-CN"/>
              </w:rPr>
              <w:t>(N=32)</w:t>
            </w:r>
          </w:p>
        </w:tc>
        <w:tc>
          <w:tcPr>
            <w:tcW w:w="2471" w:type="dxa"/>
            <w:tcBorders>
              <w:top w:val="single" w:color="auto" w:sz="4" w:space="0"/>
              <w:bottom w:val="single" w:color="auto" w:sz="2" w:space="0"/>
            </w:tcBorders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  <w:lang w:val="en-US" w:eastAsia="zh-CN"/>
              </w:rPr>
              <w:t>HC</w:t>
            </w:r>
            <w:r>
              <w:rPr>
                <w:rFonts w:hint="eastAsia" w:eastAsia="等线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superscript"/>
                <w:lang w:val="en-US" w:eastAsia="zh-CN"/>
              </w:rPr>
              <w:t>a</w:t>
            </w:r>
          </w:p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highlight w:val="none"/>
                <w:lang w:val="en-US" w:eastAsia="zh-CN"/>
              </w:rPr>
              <w:t>(N=31)</w:t>
            </w:r>
          </w:p>
        </w:tc>
        <w:tc>
          <w:tcPr>
            <w:tcW w:w="1270" w:type="dxa"/>
            <w:tcBorders>
              <w:top w:val="single" w:color="auto" w:sz="4" w:space="0"/>
              <w:bottom w:val="single" w:color="auto" w:sz="2" w:space="0"/>
            </w:tcBorders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 w:eastAsia="等线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eastAsia="等线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P. value</w:t>
            </w:r>
            <w:r>
              <w:rPr>
                <w:rFonts w:hint="eastAsia" w:eastAsia="等线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superscript"/>
                <w:lang w:val="en-US" w:eastAsia="zh-CN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084" w:type="dxa"/>
            <w:tcBorders>
              <w:top w:val="single" w:color="auto" w:sz="2" w:space="0"/>
            </w:tcBorders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TTC3-AS1</w:t>
            </w:r>
          </w:p>
        </w:tc>
        <w:tc>
          <w:tcPr>
            <w:tcW w:w="2523" w:type="dxa"/>
            <w:tcBorders>
              <w:top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-15.2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 (-15.94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-14.69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tcBorders>
              <w:top w:val="single" w:color="auto" w:sz="2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-15.40 (-15.90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-14.95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270" w:type="dxa"/>
            <w:tcBorders>
              <w:top w:val="single" w:color="auto" w:sz="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084" w:type="dxa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bookmarkStart w:id="0" w:name="OLE_LINK4"/>
            <w:r>
              <w:rPr>
                <w:rFonts w:hint="eastAsia"/>
                <w:sz w:val="24"/>
                <w:szCs w:val="24"/>
                <w:highlight w:val="none"/>
              </w:rPr>
              <w:t>LINC01259</w:t>
            </w:r>
            <w:bookmarkEnd w:id="0"/>
          </w:p>
        </w:tc>
        <w:tc>
          <w:tcPr>
            <w:tcW w:w="252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-13.22 (-14.12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-12.74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-12.64 (-13.16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-12.38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084" w:type="dxa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ZMYND10-AS1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-14.31 (-14.54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-13.52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-14.46 (-15.10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-14.10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084" w:type="dxa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CHRM3-AS1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-21.50,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-20.63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(-21.16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-20.14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084" w:type="dxa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MYO16-AS1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-17.88 (-18.82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-17.44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-18.57 (-19.59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-17.61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084" w:type="dxa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AGBL5-IT1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-13.77 (-14.20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-13.34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-13.75 (-14.06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-13.37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084" w:type="dxa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HOTAIRM1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-7.23 (-7.60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-6.92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-7.16 (-7.97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-6.44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084" w:type="dxa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RABGAP1L-IT1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-12.22 (-12.79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-11.53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-12.20 (-12.93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,-11.53)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084" w:type="dxa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HLCS-IT1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-15.26(-15.91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-14.73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-14.89 (-15.42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-14.19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08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LINC00393</w:t>
            </w:r>
          </w:p>
        </w:tc>
        <w:tc>
          <w:tcPr>
            <w:tcW w:w="252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-19.28 (-20.33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-18.94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47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-19.30 (-19.62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,-18.56)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0.211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0"/>
          <w:highlight w:val="none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highlight w:val="none"/>
          <w:vertAlign w:val="superscript"/>
          <w:lang w:val="en-US" w:eastAsia="zh-CN"/>
        </w:rPr>
        <w:t>a</w:t>
      </w:r>
      <w:bookmarkStart w:id="1" w:name="OLE_LINK2"/>
      <w:r>
        <w:rPr>
          <w:rFonts w:hint="eastAsia" w:ascii="Times New Roman" w:hAnsi="Times New Roman" w:eastAsia="宋体" w:cs="Times New Roman"/>
          <w:kern w:val="0"/>
          <w:highlight w:val="none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-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>△Ct values</w:t>
      </w:r>
      <w:bookmarkEnd w:id="1"/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-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 xml:space="preserve">△Ct method was used to calculate lncRNA expression, which was normalized to beta-actin, and larger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-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>ΔCt value indicated higher expression. 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highlight w:val="none"/>
          <w:vertAlign w:val="superscript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kern w:val="0"/>
          <w:highlight w:val="none"/>
        </w:rPr>
        <w:t>Efficacy analysis: the Mann-Whitney U test.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highlight w:val="none"/>
        </w:rPr>
        <w:t>*Significant difference, P &lt; 0.05.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highlight w:val="none"/>
        </w:rPr>
        <w:t xml:space="preserve"> D</w:t>
      </w:r>
      <w:r>
        <w:rPr>
          <w:rFonts w:ascii="Times New Roman" w:hAnsi="Times New Roman" w:eastAsia="宋体" w:cs="Times New Roman"/>
          <w:kern w:val="0"/>
          <w:highlight w:val="none"/>
        </w:rPr>
        <w:t xml:space="preserve">ElncRNAs, </w:t>
      </w:r>
      <w:r>
        <w:rPr>
          <w:rFonts w:ascii="Times New Roman" w:hAnsi="Times New Roman" w:cs="Times New Roman"/>
          <w:highlight w:val="none"/>
        </w:rPr>
        <w:t xml:space="preserve">differentially expressed </w:t>
      </w:r>
      <w:r>
        <w:rPr>
          <w:rFonts w:ascii="Times New Roman" w:hAnsi="Times New Roman" w:eastAsia="宋体" w:cs="Times New Roman"/>
          <w:kern w:val="0"/>
          <w:highlight w:val="none"/>
        </w:rPr>
        <w:t>long non-coding RNAs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>; PD, Parkinson disease; HC, healthy controls.</w:t>
      </w: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highlight w:val="none"/>
        </w:rPr>
        <w:t xml:space="preserve">                                           </w:t>
      </w: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none"/>
        </w:rPr>
        <w:t>Table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. The AUC</w:t>
      </w:r>
      <w:bookmarkStart w:id="3" w:name="_GoBack"/>
      <w:bookmarkEnd w:id="3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, 95% CI, P. value,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o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pti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al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cutoff value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sensitivity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specificity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and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youden index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of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LINC01259 in PD patients (n=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32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tbl>
      <w:tblPr>
        <w:tblStyle w:val="5"/>
        <w:tblpPr w:leftFromText="180" w:rightFromText="180" w:vertAnchor="text" w:horzAnchor="page" w:tblpX="783" w:tblpY="163"/>
        <w:tblOverlap w:val="never"/>
        <w:tblW w:w="11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764"/>
        <w:gridCol w:w="1496"/>
        <w:gridCol w:w="1050"/>
        <w:gridCol w:w="2145"/>
        <w:gridCol w:w="1324"/>
        <w:gridCol w:w="132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470" w:type="dxa"/>
            <w:tcBorders>
              <w:left w:val="nil"/>
              <w:right w:val="nil"/>
            </w:tcBorders>
            <w:vAlign w:val="top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DELncRNA</w:t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AUC</w:t>
            </w:r>
          </w:p>
        </w:tc>
        <w:tc>
          <w:tcPr>
            <w:tcW w:w="1496" w:type="dxa"/>
            <w:tcBorders>
              <w:left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95% CI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P</w:t>
            </w:r>
            <w:r>
              <w:rPr>
                <w:rFonts w:hint="eastAsia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value</w:t>
            </w:r>
          </w:p>
        </w:tc>
        <w:tc>
          <w:tcPr>
            <w:tcW w:w="2145" w:type="dxa"/>
            <w:tcBorders>
              <w:left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O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pti</w:t>
            </w:r>
            <w:r>
              <w:rPr>
                <w:rFonts w:hint="eastAsia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al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cutoff value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Sensitivity</w:t>
            </w:r>
          </w:p>
        </w:tc>
        <w:tc>
          <w:tcPr>
            <w:tcW w:w="1320" w:type="dxa"/>
            <w:tcBorders>
              <w:left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Specificity</w:t>
            </w:r>
          </w:p>
        </w:tc>
        <w:tc>
          <w:tcPr>
            <w:tcW w:w="1650" w:type="dxa"/>
            <w:tcBorders>
              <w:left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等线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Youden index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left w:val="nil"/>
              <w:bottom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</w:rPr>
            </w:pPr>
            <w:bookmarkStart w:id="2" w:name="OLE_LINK1"/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</w:rPr>
              <w:t>LINC01259</w:t>
            </w:r>
            <w:bookmarkEnd w:id="2"/>
          </w:p>
        </w:tc>
        <w:tc>
          <w:tcPr>
            <w:tcW w:w="764" w:type="dxa"/>
            <w:tcBorders>
              <w:left w:val="nil"/>
              <w:bottom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0.694</w:t>
            </w:r>
          </w:p>
        </w:tc>
        <w:tc>
          <w:tcPr>
            <w:tcW w:w="1496" w:type="dxa"/>
            <w:tcBorders>
              <w:left w:val="nil"/>
              <w:bottom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0.562-0.826</w:t>
            </w:r>
          </w:p>
        </w:tc>
        <w:tc>
          <w:tcPr>
            <w:tcW w:w="1050" w:type="dxa"/>
            <w:tcBorders>
              <w:left w:val="nil"/>
              <w:bottom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kern w:val="0"/>
                <w:highlight w:val="none"/>
              </w:rPr>
              <w:t>*</w:t>
            </w:r>
          </w:p>
        </w:tc>
        <w:tc>
          <w:tcPr>
            <w:tcW w:w="2145" w:type="dxa"/>
            <w:tcBorders>
              <w:left w:val="nil"/>
              <w:bottom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-12.73</w:t>
            </w:r>
          </w:p>
        </w:tc>
        <w:tc>
          <w:tcPr>
            <w:tcW w:w="1324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0.613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0.781</w:t>
            </w:r>
          </w:p>
        </w:tc>
        <w:tc>
          <w:tcPr>
            <w:tcW w:w="1650" w:type="dxa"/>
            <w:tcBorders>
              <w:left w:val="nil"/>
              <w:bottom w:val="nil"/>
              <w:right w:val="nil"/>
            </w:tcBorders>
          </w:tcPr>
          <w:p>
            <w:pPr>
              <w:pStyle w:val="3"/>
              <w:keepNext w:val="0"/>
              <w:keepLines w:val="0"/>
              <w:suppressLineNumbers w:val="0"/>
              <w:spacing w:before="166" w:beforeAutospacing="0" w:after="166" w:afterAutospacing="0"/>
              <w:ind w:left="0" w:right="0"/>
              <w:jc w:val="left"/>
              <w:rPr>
                <w:rFonts w:hint="default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等线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0.394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0"/>
          <w:highlight w:val="none"/>
        </w:rPr>
        <w:t>*Significant difference, P &lt; 0.05.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ROC, receiver operating characteristic;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CI,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Confidence interval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;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highlight w:val="none"/>
        </w:rPr>
        <w:t>D</w:t>
      </w:r>
      <w:r>
        <w:rPr>
          <w:rFonts w:ascii="Times New Roman" w:hAnsi="Times New Roman" w:eastAsia="宋体" w:cs="Times New Roman"/>
          <w:kern w:val="0"/>
          <w:highlight w:val="none"/>
        </w:rPr>
        <w:t xml:space="preserve">ElncRNA, </w:t>
      </w:r>
      <w:r>
        <w:rPr>
          <w:rFonts w:ascii="Times New Roman" w:hAnsi="Times New Roman" w:cs="Times New Roman"/>
          <w:highlight w:val="none"/>
        </w:rPr>
        <w:t xml:space="preserve">differentially expressed </w:t>
      </w:r>
      <w:r>
        <w:rPr>
          <w:rFonts w:ascii="Times New Roman" w:hAnsi="Times New Roman" w:eastAsia="宋体" w:cs="Times New Roman"/>
          <w:kern w:val="0"/>
          <w:highlight w:val="none"/>
        </w:rPr>
        <w:t>long non-coding RNA</w:t>
      </w:r>
      <w:r>
        <w:rPr>
          <w:rFonts w:hint="eastAsia" w:ascii="Times New Roman" w:hAnsi="Times New Roman" w:eastAsia="宋体" w:cs="Times New Roman"/>
          <w:kern w:val="0"/>
          <w:highlight w:val="none"/>
          <w:lang w:val="en-US" w:eastAsia="zh-CN"/>
        </w:rPr>
        <w:t xml:space="preserve">; PD, Parkinson disease;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shd w:val="clear" w:fill="FFFFFF"/>
          <w:lang w:val="en-US" w:eastAsia="zh-CN" w:bidi="ar"/>
        </w:rPr>
        <w:t>AUC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highlight w:val="none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shd w:val="clear" w:fill="FFFFFF"/>
          <w:lang w:val="en-US" w:eastAsia="zh-CN" w:bidi="ar"/>
        </w:rPr>
        <w:t>area under the ROC curve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>
      <w:pPr>
        <w:pStyle w:val="3"/>
        <w:spacing w:before="166" w:after="166"/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highlight w:val="yellow"/>
        </w:rPr>
      </w:pPr>
    </w:p>
    <w:p>
      <w:pPr>
        <w:rPr>
          <w:highlight w:val="none"/>
        </w:rPr>
      </w:pPr>
    </w:p>
    <w:sectPr>
      <w:pgSz w:w="11900" w:h="16840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MGMyM2Y3NmY3NWJlZGEwNGM3NDUwMDk5MTYyNzgifQ=="/>
  </w:docVars>
  <w:rsids>
    <w:rsidRoot w:val="6D9B16C4"/>
    <w:rsid w:val="04041910"/>
    <w:rsid w:val="05E720FF"/>
    <w:rsid w:val="065B7836"/>
    <w:rsid w:val="06BE4A60"/>
    <w:rsid w:val="074A2CEE"/>
    <w:rsid w:val="082D0D5E"/>
    <w:rsid w:val="08EF3DDF"/>
    <w:rsid w:val="09674C4A"/>
    <w:rsid w:val="0B811AED"/>
    <w:rsid w:val="0BC32105"/>
    <w:rsid w:val="0D8A6105"/>
    <w:rsid w:val="0DE46363"/>
    <w:rsid w:val="0F2869DD"/>
    <w:rsid w:val="0F895414"/>
    <w:rsid w:val="0FC86132"/>
    <w:rsid w:val="12AA1929"/>
    <w:rsid w:val="13873A19"/>
    <w:rsid w:val="13EF7DF0"/>
    <w:rsid w:val="150177FB"/>
    <w:rsid w:val="16B74615"/>
    <w:rsid w:val="18420856"/>
    <w:rsid w:val="185F0F6A"/>
    <w:rsid w:val="1876405C"/>
    <w:rsid w:val="190F0738"/>
    <w:rsid w:val="1A7840BB"/>
    <w:rsid w:val="1AC413E5"/>
    <w:rsid w:val="1AE15063"/>
    <w:rsid w:val="1B530478"/>
    <w:rsid w:val="1B843E63"/>
    <w:rsid w:val="1C827473"/>
    <w:rsid w:val="1DCA10D2"/>
    <w:rsid w:val="207D68CF"/>
    <w:rsid w:val="20DC13FC"/>
    <w:rsid w:val="21076199"/>
    <w:rsid w:val="228757E3"/>
    <w:rsid w:val="228A0E2F"/>
    <w:rsid w:val="236260DB"/>
    <w:rsid w:val="24F627AC"/>
    <w:rsid w:val="24F9627D"/>
    <w:rsid w:val="251D1032"/>
    <w:rsid w:val="281554DF"/>
    <w:rsid w:val="29AB625B"/>
    <w:rsid w:val="2B004385"/>
    <w:rsid w:val="2BE617CC"/>
    <w:rsid w:val="2C567FD4"/>
    <w:rsid w:val="2DE51610"/>
    <w:rsid w:val="31903F88"/>
    <w:rsid w:val="32690A61"/>
    <w:rsid w:val="33770F5C"/>
    <w:rsid w:val="33D77C4D"/>
    <w:rsid w:val="33D939C5"/>
    <w:rsid w:val="371C098F"/>
    <w:rsid w:val="377C2FE5"/>
    <w:rsid w:val="37CF580A"/>
    <w:rsid w:val="39813FE9"/>
    <w:rsid w:val="3A2D4A6A"/>
    <w:rsid w:val="3AC84793"/>
    <w:rsid w:val="3CA60B04"/>
    <w:rsid w:val="3EE83E29"/>
    <w:rsid w:val="3F744EE9"/>
    <w:rsid w:val="3FAA26B9"/>
    <w:rsid w:val="40095A30"/>
    <w:rsid w:val="412169AB"/>
    <w:rsid w:val="416D399E"/>
    <w:rsid w:val="44FC6816"/>
    <w:rsid w:val="45E2495B"/>
    <w:rsid w:val="45EF0E26"/>
    <w:rsid w:val="45F81128"/>
    <w:rsid w:val="465D2233"/>
    <w:rsid w:val="46B502C1"/>
    <w:rsid w:val="470E1780"/>
    <w:rsid w:val="48030BB8"/>
    <w:rsid w:val="4B8C24E1"/>
    <w:rsid w:val="4C505C11"/>
    <w:rsid w:val="4C5B7215"/>
    <w:rsid w:val="4C9A52D4"/>
    <w:rsid w:val="4CD07C03"/>
    <w:rsid w:val="4DD94895"/>
    <w:rsid w:val="4E2875CB"/>
    <w:rsid w:val="4EDE412D"/>
    <w:rsid w:val="4F3E1372"/>
    <w:rsid w:val="4FC926E8"/>
    <w:rsid w:val="50BE7D72"/>
    <w:rsid w:val="51200A2D"/>
    <w:rsid w:val="51844B18"/>
    <w:rsid w:val="51B83C1D"/>
    <w:rsid w:val="531F6D00"/>
    <w:rsid w:val="53372425"/>
    <w:rsid w:val="534F1156"/>
    <w:rsid w:val="53A72D40"/>
    <w:rsid w:val="53DF5E79"/>
    <w:rsid w:val="54CB6ADF"/>
    <w:rsid w:val="54CF69F2"/>
    <w:rsid w:val="55284354"/>
    <w:rsid w:val="5532168C"/>
    <w:rsid w:val="554878DC"/>
    <w:rsid w:val="56CE6835"/>
    <w:rsid w:val="56FB1D20"/>
    <w:rsid w:val="57522529"/>
    <w:rsid w:val="589757AA"/>
    <w:rsid w:val="58F819D8"/>
    <w:rsid w:val="59A77349"/>
    <w:rsid w:val="5C902F0B"/>
    <w:rsid w:val="5DA327CA"/>
    <w:rsid w:val="5F867121"/>
    <w:rsid w:val="60116111"/>
    <w:rsid w:val="6115291A"/>
    <w:rsid w:val="620D0B5A"/>
    <w:rsid w:val="622F6D22"/>
    <w:rsid w:val="653463FD"/>
    <w:rsid w:val="65530F79"/>
    <w:rsid w:val="662C23B3"/>
    <w:rsid w:val="66763171"/>
    <w:rsid w:val="66DC57F7"/>
    <w:rsid w:val="66F26570"/>
    <w:rsid w:val="680E1188"/>
    <w:rsid w:val="68684D3C"/>
    <w:rsid w:val="69EE301F"/>
    <w:rsid w:val="69F05CE0"/>
    <w:rsid w:val="6B0202CF"/>
    <w:rsid w:val="6B15282D"/>
    <w:rsid w:val="6D9B16C4"/>
    <w:rsid w:val="6E2769B3"/>
    <w:rsid w:val="6E31797E"/>
    <w:rsid w:val="6E797237"/>
    <w:rsid w:val="6EE92007"/>
    <w:rsid w:val="6F3E6D4B"/>
    <w:rsid w:val="70AB14BD"/>
    <w:rsid w:val="72FE5106"/>
    <w:rsid w:val="743475DA"/>
    <w:rsid w:val="75110C87"/>
    <w:rsid w:val="766F3739"/>
    <w:rsid w:val="76AA29C3"/>
    <w:rsid w:val="76AE24B4"/>
    <w:rsid w:val="77044E51"/>
    <w:rsid w:val="771816DB"/>
    <w:rsid w:val="79412AA3"/>
    <w:rsid w:val="7A6F5AB6"/>
    <w:rsid w:val="7D1F7C67"/>
    <w:rsid w:val="7D515947"/>
    <w:rsid w:val="7DCC14C0"/>
    <w:rsid w:val="7E154BC6"/>
    <w:rsid w:val="7ED00AED"/>
    <w:rsid w:val="7EEF71C5"/>
    <w:rsid w:val="7F4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Normal (Web)"/>
    <w:basedOn w:val="1"/>
    <w:unhideWhenUsed/>
    <w:qFormat/>
    <w:uiPriority w:val="99"/>
    <w:rPr>
      <w:rFonts w:ascii="Times New Roman" w:hAnsi="Times New Roman" w:cs="Times New Roman"/>
    </w:rPr>
  </w:style>
  <w:style w:type="table" w:styleId="5">
    <w:name w:val="Table Grid"/>
    <w:basedOn w:val="4"/>
    <w:qFormat/>
    <w:uiPriority w:val="39"/>
    <w:rPr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2647</Words>
  <Characters>16296</Characters>
  <Lines>0</Lines>
  <Paragraphs>0</Paragraphs>
  <TotalTime>8</TotalTime>
  <ScaleCrop>false</ScaleCrop>
  <LinksUpToDate>false</LinksUpToDate>
  <CharactersWithSpaces>17809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2022-01-08T16:31:00Z</dcterms:created>
  <dc:creator>一只有趣的灵魂</dc:creator>
  <cp:lastModifiedBy>黄婷</cp:lastModifiedBy>
  <dcterms:modified xsi:type="dcterms:W3CDTF">2022-04-30T02:04:15Z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3010FB6A40C64A1288C083602BADEC2D</vt:lpwstr>
  </property>
</Properties>
</file>