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12CCF" w14:textId="77777777" w:rsidR="00EE6F51" w:rsidRPr="00616CA5" w:rsidRDefault="00EE6F51" w:rsidP="00EE6F51">
      <w:pPr>
        <w:pStyle w:val="BATitle"/>
        <w:jc w:val="left"/>
        <w:rPr>
          <w:b/>
        </w:rPr>
      </w:pPr>
      <w:r w:rsidRPr="00616CA5">
        <w:rPr>
          <w:rStyle w:val="TtuloCar"/>
        </w:rPr>
        <w:t>Massive virtual screening and evaluation of small molecule inhibitors of the Papain-like protease of SARS-Cov-2</w:t>
      </w:r>
    </w:p>
    <w:p w14:paraId="7E20BE56" w14:textId="77777777" w:rsidR="00EE6F51" w:rsidRPr="00616CA5" w:rsidRDefault="00EE6F51" w:rsidP="00EE6F51">
      <w:pPr>
        <w:pStyle w:val="BATitle"/>
        <w:jc w:val="left"/>
        <w:rPr>
          <w:lang w:val="es-CL"/>
        </w:rPr>
      </w:pPr>
      <w:r w:rsidRPr="00616CA5">
        <w:rPr>
          <w:lang w:val="es-CL"/>
        </w:rPr>
        <w:t>Manuel I. Osorio</w:t>
      </w:r>
      <w:r w:rsidRPr="00616CA5">
        <w:rPr>
          <w:i/>
          <w:vertAlign w:val="superscript"/>
          <w:lang w:val="es-CL"/>
        </w:rPr>
        <w:t xml:space="preserve"> </w:t>
      </w:r>
      <w:r w:rsidRPr="00616CA5">
        <w:rPr>
          <w:vertAlign w:val="superscript"/>
          <w:lang w:val="es-CL"/>
        </w:rPr>
        <w:t>1, 2</w:t>
      </w:r>
      <w:r w:rsidRPr="00616CA5">
        <w:rPr>
          <w:lang w:val="es-CL"/>
        </w:rPr>
        <w:t>, Osvaldo Yañez</w:t>
      </w:r>
      <w:r w:rsidRPr="00616CA5">
        <w:rPr>
          <w:vertAlign w:val="superscript"/>
          <w:lang w:val="es-CL"/>
        </w:rPr>
        <w:t>1, 3,4</w:t>
      </w:r>
      <w:r w:rsidRPr="00616CA5">
        <w:rPr>
          <w:lang w:val="es-CL"/>
        </w:rPr>
        <w:t xml:space="preserve">, Mauricio Gallardo </w:t>
      </w:r>
      <w:r w:rsidRPr="00616CA5">
        <w:rPr>
          <w:vertAlign w:val="superscript"/>
          <w:lang w:val="es-CL"/>
        </w:rPr>
        <w:t>2</w:t>
      </w:r>
      <w:r w:rsidRPr="00616CA5">
        <w:rPr>
          <w:lang w:val="es-CL"/>
        </w:rPr>
        <w:t xml:space="preserve">, Olimpo García-Beltrán </w:t>
      </w:r>
      <w:r w:rsidRPr="00616CA5">
        <w:rPr>
          <w:vertAlign w:val="superscript"/>
          <w:lang w:val="es-CL"/>
        </w:rPr>
        <w:t>5,6</w:t>
      </w:r>
      <w:r w:rsidRPr="00616CA5">
        <w:rPr>
          <w:lang w:val="es-CL"/>
        </w:rPr>
        <w:t>, Fernando González-Nilo</w:t>
      </w:r>
      <w:r w:rsidRPr="00616CA5">
        <w:rPr>
          <w:vertAlign w:val="superscript"/>
          <w:lang w:val="es-CL"/>
        </w:rPr>
        <w:t>1</w:t>
      </w:r>
      <w:r w:rsidRPr="00616CA5">
        <w:rPr>
          <w:lang w:val="es-CL"/>
        </w:rPr>
        <w:t xml:space="preserve"> and José M. Pérez-Donoso</w:t>
      </w:r>
      <w:r w:rsidRPr="00616CA5">
        <w:rPr>
          <w:vertAlign w:val="superscript"/>
          <w:lang w:val="es-CL"/>
        </w:rPr>
        <w:t>1</w:t>
      </w:r>
      <w:r w:rsidRPr="00616CA5">
        <w:rPr>
          <w:lang w:val="es-CL"/>
        </w:rPr>
        <w:t>.</w:t>
      </w:r>
    </w:p>
    <w:p w14:paraId="4932F1D6" w14:textId="77777777" w:rsidR="00EE6F51" w:rsidRPr="00D86D3C" w:rsidRDefault="00EE6F51" w:rsidP="00EE6F5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eastAsia="Times" w:cs="Times"/>
          <w:color w:val="000000"/>
          <w:szCs w:val="24"/>
          <w:lang w:val="es-CL"/>
        </w:rPr>
      </w:pPr>
      <w:r w:rsidRPr="00D86D3C">
        <w:rPr>
          <w:rFonts w:eastAsia="Times" w:cs="Times"/>
          <w:color w:val="000000"/>
          <w:szCs w:val="24"/>
          <w:vertAlign w:val="superscript"/>
          <w:lang w:val="es-CL"/>
        </w:rPr>
        <w:t>1</w:t>
      </w:r>
      <w:r w:rsidRPr="00D86D3C">
        <w:rPr>
          <w:rFonts w:eastAsia="Times" w:cs="Times"/>
          <w:color w:val="000000"/>
          <w:szCs w:val="24"/>
          <w:lang w:val="es-CL"/>
        </w:rPr>
        <w:t xml:space="preserve"> Center </w:t>
      </w:r>
      <w:proofErr w:type="spellStart"/>
      <w:r w:rsidRPr="00D86D3C">
        <w:rPr>
          <w:rFonts w:eastAsia="Times" w:cs="Times"/>
          <w:color w:val="000000"/>
          <w:szCs w:val="24"/>
          <w:lang w:val="es-CL"/>
        </w:rPr>
        <w:t>for</w:t>
      </w:r>
      <w:proofErr w:type="spellEnd"/>
      <w:r w:rsidRPr="00D86D3C">
        <w:rPr>
          <w:rFonts w:eastAsia="Times" w:cs="Times"/>
          <w:color w:val="000000"/>
          <w:szCs w:val="24"/>
          <w:lang w:val="es-CL"/>
        </w:rPr>
        <w:t xml:space="preserve"> </w:t>
      </w:r>
      <w:proofErr w:type="spellStart"/>
      <w:r w:rsidRPr="00D86D3C">
        <w:rPr>
          <w:rFonts w:eastAsia="Times" w:cs="Times"/>
          <w:color w:val="000000"/>
          <w:szCs w:val="24"/>
          <w:lang w:val="es-CL"/>
        </w:rPr>
        <w:t>Bioinformatics</w:t>
      </w:r>
      <w:proofErr w:type="spellEnd"/>
      <w:r w:rsidRPr="00D86D3C">
        <w:rPr>
          <w:rFonts w:eastAsia="Times" w:cs="Times"/>
          <w:color w:val="000000"/>
          <w:szCs w:val="24"/>
          <w:lang w:val="es-CL"/>
        </w:rPr>
        <w:t xml:space="preserve"> and </w:t>
      </w:r>
      <w:proofErr w:type="spellStart"/>
      <w:r w:rsidRPr="00D86D3C">
        <w:rPr>
          <w:rFonts w:eastAsia="Times" w:cs="Times"/>
          <w:color w:val="000000"/>
          <w:szCs w:val="24"/>
          <w:lang w:val="es-CL"/>
        </w:rPr>
        <w:t>Integrative</w:t>
      </w:r>
      <w:proofErr w:type="spellEnd"/>
      <w:r w:rsidRPr="00D86D3C">
        <w:rPr>
          <w:rFonts w:eastAsia="Times" w:cs="Times"/>
          <w:color w:val="000000"/>
          <w:szCs w:val="24"/>
          <w:lang w:val="es-CL"/>
        </w:rPr>
        <w:t xml:space="preserve"> </w:t>
      </w:r>
      <w:proofErr w:type="spellStart"/>
      <w:r w:rsidRPr="00D86D3C">
        <w:rPr>
          <w:rFonts w:eastAsia="Times" w:cs="Times"/>
          <w:color w:val="000000"/>
          <w:szCs w:val="24"/>
          <w:lang w:val="es-CL"/>
        </w:rPr>
        <w:t>Biology</w:t>
      </w:r>
      <w:proofErr w:type="spellEnd"/>
      <w:r w:rsidRPr="00D86D3C">
        <w:rPr>
          <w:rFonts w:eastAsia="Times" w:cs="Times"/>
          <w:color w:val="000000"/>
          <w:szCs w:val="24"/>
          <w:lang w:val="es-CL"/>
        </w:rPr>
        <w:t xml:space="preserve"> (CBIB), Facultad de Ciencias de la Vida, Universidad </w:t>
      </w:r>
      <w:proofErr w:type="spellStart"/>
      <w:r w:rsidRPr="00D86D3C">
        <w:rPr>
          <w:rFonts w:eastAsia="Times" w:cs="Times"/>
          <w:color w:val="000000"/>
          <w:szCs w:val="24"/>
          <w:lang w:val="es-CL"/>
        </w:rPr>
        <w:t>Andres</w:t>
      </w:r>
      <w:proofErr w:type="spellEnd"/>
      <w:r w:rsidRPr="00D86D3C">
        <w:rPr>
          <w:rFonts w:eastAsia="Times" w:cs="Times"/>
          <w:color w:val="000000"/>
          <w:szCs w:val="24"/>
          <w:lang w:val="es-CL"/>
        </w:rPr>
        <w:t xml:space="preserve"> Bello, Av. República 330, Santiago 8370146, Chile</w:t>
      </w:r>
    </w:p>
    <w:p w14:paraId="42747DAD" w14:textId="77777777" w:rsidR="00EE6F51" w:rsidRPr="00D86D3C" w:rsidRDefault="00EE6F51" w:rsidP="00EE6F5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eastAsia="Times" w:cs="Times"/>
          <w:color w:val="000000"/>
          <w:szCs w:val="24"/>
          <w:lang w:val="es-CL"/>
        </w:rPr>
      </w:pPr>
      <w:r w:rsidRPr="00D86D3C">
        <w:rPr>
          <w:rFonts w:eastAsia="Times" w:cs="Times"/>
          <w:color w:val="000000"/>
          <w:szCs w:val="24"/>
          <w:vertAlign w:val="superscript"/>
          <w:lang w:val="es-CL"/>
        </w:rPr>
        <w:t>2</w:t>
      </w:r>
      <w:r w:rsidRPr="00D86D3C">
        <w:rPr>
          <w:rFonts w:eastAsia="Times" w:cs="Times"/>
          <w:color w:val="000000"/>
          <w:szCs w:val="24"/>
          <w:lang w:val="es-CL"/>
        </w:rPr>
        <w:t xml:space="preserve"> Facultad de Medicina, Centro de Investigación Biomédica, Universidad Diego Portales, Ejército 141, Santiago 837007, Chile</w:t>
      </w:r>
    </w:p>
    <w:p w14:paraId="0A063503" w14:textId="77777777" w:rsidR="00EE6F51" w:rsidRDefault="00EE6F51" w:rsidP="00EE6F51">
      <w:pPr>
        <w:spacing w:line="360" w:lineRule="auto"/>
        <w:rPr>
          <w:rFonts w:eastAsia="Times" w:cs="Times"/>
          <w:szCs w:val="24"/>
        </w:rPr>
      </w:pPr>
      <w:r>
        <w:rPr>
          <w:rFonts w:eastAsia="Times" w:cs="Times"/>
          <w:szCs w:val="24"/>
          <w:vertAlign w:val="superscript"/>
        </w:rPr>
        <w:t>3</w:t>
      </w:r>
      <w:r>
        <w:rPr>
          <w:rFonts w:eastAsia="Times" w:cs="Times"/>
          <w:szCs w:val="24"/>
        </w:rPr>
        <w:t xml:space="preserve"> Center of New Drugs for Hypertension (CENDHY), Santiago, Chile</w:t>
      </w:r>
    </w:p>
    <w:p w14:paraId="2B2C5B6E" w14:textId="77777777" w:rsidR="00EE6F51" w:rsidRDefault="00EE6F51" w:rsidP="00EE6F51">
      <w:pPr>
        <w:spacing w:line="360" w:lineRule="auto"/>
        <w:rPr>
          <w:rFonts w:eastAsia="Times" w:cs="Times"/>
          <w:szCs w:val="24"/>
        </w:rPr>
      </w:pPr>
      <w:r>
        <w:rPr>
          <w:rFonts w:eastAsia="Times" w:cs="Times"/>
          <w:szCs w:val="24"/>
          <w:vertAlign w:val="superscript"/>
        </w:rPr>
        <w:lastRenderedPageBreak/>
        <w:t xml:space="preserve">4 </w:t>
      </w:r>
      <w:r>
        <w:rPr>
          <w:rFonts w:eastAsia="Times" w:cs="Times"/>
          <w:szCs w:val="24"/>
        </w:rPr>
        <w:t xml:space="preserve">Department of Pharmaceutical Science and Technology, School of Chemical and Pharmaceutical Sciences, Universidad de Chile, Santiago, Chile </w:t>
      </w:r>
    </w:p>
    <w:p w14:paraId="5FBC4C4C" w14:textId="77777777" w:rsidR="00EE6F51" w:rsidRPr="00D86D3C" w:rsidRDefault="00EE6F51" w:rsidP="00EE6F5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eastAsia="Times" w:cs="Times"/>
          <w:color w:val="000000"/>
          <w:szCs w:val="24"/>
          <w:lang w:val="es-CL"/>
        </w:rPr>
      </w:pPr>
      <w:r>
        <w:rPr>
          <w:rFonts w:eastAsia="Times" w:cs="Times"/>
          <w:color w:val="000000"/>
          <w:szCs w:val="24"/>
          <w:vertAlign w:val="superscript"/>
        </w:rPr>
        <w:t xml:space="preserve"> </w:t>
      </w:r>
      <w:r w:rsidRPr="00D86D3C">
        <w:rPr>
          <w:rFonts w:eastAsia="Times" w:cs="Times"/>
          <w:color w:val="000000"/>
          <w:szCs w:val="24"/>
          <w:vertAlign w:val="superscript"/>
          <w:lang w:val="es-CL"/>
        </w:rPr>
        <w:t>5</w:t>
      </w:r>
      <w:r w:rsidRPr="00D86D3C">
        <w:rPr>
          <w:rFonts w:eastAsia="Times" w:cs="Times"/>
          <w:color w:val="000000"/>
          <w:szCs w:val="24"/>
          <w:lang w:val="es-CL"/>
        </w:rPr>
        <w:t xml:space="preserve"> Facultad de Ciencias Naturales y Matemáticas, Universidad de Ibagué, Carrera 22 calle 67, Ibagué 730002, Colombia</w:t>
      </w:r>
    </w:p>
    <w:p w14:paraId="55C7E86F" w14:textId="77777777" w:rsidR="00EE6F51" w:rsidRDefault="00EE6F51" w:rsidP="00EE6F5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eastAsia="Times" w:cs="Times"/>
          <w:color w:val="000000"/>
          <w:szCs w:val="24"/>
          <w:lang w:val="es-CL"/>
        </w:rPr>
      </w:pPr>
      <w:r w:rsidRPr="00D86D3C">
        <w:rPr>
          <w:rFonts w:eastAsia="Times" w:cs="Times"/>
          <w:color w:val="000000"/>
          <w:szCs w:val="24"/>
          <w:vertAlign w:val="superscript"/>
          <w:lang w:val="es-CL"/>
        </w:rPr>
        <w:t>6</w:t>
      </w:r>
      <w:r w:rsidRPr="00D86D3C">
        <w:rPr>
          <w:rFonts w:eastAsia="Times" w:cs="Times"/>
          <w:color w:val="000000"/>
          <w:szCs w:val="24"/>
          <w:lang w:val="es-CL"/>
        </w:rPr>
        <w:t xml:space="preserve"> Universidad Bernardo O</w:t>
      </w:r>
      <w:r w:rsidRPr="00D86D3C">
        <w:rPr>
          <w:rFonts w:ascii="Times New Roman" w:hAnsi="Times New Roman"/>
          <w:color w:val="000000"/>
          <w:szCs w:val="24"/>
          <w:lang w:val="es-CL"/>
        </w:rPr>
        <w:t>′</w:t>
      </w:r>
      <w:r w:rsidRPr="00D86D3C">
        <w:rPr>
          <w:rFonts w:eastAsia="Times" w:cs="Times"/>
          <w:color w:val="000000"/>
          <w:szCs w:val="24"/>
          <w:lang w:val="es-CL"/>
        </w:rPr>
        <w:t xml:space="preserve"> </w:t>
      </w:r>
      <w:proofErr w:type="spellStart"/>
      <w:r w:rsidRPr="00D86D3C">
        <w:rPr>
          <w:rFonts w:eastAsia="Times" w:cs="Times"/>
          <w:color w:val="000000"/>
          <w:szCs w:val="24"/>
          <w:lang w:val="es-CL"/>
        </w:rPr>
        <w:t>Higgins</w:t>
      </w:r>
      <w:proofErr w:type="spellEnd"/>
      <w:r w:rsidRPr="00D86D3C">
        <w:rPr>
          <w:rFonts w:eastAsia="Times" w:cs="Times"/>
          <w:color w:val="000000"/>
          <w:szCs w:val="24"/>
          <w:lang w:val="es-CL"/>
        </w:rPr>
        <w:t>, Centro Integrativo de Biología y Química Aplicada (CIBQA), General Gana 1702, Santiago, Chile, 8370854</w:t>
      </w:r>
    </w:p>
    <w:p w14:paraId="55AE7DDA" w14:textId="45199944" w:rsidR="006C4B54" w:rsidRDefault="006C4B54">
      <w:pPr>
        <w:rPr>
          <w:lang w:val="es-CL"/>
        </w:rPr>
      </w:pPr>
    </w:p>
    <w:p w14:paraId="6243E139" w14:textId="455824CD" w:rsidR="001A0BD7" w:rsidRDefault="001A0BD7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188B8BE" wp14:editId="5255C800">
            <wp:extent cx="5198534" cy="5332839"/>
            <wp:effectExtent l="0" t="0" r="0" b="127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24" t="4390" r="6390" b="8428"/>
                    <a:stretch/>
                  </pic:blipFill>
                  <pic:spPr bwMode="auto">
                    <a:xfrm>
                      <a:off x="0" y="0"/>
                      <a:ext cx="5206987" cy="5341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D56264" w14:textId="637D8AD4" w:rsidR="00653545" w:rsidRPr="001A0BD7" w:rsidRDefault="001A0BD7">
      <w:r w:rsidRPr="001A0BD7">
        <w:rPr>
          <w:b/>
          <w:bCs/>
        </w:rPr>
        <w:t xml:space="preserve">Figure S1. </w:t>
      </w:r>
      <w:r w:rsidRPr="001A0BD7">
        <w:rPr>
          <w:b/>
          <w:bCs/>
        </w:rPr>
        <w:t>Comparison of structures obtained by molecular docking and crystallography</w:t>
      </w:r>
      <w:r w:rsidRPr="001A0BD7">
        <w:t xml:space="preserve">. The binding region for GRL0617 and 12C is highlighted in the </w:t>
      </w:r>
      <w:proofErr w:type="spellStart"/>
      <w:r w:rsidRPr="001A0BD7">
        <w:t>PLpro</w:t>
      </w:r>
      <w:proofErr w:type="spellEnd"/>
      <w:r w:rsidRPr="001A0BD7">
        <w:t xml:space="preserve"> protein (A). Comparison of the lowest energy structures obtained by molecular docking (yellow) and crystallographic (red) published in the PDB database for </w:t>
      </w:r>
      <w:proofErr w:type="spellStart"/>
      <w:r w:rsidRPr="001A0BD7">
        <w:t>PLpro</w:t>
      </w:r>
      <w:proofErr w:type="spellEnd"/>
      <w:r w:rsidRPr="001A0BD7">
        <w:t>/GRL0617 (B) and PLpro12C (C) is shown.</w:t>
      </w:r>
    </w:p>
    <w:p w14:paraId="256CEA0A" w14:textId="3FE6776D" w:rsidR="00653545" w:rsidRDefault="00653545">
      <w:pPr>
        <w:rPr>
          <w:lang w:val="es-CL"/>
        </w:rPr>
      </w:pPr>
      <w:r>
        <w:rPr>
          <w:noProof/>
          <w:lang w:val="es-CL"/>
        </w:rPr>
        <w:lastRenderedPageBreak/>
        <w:drawing>
          <wp:inline distT="0" distB="0" distL="0" distR="0" wp14:anchorId="4F4FF767" wp14:editId="4CB80155">
            <wp:extent cx="5400040" cy="3830955"/>
            <wp:effectExtent l="0" t="0" r="0" b="444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3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058C2" w14:textId="28A76188" w:rsidR="001A0BD7" w:rsidRPr="00337480" w:rsidRDefault="00337480">
      <w:r w:rsidRPr="00337480">
        <w:rPr>
          <w:b/>
          <w:bCs/>
        </w:rPr>
        <w:t xml:space="preserve">Figure S2. </w:t>
      </w:r>
      <w:r w:rsidRPr="00337480">
        <w:rPr>
          <w:b/>
          <w:bCs/>
        </w:rPr>
        <w:t xml:space="preserve">Binding energy distribution of selected compounds and the binding site of GRL0617 in </w:t>
      </w:r>
      <w:proofErr w:type="spellStart"/>
      <w:r w:rsidRPr="00337480">
        <w:rPr>
          <w:b/>
          <w:bCs/>
        </w:rPr>
        <w:t>PLpro</w:t>
      </w:r>
      <w:proofErr w:type="spellEnd"/>
      <w:r w:rsidRPr="00337480">
        <w:rPr>
          <w:b/>
          <w:bCs/>
        </w:rPr>
        <w:t xml:space="preserve"> of SARS-CoV-2</w:t>
      </w:r>
      <w:r w:rsidRPr="00337480">
        <w:t>. The frequency distribution of the energy calculated by molecular docking of the 20,000 selected compounds (small box) and of the 500 with energy lower than GRL0617 (-10.4 kcal/mol) is shown. The energy of each selected compound D06 (-13.4 kcal/mol), D60 (-13.1 kcal/mol), D24 (-11.69 kcal/mol), D04 (-11.56 kcal/mol), D28 (-11.45 kcal/mol), D99 (-12.4 kcal/mol) and D59 (-12.19 kcal/mol) are indicated in the graph.</w:t>
      </w:r>
    </w:p>
    <w:p w14:paraId="139D2F24" w14:textId="562BFC93" w:rsidR="00653545" w:rsidRDefault="00653545">
      <w:pPr>
        <w:rPr>
          <w:lang w:val="es-CL"/>
        </w:rPr>
      </w:pPr>
    </w:p>
    <w:p w14:paraId="4A57EE36" w14:textId="52A2444E" w:rsidR="000C7F00" w:rsidRDefault="00872CB2" w:rsidP="000C7F00">
      <w:pPr>
        <w:jc w:val="center"/>
        <w:rPr>
          <w:lang w:val="es-CL"/>
        </w:rPr>
      </w:pPr>
      <w:r>
        <w:rPr>
          <w:noProof/>
          <w:lang w:val="es-CL"/>
        </w:rPr>
        <w:lastRenderedPageBreak/>
        <w:drawing>
          <wp:inline distT="0" distB="0" distL="0" distR="0" wp14:anchorId="36233350" wp14:editId="6A4E2D13">
            <wp:extent cx="5400040" cy="5577840"/>
            <wp:effectExtent l="0" t="0" r="0" b="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n 1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57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57149" w14:textId="2A5A6EA7" w:rsidR="000C7F00" w:rsidRPr="000C7F00" w:rsidRDefault="000C7F00" w:rsidP="000C7F00">
      <w:r w:rsidRPr="007954C5">
        <w:rPr>
          <w:b/>
          <w:bCs/>
        </w:rPr>
        <w:t>Figure S</w:t>
      </w:r>
      <w:r>
        <w:rPr>
          <w:b/>
          <w:bCs/>
        </w:rPr>
        <w:t>3</w:t>
      </w:r>
      <w:r w:rsidRPr="007954C5">
        <w:rPr>
          <w:b/>
          <w:bCs/>
        </w:rPr>
        <w:t>. Chemical structures of inhibitors (GRL0617 and C12) and compounds selected by virtual screening</w:t>
      </w:r>
    </w:p>
    <w:p w14:paraId="268250E4" w14:textId="706609A7" w:rsidR="00653545" w:rsidRPr="000C7F00" w:rsidRDefault="00653545"/>
    <w:p w14:paraId="158D3731" w14:textId="4AF39BBF" w:rsidR="00653545" w:rsidRDefault="00793DD5">
      <w:pPr>
        <w:rPr>
          <w:lang w:val="es-CL"/>
        </w:rPr>
      </w:pPr>
      <w:r>
        <w:rPr>
          <w:noProof/>
          <w:lang w:val="es-CL"/>
        </w:rPr>
        <w:lastRenderedPageBreak/>
        <w:drawing>
          <wp:inline distT="0" distB="0" distL="0" distR="0" wp14:anchorId="7EAAD5C9" wp14:editId="7292AB99">
            <wp:extent cx="5400040" cy="4072255"/>
            <wp:effectExtent l="0" t="0" r="0" b="444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7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98AE2" w14:textId="7B476BF8" w:rsidR="00793DD5" w:rsidRPr="00CA60AA" w:rsidRDefault="00CA60AA">
      <w:r w:rsidRPr="00CA60AA">
        <w:rPr>
          <w:b/>
          <w:bCs/>
        </w:rPr>
        <w:t>Figure S</w:t>
      </w:r>
      <w:r w:rsidR="000C7F00">
        <w:rPr>
          <w:b/>
          <w:bCs/>
        </w:rPr>
        <w:t>4</w:t>
      </w:r>
      <w:r w:rsidRPr="00CA60AA">
        <w:rPr>
          <w:b/>
          <w:bCs/>
        </w:rPr>
        <w:t xml:space="preserve">. </w:t>
      </w:r>
      <w:r w:rsidRPr="00CA60AA">
        <w:rPr>
          <w:b/>
          <w:bCs/>
        </w:rPr>
        <w:t>Evaluation of passive gastrointestinal absorption (HIA) and brain penetration (BBB) as a function of molecule position in reference to the lipophilicity descriptor (WLOGP) versus topological polar surface (TPSA)</w:t>
      </w:r>
      <w:r w:rsidRPr="00CA60AA">
        <w:t>. Inhibitors GRL0617</w:t>
      </w:r>
      <w:r>
        <w:t xml:space="preserve"> (A)</w:t>
      </w:r>
      <w:r w:rsidRPr="00CA60AA">
        <w:t xml:space="preserve">, 12C </w:t>
      </w:r>
      <w:r>
        <w:t xml:space="preserve">(B) </w:t>
      </w:r>
      <w:r w:rsidRPr="00CA60AA">
        <w:t>and selected compounds D06</w:t>
      </w:r>
      <w:r>
        <w:t xml:space="preserve"> (C)</w:t>
      </w:r>
      <w:r w:rsidRPr="00CA60AA">
        <w:t>, D60</w:t>
      </w:r>
      <w:r>
        <w:t xml:space="preserve"> (D)</w:t>
      </w:r>
      <w:r w:rsidRPr="00CA60AA">
        <w:t>, D24</w:t>
      </w:r>
      <w:r>
        <w:t xml:space="preserve"> (E)</w:t>
      </w:r>
      <w:r w:rsidRPr="00CA60AA">
        <w:t>, D04</w:t>
      </w:r>
      <w:r>
        <w:t xml:space="preserve"> (F)</w:t>
      </w:r>
      <w:r w:rsidRPr="00CA60AA">
        <w:t>, D28</w:t>
      </w:r>
      <w:r>
        <w:t xml:space="preserve"> (G)</w:t>
      </w:r>
      <w:r w:rsidRPr="00CA60AA">
        <w:t>,</w:t>
      </w:r>
      <w:r>
        <w:t xml:space="preserve"> </w:t>
      </w:r>
      <w:r w:rsidRPr="00CA60AA">
        <w:t>D99</w:t>
      </w:r>
      <w:r>
        <w:t xml:space="preserve"> (H)</w:t>
      </w:r>
      <w:r w:rsidRPr="00CA60AA">
        <w:t xml:space="preserve"> and D59</w:t>
      </w:r>
      <w:r>
        <w:t xml:space="preserve"> (I)</w:t>
      </w:r>
      <w:r w:rsidRPr="00CA60AA">
        <w:t xml:space="preserve"> are identified in the egg plot.</w:t>
      </w:r>
      <w:r w:rsidRPr="00CA60AA">
        <w:t xml:space="preserve"> </w:t>
      </w:r>
      <w:r w:rsidRPr="00CA60AA">
        <w:t>In addition, the blue colored dots are predicted as active efflux for P-glycoprotein1 (PGP+).</w:t>
      </w:r>
    </w:p>
    <w:p w14:paraId="70A55974" w14:textId="54B8F215" w:rsidR="00793DD5" w:rsidRPr="007954C5" w:rsidRDefault="007954C5">
      <w:pPr>
        <w:rPr>
          <w:b/>
          <w:bCs/>
        </w:rPr>
      </w:pPr>
      <w:r w:rsidRPr="007954C5">
        <w:rPr>
          <w:b/>
          <w:bCs/>
        </w:rPr>
        <w:t>.</w:t>
      </w:r>
    </w:p>
    <w:p w14:paraId="6679DCC0" w14:textId="131C40CC" w:rsidR="00602709" w:rsidRDefault="00602709">
      <w:pPr>
        <w:rPr>
          <w:lang w:val="es-CL"/>
        </w:rPr>
      </w:pPr>
      <w:r>
        <w:rPr>
          <w:noProof/>
          <w:lang w:val="es-CL"/>
        </w:rPr>
        <w:lastRenderedPageBreak/>
        <w:drawing>
          <wp:inline distT="0" distB="0" distL="0" distR="0" wp14:anchorId="2A3A2BF7" wp14:editId="181CFC05">
            <wp:extent cx="5400040" cy="5825490"/>
            <wp:effectExtent l="0" t="0" r="0" b="381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82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9F278" w14:textId="04FBA6A9" w:rsidR="00793DD5" w:rsidRDefault="00C61C0E">
      <w:pPr>
        <w:rPr>
          <w:lang w:val="es-CL"/>
        </w:rPr>
      </w:pPr>
      <w:r>
        <w:rPr>
          <w:noProof/>
          <w:lang w:val="es-CL"/>
        </w:rPr>
        <w:lastRenderedPageBreak/>
        <w:drawing>
          <wp:inline distT="0" distB="0" distL="0" distR="0" wp14:anchorId="453566C7" wp14:editId="398D62F2">
            <wp:extent cx="5400040" cy="3892550"/>
            <wp:effectExtent l="0" t="0" r="0" b="635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9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081B4" w14:textId="77777777" w:rsidR="00DE3B64" w:rsidRPr="002E05D4" w:rsidRDefault="00DE3B64" w:rsidP="00DE3B64">
      <w:r w:rsidRPr="002E05D4">
        <w:rPr>
          <w:b/>
          <w:bCs/>
        </w:rPr>
        <w:t>Figure S5. Root mean square deviation (RMSD) of the polypeptide chain (</w:t>
      </w:r>
      <w:proofErr w:type="spellStart"/>
      <w:r w:rsidRPr="002E05D4">
        <w:rPr>
          <w:b/>
          <w:bCs/>
        </w:rPr>
        <w:t>apoPLpro</w:t>
      </w:r>
      <w:proofErr w:type="spellEnd"/>
      <w:r w:rsidRPr="002E05D4">
        <w:rPr>
          <w:b/>
          <w:bCs/>
        </w:rPr>
        <w:t xml:space="preserve"> and </w:t>
      </w:r>
      <w:proofErr w:type="spellStart"/>
      <w:r w:rsidRPr="002E05D4">
        <w:rPr>
          <w:b/>
          <w:bCs/>
        </w:rPr>
        <w:t>PLpro</w:t>
      </w:r>
      <w:proofErr w:type="spellEnd"/>
      <w:r w:rsidRPr="002E05D4">
        <w:rPr>
          <w:b/>
          <w:bCs/>
        </w:rPr>
        <w:t>/ligand) and ligand carbon skeleton (red broken line)</w:t>
      </w:r>
      <w:r w:rsidRPr="002E05D4">
        <w:t>. The RMSD of the alpha carbons of the polypeptide chain obtained from 200 ns molecular dynamics simulations in absence (black line) and in complex with the ligands (red solid line): GRL0617 (S5A), 12C(S5B), D06 (S5C), D60 (S5D), D24 (S5E), D04 (S5F), D28 (S5G), D99 (S5H) and D59 (S5I).</w:t>
      </w:r>
    </w:p>
    <w:p w14:paraId="67A946F5" w14:textId="77777777" w:rsidR="007954C5" w:rsidRPr="00DE3B64" w:rsidRDefault="007954C5"/>
    <w:p w14:paraId="1E19B7F7" w14:textId="4E5B5BBD" w:rsidR="00793DD5" w:rsidRDefault="00CD134B">
      <w:pPr>
        <w:rPr>
          <w:lang w:val="es-CL"/>
        </w:rPr>
      </w:pPr>
      <w:r>
        <w:rPr>
          <w:noProof/>
          <w:lang w:val="es-CL"/>
        </w:rPr>
        <w:lastRenderedPageBreak/>
        <w:drawing>
          <wp:inline distT="0" distB="0" distL="0" distR="0" wp14:anchorId="57394557" wp14:editId="49CFF0B4">
            <wp:extent cx="5400040" cy="5177790"/>
            <wp:effectExtent l="0" t="0" r="0" b="381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17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B3BCD" w14:textId="58D09BB7" w:rsidR="0098255D" w:rsidRPr="001E3B71" w:rsidRDefault="001E3B71">
      <w:r w:rsidRPr="001E3B71">
        <w:rPr>
          <w:b/>
          <w:bCs/>
        </w:rPr>
        <w:t xml:space="preserve">Figure </w:t>
      </w:r>
      <w:r w:rsidR="006872A2">
        <w:rPr>
          <w:b/>
          <w:bCs/>
        </w:rPr>
        <w:t>S</w:t>
      </w:r>
      <w:r w:rsidRPr="001E3B71">
        <w:rPr>
          <w:b/>
          <w:bCs/>
        </w:rPr>
        <w:t xml:space="preserve">6. </w:t>
      </w:r>
      <w:r w:rsidRPr="001E3B71">
        <w:rPr>
          <w:b/>
          <w:bCs/>
        </w:rPr>
        <w:t xml:space="preserve">Variation of ligand position in the complex with </w:t>
      </w:r>
      <w:proofErr w:type="spellStart"/>
      <w:r w:rsidRPr="001E3B71">
        <w:rPr>
          <w:b/>
          <w:bCs/>
        </w:rPr>
        <w:t>PLpro</w:t>
      </w:r>
      <w:proofErr w:type="spellEnd"/>
      <w:r w:rsidRPr="001E3B71">
        <w:rPr>
          <w:b/>
          <w:bCs/>
        </w:rPr>
        <w:t xml:space="preserve"> during 200 ns molecular dynamics simulation</w:t>
      </w:r>
      <w:r w:rsidRPr="001E3B71">
        <w:t xml:space="preserve">. The simulations were analyzed with the </w:t>
      </w:r>
      <w:proofErr w:type="spellStart"/>
      <w:r w:rsidRPr="001E3B71">
        <w:t>DBScan</w:t>
      </w:r>
      <w:proofErr w:type="spellEnd"/>
      <w:r w:rsidRPr="001E3B71">
        <w:t xml:space="preserve"> clustering algorithm, considering a cutoff distance of 1.5 Å based on the root mean square (</w:t>
      </w:r>
      <w:proofErr w:type="spellStart"/>
      <w:r w:rsidRPr="001E3B71">
        <w:t>rmsd</w:t>
      </w:r>
      <w:proofErr w:type="spellEnd"/>
      <w:r w:rsidRPr="001E3B71">
        <w:t>) of the ligand atoms other than hydrogen and 5 points minimum for each cluster. The variation of the main cluster representing more than 87 % is observed.</w:t>
      </w:r>
    </w:p>
    <w:sectPr w:rsidR="0098255D" w:rsidRPr="001E3B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F51"/>
    <w:rsid w:val="000C7F00"/>
    <w:rsid w:val="001A0BD7"/>
    <w:rsid w:val="001E3B71"/>
    <w:rsid w:val="002E05D4"/>
    <w:rsid w:val="00337480"/>
    <w:rsid w:val="00542275"/>
    <w:rsid w:val="00543030"/>
    <w:rsid w:val="00602709"/>
    <w:rsid w:val="00653545"/>
    <w:rsid w:val="006872A2"/>
    <w:rsid w:val="006C4B54"/>
    <w:rsid w:val="00793DD5"/>
    <w:rsid w:val="007954C5"/>
    <w:rsid w:val="00872CB2"/>
    <w:rsid w:val="0098255D"/>
    <w:rsid w:val="00A22D73"/>
    <w:rsid w:val="00AF77F4"/>
    <w:rsid w:val="00C61C0E"/>
    <w:rsid w:val="00CA60AA"/>
    <w:rsid w:val="00CD134B"/>
    <w:rsid w:val="00DE3B64"/>
    <w:rsid w:val="00EE6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C37CBC"/>
  <w15:chartTrackingRefBased/>
  <w15:docId w15:val="{6D89594D-CB3F-1F45-9592-AF2EFB188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F51"/>
    <w:pPr>
      <w:spacing w:after="200"/>
      <w:jc w:val="both"/>
    </w:pPr>
    <w:rPr>
      <w:rFonts w:ascii="Times" w:eastAsia="Times New Roman" w:hAnsi="Times" w:cs="Times New Roman"/>
      <w:szCs w:val="20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ATitle">
    <w:name w:val="BA_Title"/>
    <w:basedOn w:val="Normal"/>
    <w:next w:val="Normal"/>
    <w:rsid w:val="00EE6F51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styleId="Ttulo">
    <w:name w:val="Title"/>
    <w:basedOn w:val="Normal"/>
    <w:next w:val="Normal"/>
    <w:link w:val="TtuloCar"/>
    <w:qFormat/>
    <w:rsid w:val="00EE6F51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rsid w:val="00EE6F51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8</Pages>
  <Words>511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Osorio</dc:creator>
  <cp:keywords/>
  <dc:description/>
  <cp:lastModifiedBy>Manuel Osorio</cp:lastModifiedBy>
  <cp:revision>5</cp:revision>
  <dcterms:created xsi:type="dcterms:W3CDTF">2021-10-12T13:39:00Z</dcterms:created>
  <dcterms:modified xsi:type="dcterms:W3CDTF">2021-10-20T02:52:00Z</dcterms:modified>
</cp:coreProperties>
</file>