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D6" w:rsidRDefault="00C64CD6" w:rsidP="004C35D6">
      <w:pPr>
        <w:pStyle w:val="1"/>
        <w:snapToGrid w:val="0"/>
        <w:spacing w:line="360" w:lineRule="auto"/>
        <w:ind w:firstLineChars="0" w:firstLine="0"/>
        <w:rPr>
          <w:rFonts w:ascii="MyriadPro-Bold" w:eastAsia="MyriadPro-Bold" w:hAnsiTheme="minorHAnsi" w:cs="MyriadPro-Bold" w:hint="eastAsia"/>
          <w:b/>
          <w:bCs/>
          <w:szCs w:val="21"/>
        </w:rPr>
      </w:pPr>
      <w:r>
        <w:rPr>
          <w:rFonts w:ascii="MyriadPro-Bold" w:eastAsia="MyriadPro-Bold" w:hAnsiTheme="minorHAnsi" w:cs="MyriadPro-Bold"/>
          <w:b/>
          <w:bCs/>
          <w:szCs w:val="21"/>
        </w:rPr>
        <w:t>Supplementary information</w:t>
      </w:r>
    </w:p>
    <w:p w:rsidR="009E2647" w:rsidRPr="00C64CD6" w:rsidRDefault="00C64CD6" w:rsidP="00C64CD6">
      <w:pPr>
        <w:widowControl w:val="0"/>
        <w:autoSpaceDE w:val="0"/>
        <w:autoSpaceDN w:val="0"/>
        <w:snapToGrid/>
        <w:spacing w:after="0"/>
        <w:rPr>
          <w:rFonts w:ascii="MyriadPro-Bold" w:eastAsia="MyriadPro-Bold" w:hAnsiTheme="minorHAnsi" w:cs="MyriadPro-Bold" w:hint="eastAsia"/>
          <w:b/>
          <w:bCs/>
          <w:sz w:val="21"/>
          <w:szCs w:val="21"/>
        </w:rPr>
      </w:pPr>
      <w:r>
        <w:rPr>
          <w:rFonts w:ascii="MyriadPro-Bold" w:eastAsia="MyriadPro-Bold" w:hAnsiTheme="minorHAnsi" w:cs="MyriadPro-Bold"/>
          <w:b/>
          <w:bCs/>
          <w:sz w:val="21"/>
          <w:szCs w:val="21"/>
        </w:rPr>
        <w:t>Materials and methods</w:t>
      </w:r>
    </w:p>
    <w:p w:rsidR="009E2647" w:rsidRPr="00C64CD6" w:rsidRDefault="009E2647" w:rsidP="004C35D6">
      <w:pPr>
        <w:spacing w:after="0" w:line="360" w:lineRule="auto"/>
        <w:jc w:val="both"/>
        <w:rPr>
          <w:rFonts w:ascii="MyriadPro-Semibold" w:eastAsia="MyriadPro-Semibold" w:hAnsi="Times New Roman" w:cs="Times New Roman" w:hint="eastAsia"/>
          <w:b/>
          <w:sz w:val="18"/>
          <w:szCs w:val="18"/>
        </w:rPr>
      </w:pPr>
      <w:r w:rsidRPr="00C64CD6">
        <w:rPr>
          <w:rFonts w:ascii="MyriadPro-Semibold" w:eastAsia="MyriadPro-Semibold" w:hAnsi="Times New Roman" w:cs="Times New Roman" w:hint="eastAsia"/>
          <w:b/>
          <w:sz w:val="18"/>
          <w:szCs w:val="18"/>
        </w:rPr>
        <w:t>Western blotting</w:t>
      </w:r>
    </w:p>
    <w:p w:rsidR="00F474A5" w:rsidRPr="00C64CD6" w:rsidRDefault="009B09D6" w:rsidP="00C64CD6">
      <w:pPr>
        <w:spacing w:after="0" w:line="360" w:lineRule="auto"/>
        <w:jc w:val="both"/>
        <w:rPr>
          <w:rFonts w:ascii="WarnockPro-Regular" w:eastAsia="WarnockPro-Regular" w:hAnsi="Times New Roman" w:cs="Times New Roman" w:hint="eastAsia"/>
          <w:sz w:val="20"/>
          <w:szCs w:val="20"/>
        </w:rPr>
      </w:pPr>
      <w:proofErr w:type="gramStart"/>
      <w:r w:rsidRPr="00C64CD6">
        <w:rPr>
          <w:rFonts w:ascii="WarnockPro-Regular" w:eastAsia="WarnockPro-Regular" w:hAnsi="Times New Roman" w:cs="Times New Roman" w:hint="eastAsia"/>
          <w:sz w:val="20"/>
          <w:szCs w:val="20"/>
        </w:rPr>
        <w:t>Assays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was</w:t>
      </w:r>
      <w:proofErr w:type="gramEnd"/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performed as earlier described</w:t>
      </w:r>
      <w:r w:rsidR="00D211EB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</w:t>
      </w:r>
      <w:r w:rsidR="00463E67" w:rsidRPr="00C64CD6">
        <w:rPr>
          <w:rFonts w:ascii="WarnockPro-Regular" w:eastAsia="WarnockPro-Regular" w:hAnsi="Times New Roman" w:cs="Times New Roman" w:hint="eastAsia"/>
          <w:sz w:val="20"/>
          <w:szCs w:val="20"/>
        </w:rPr>
        <w:fldChar w:fldCharType="begin"/>
      </w:r>
      <w:r w:rsidR="006F0907" w:rsidRPr="00C64CD6">
        <w:rPr>
          <w:rFonts w:ascii="WarnockPro-Regular" w:eastAsia="WarnockPro-Regular" w:hAnsi="Times New Roman" w:cs="Times New Roman" w:hint="eastAsia"/>
          <w:sz w:val="20"/>
          <w:szCs w:val="20"/>
        </w:rPr>
        <w:instrText xml:space="preserve"> ADDIN NE.Ref.{6747D653-A85E-4F99-91F4-BE171B51EE14}</w:instrText>
      </w:r>
      <w:r w:rsidR="00463E67" w:rsidRPr="00C64CD6">
        <w:rPr>
          <w:rFonts w:ascii="WarnockPro-Regular" w:eastAsia="WarnockPro-Regular" w:hAnsi="Times New Roman" w:cs="Times New Roman" w:hint="eastAsia"/>
          <w:sz w:val="20"/>
          <w:szCs w:val="20"/>
        </w:rPr>
        <w:fldChar w:fldCharType="separate"/>
      </w:r>
      <w:r w:rsidR="00C25448">
        <w:rPr>
          <w:rFonts w:ascii="WarnockPro-Regular" w:eastAsia="WarnockPro-Regular" w:hAnsiTheme="minorHAnsi" w:cs="WarnockPro-Regular"/>
          <w:color w:val="080000"/>
          <w:sz w:val="20"/>
          <w:szCs w:val="20"/>
        </w:rPr>
        <w:t>[1]</w:t>
      </w:r>
      <w:r w:rsidR="00463E67" w:rsidRPr="00C64CD6">
        <w:rPr>
          <w:rFonts w:ascii="WarnockPro-Regular" w:eastAsia="WarnockPro-Regular" w:hAnsi="Times New Roman" w:cs="Times New Roman" w:hint="eastAsia"/>
          <w:sz w:val="20"/>
          <w:szCs w:val="20"/>
        </w:rPr>
        <w:fldChar w:fldCharType="end"/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. Briefly, </w:t>
      </w:r>
      <w:r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the 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cell lysates were </w:t>
      </w:r>
      <w:r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collected and subjected to 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10% SDS-polyacrylamide gel electrophoresis (SDS-PAGE)</w:t>
      </w:r>
      <w:r w:rsidRPr="00C64CD6">
        <w:rPr>
          <w:rFonts w:ascii="WarnockPro-Regular" w:eastAsia="WarnockPro-Regular" w:hAnsi="Times New Roman" w:cs="Times New Roman" w:hint="eastAsia"/>
          <w:sz w:val="20"/>
          <w:szCs w:val="20"/>
        </w:rPr>
        <w:t>. The separated proteins were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transferred onto </w:t>
      </w:r>
      <w:proofErr w:type="spellStart"/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polyvinylidene</w:t>
      </w:r>
      <w:proofErr w:type="spellEnd"/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fluoride (PVDF) filters. The probing antibodies used were as against the following antigens: OPN (</w:t>
      </w:r>
      <w:r w:rsidR="00F474A5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8448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, rabbit </w:t>
      </w:r>
      <w:r w:rsidR="00F474A5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polyclonal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antibody, 1:1000, </w:t>
      </w:r>
      <w:proofErr w:type="spellStart"/>
      <w:r w:rsidR="00F474A5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abcam</w:t>
      </w:r>
      <w:proofErr w:type="spellEnd"/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, </w:t>
      </w:r>
      <w:r w:rsidR="00F474A5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Cambridge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, MA, USA), Flag (</w:t>
      </w:r>
      <w:r w:rsidR="008528F9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2044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, rabbit </w:t>
      </w:r>
      <w:r w:rsidR="00F4442F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monoclonal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antibody, </w:t>
      </w:r>
      <w:r w:rsidR="008528F9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1:1000, Cell Signaling Technology, Danvers, MA, USA</w:t>
      </w:r>
      <w:r w:rsidR="009E2647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) and GAPDH (TA-08, mouse monoclonal antibody, 1:3000, ZSGB-BIO, Beijing, China).</w:t>
      </w:r>
      <w:r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</w:t>
      </w:r>
      <w:r w:rsidR="0087291D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Horseradish peroxidase-conjugated secondary antibodies were obtained from ZSGB-BIO (Beijing, China). Finally, the blots were visualized via enzyme linked </w:t>
      </w:r>
      <w:proofErr w:type="spellStart"/>
      <w:r w:rsidR="0087291D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chemiluminescence</w:t>
      </w:r>
      <w:proofErr w:type="spellEnd"/>
      <w:r w:rsidR="0087291D" w:rsidRPr="00C64CD6">
        <w:rPr>
          <w:rFonts w:ascii="WarnockPro-Regular" w:eastAsia="WarnockPro-Regular" w:hAnsi="Times New Roman" w:cs="Times New Roman" w:hint="eastAsia"/>
          <w:sz w:val="20"/>
          <w:szCs w:val="20"/>
        </w:rPr>
        <w:t xml:space="preserve"> using the ECL kit (</w:t>
      </w:r>
      <w:r w:rsidR="008B2350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NCM Biotech</w:t>
      </w:r>
      <w:r w:rsidR="0087291D" w:rsidRPr="00C64CD6">
        <w:rPr>
          <w:rFonts w:ascii="WarnockPro-Regular" w:eastAsia="WarnockPro-Regular" w:hAnsi="Times New Roman" w:cs="Times New Roman" w:hint="eastAsia"/>
          <w:sz w:val="20"/>
          <w:szCs w:val="20"/>
        </w:rPr>
        <w:t>).</w:t>
      </w:r>
    </w:p>
    <w:p w:rsidR="00061D1F" w:rsidRPr="00C64CD6" w:rsidRDefault="00061D1F" w:rsidP="00061D1F">
      <w:pPr>
        <w:adjustRightInd/>
        <w:spacing w:after="0" w:line="360" w:lineRule="auto"/>
        <w:jc w:val="both"/>
        <w:rPr>
          <w:rFonts w:ascii="WarnockPro-Regular" w:eastAsia="WarnockPro-Regular" w:hAnsi="Times New Roman" w:cs="Times New Roman" w:hint="eastAsia"/>
          <w:b/>
          <w:kern w:val="2"/>
          <w:sz w:val="21"/>
          <w:szCs w:val="21"/>
        </w:rPr>
      </w:pPr>
    </w:p>
    <w:p w:rsidR="006F0907" w:rsidRPr="00C64CD6" w:rsidRDefault="00061D1F" w:rsidP="006F0907">
      <w:pPr>
        <w:adjustRightInd/>
        <w:spacing w:after="0" w:line="360" w:lineRule="auto"/>
        <w:jc w:val="both"/>
        <w:rPr>
          <w:rFonts w:ascii="MyriadPro-Light" w:eastAsia="MyriadPro-Light" w:hAnsi="Times New Roman" w:cs="Times New Roman" w:hint="eastAsia"/>
          <w:b/>
          <w:sz w:val="16"/>
          <w:szCs w:val="16"/>
        </w:rPr>
      </w:pPr>
      <w:r w:rsidRPr="00C64CD6">
        <w:rPr>
          <w:rFonts w:ascii="MyriadPro-Bold" w:eastAsia="MyriadPro-Bold" w:hAnsi="Times New Roman" w:cs="Times New Roman" w:hint="eastAsia"/>
          <w:b/>
          <w:kern w:val="2"/>
          <w:sz w:val="16"/>
          <w:szCs w:val="16"/>
        </w:rPr>
        <w:t>Figure</w:t>
      </w:r>
      <w:r w:rsidR="006F0907" w:rsidRPr="00C64CD6">
        <w:rPr>
          <w:rFonts w:ascii="MyriadPro-Bold" w:eastAsia="MyriadPro-Bold" w:hAnsi="Times New Roman" w:cs="Times New Roman" w:hint="eastAsia"/>
          <w:b/>
          <w:sz w:val="16"/>
          <w:szCs w:val="16"/>
        </w:rPr>
        <w:t xml:space="preserve"> </w:t>
      </w:r>
      <w:r w:rsidRPr="00C64CD6">
        <w:rPr>
          <w:rFonts w:ascii="MyriadPro-Bold" w:eastAsia="MyriadPro-Bold" w:hAnsi="Times New Roman" w:cs="Times New Roman" w:hint="eastAsia"/>
          <w:b/>
          <w:sz w:val="16"/>
          <w:szCs w:val="16"/>
        </w:rPr>
        <w:t>S1.</w:t>
      </w:r>
      <w:r w:rsidR="00C64CD6" w:rsidRPr="00C64CD6">
        <w:rPr>
          <w:rFonts w:ascii="MyriadPro-Bold" w:eastAsia="MyriadPro-Bold" w:hAnsi="Times New Roman" w:cs="Times New Roman" w:hint="eastAsia"/>
          <w:b/>
          <w:sz w:val="16"/>
          <w:szCs w:val="16"/>
        </w:rPr>
        <w:t xml:space="preserve"> </w:t>
      </w:r>
      <w:proofErr w:type="gramStart"/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 xml:space="preserve">Western blot of OPN proteins in 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>CMs</w:t>
      </w:r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 xml:space="preserve"> from OPN-SIs 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>overexpressing cells.</w:t>
      </w:r>
      <w:proofErr w:type="gramEnd"/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 </w:t>
      </w:r>
      <w:proofErr w:type="gramStart"/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a</w:t>
      </w:r>
      <w:proofErr w:type="gramEnd"/>
      <w:r w:rsidR="00C64CD6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, </w:t>
      </w:r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b</w:t>
      </w:r>
      <w:r w:rsidR="00C64CD6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 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>Cell lysate of transfected HT115 (</w:t>
      </w:r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a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) or HCT-8 cells </w:t>
      </w:r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>(</w:t>
      </w:r>
      <w:r w:rsidR="00C64CD6" w:rsidRPr="00C64CD6">
        <w:rPr>
          <w:rFonts w:ascii="MyriadPro-Light" w:eastAsia="MyriadPro-Light" w:hAnsi="Times New Roman" w:cs="Times New Roman" w:hint="eastAsia"/>
          <w:b/>
          <w:sz w:val="16"/>
          <w:szCs w:val="16"/>
        </w:rPr>
        <w:t>b</w:t>
      </w:r>
      <w:r w:rsidR="00D211EB" w:rsidRPr="00C64CD6">
        <w:rPr>
          <w:rFonts w:ascii="MyriadPro-Light" w:eastAsia="MyriadPro-Light" w:hAnsi="Times New Roman" w:cs="Times New Roman" w:hint="eastAsia"/>
          <w:sz w:val="16"/>
          <w:szCs w:val="16"/>
        </w:rPr>
        <w:t>)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>.</w:t>
      </w:r>
      <w:r w:rsidR="00C64CD6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 </w:t>
      </w:r>
      <w:proofErr w:type="gramStart"/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c</w:t>
      </w:r>
      <w:proofErr w:type="gramEnd"/>
      <w:r w:rsidR="00C64CD6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, </w:t>
      </w:r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d</w:t>
      </w:r>
      <w:r w:rsidR="00C64CD6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 </w:t>
      </w:r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 xml:space="preserve">CMs collected from transfected HT115 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>(</w:t>
      </w:r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c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) or </w:t>
      </w:r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>HCT-8 cells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 xml:space="preserve"> (</w:t>
      </w:r>
      <w:r w:rsidR="00C64CD6" w:rsidRPr="00C64CD6">
        <w:rPr>
          <w:rFonts w:ascii="MyriadPro-Light" w:eastAsia="MyriadPro-Light" w:hAnsi="Times New Roman" w:cs="Times New Roman" w:hint="eastAsia"/>
          <w:b/>
          <w:color w:val="000000"/>
          <w:sz w:val="16"/>
          <w:szCs w:val="16"/>
        </w:rPr>
        <w:t>d</w:t>
      </w:r>
      <w:r w:rsidR="006F0907" w:rsidRPr="00C64CD6">
        <w:rPr>
          <w:rFonts w:ascii="MyriadPro-Light" w:eastAsia="MyriadPro-Light" w:hAnsi="Times New Roman" w:cs="Times New Roman" w:hint="eastAsia"/>
          <w:color w:val="000000"/>
          <w:sz w:val="16"/>
          <w:szCs w:val="16"/>
        </w:rPr>
        <w:t>)</w:t>
      </w:r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>.</w:t>
      </w:r>
    </w:p>
    <w:p w:rsidR="006F0907" w:rsidRPr="003F779A" w:rsidRDefault="006F0907" w:rsidP="006F0907">
      <w:pPr>
        <w:adjustRightInd/>
        <w:spacing w:after="0" w:line="360" w:lineRule="auto"/>
        <w:jc w:val="both"/>
        <w:rPr>
          <w:rFonts w:ascii="Times New Roman" w:eastAsia="宋体" w:hAnsi="Times New Roman" w:cs="Times New Roman"/>
          <w:b/>
          <w:sz w:val="21"/>
          <w:szCs w:val="21"/>
        </w:rPr>
      </w:pPr>
    </w:p>
    <w:p w:rsidR="006F0907" w:rsidRPr="00C64CD6" w:rsidRDefault="00061D1F" w:rsidP="006F0907">
      <w:pPr>
        <w:widowControl w:val="0"/>
        <w:autoSpaceDE w:val="0"/>
        <w:autoSpaceDN w:val="0"/>
        <w:snapToGrid/>
        <w:spacing w:after="0"/>
        <w:rPr>
          <w:rFonts w:ascii="MyriadPro-Light" w:eastAsia="MyriadPro-Light" w:hAnsi="Times New Roman" w:cs="Times New Roman" w:hint="eastAsia"/>
          <w:b/>
          <w:sz w:val="16"/>
          <w:szCs w:val="16"/>
        </w:rPr>
      </w:pPr>
      <w:r w:rsidRPr="00C64CD6">
        <w:rPr>
          <w:rFonts w:ascii="MyriadPro-Bold" w:eastAsia="MyriadPro-Bold" w:hAnsi="Times New Roman" w:cs="Times New Roman" w:hint="eastAsia"/>
          <w:b/>
          <w:kern w:val="2"/>
          <w:sz w:val="16"/>
          <w:szCs w:val="16"/>
        </w:rPr>
        <w:t>Figure</w:t>
      </w:r>
      <w:r w:rsidR="006F0907" w:rsidRPr="00C64CD6">
        <w:rPr>
          <w:rFonts w:ascii="MyriadPro-Bold" w:eastAsia="MyriadPro-Bold" w:hAnsi="Times New Roman" w:cs="Times New Roman" w:hint="eastAsia"/>
          <w:b/>
          <w:sz w:val="16"/>
          <w:szCs w:val="16"/>
        </w:rPr>
        <w:t xml:space="preserve"> </w:t>
      </w:r>
      <w:r w:rsidRPr="00C64CD6">
        <w:rPr>
          <w:rFonts w:ascii="MyriadPro-Bold" w:eastAsia="MyriadPro-Bold" w:hAnsi="Times New Roman" w:cs="Times New Roman" w:hint="eastAsia"/>
          <w:b/>
          <w:sz w:val="16"/>
          <w:szCs w:val="16"/>
        </w:rPr>
        <w:t>S</w:t>
      </w:r>
      <w:r w:rsidR="006F0907" w:rsidRPr="00C64CD6">
        <w:rPr>
          <w:rFonts w:ascii="MyriadPro-Bold" w:eastAsia="MyriadPro-Bold" w:hAnsi="Times New Roman" w:cs="Times New Roman" w:hint="eastAsia"/>
          <w:b/>
          <w:sz w:val="16"/>
          <w:szCs w:val="16"/>
        </w:rPr>
        <w:t>2.</w:t>
      </w:r>
      <w:r w:rsidR="006F0907" w:rsidRPr="003F779A">
        <w:rPr>
          <w:rFonts w:ascii="Times New Roman" w:eastAsia="宋体" w:hAnsi="Times New Roman" w:cs="Times New Roman"/>
          <w:b/>
          <w:sz w:val="21"/>
          <w:szCs w:val="21"/>
        </w:rPr>
        <w:t xml:space="preserve"> </w:t>
      </w:r>
      <w:proofErr w:type="spellStart"/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>ChIP-Seq</w:t>
      </w:r>
      <w:proofErr w:type="spellEnd"/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 xml:space="preserve"> dataset (GSE47678, 2013) from the GEO database revealed MeCP2 interaction sites in peaks at the</w:t>
      </w:r>
      <w:r w:rsidR="006F0907" w:rsidRPr="00C64CD6">
        <w:rPr>
          <w:rFonts w:ascii="MyriadPro-Light" w:eastAsia="MyriadPro-Light" w:hAnsi="Times New Roman" w:cs="Times New Roman" w:hint="eastAsia"/>
          <w:i/>
          <w:sz w:val="16"/>
          <w:szCs w:val="16"/>
        </w:rPr>
        <w:t xml:space="preserve"> </w:t>
      </w:r>
      <w:proofErr w:type="spellStart"/>
      <w:r w:rsidR="006F0907" w:rsidRPr="00C64CD6">
        <w:rPr>
          <w:rFonts w:ascii="MyriadPro-Light" w:eastAsia="MyriadPro-Light" w:hAnsi="Times New Roman" w:cs="Times New Roman" w:hint="eastAsia"/>
          <w:i/>
          <w:sz w:val="16"/>
          <w:szCs w:val="16"/>
        </w:rPr>
        <w:t>opn</w:t>
      </w:r>
      <w:proofErr w:type="spellEnd"/>
      <w:r w:rsidR="006F0907" w:rsidRPr="00C64CD6">
        <w:rPr>
          <w:rFonts w:ascii="MyriadPro-Light" w:eastAsia="MyriadPro-Light" w:hAnsi="Times New Roman" w:cs="Times New Roman" w:hint="eastAsia"/>
          <w:i/>
          <w:sz w:val="16"/>
          <w:szCs w:val="16"/>
        </w:rPr>
        <w:t xml:space="preserve"> </w:t>
      </w:r>
      <w:r w:rsidR="006F0907" w:rsidRPr="00C64CD6">
        <w:rPr>
          <w:rFonts w:ascii="MyriadPro-Light" w:eastAsia="MyriadPro-Light" w:hAnsi="Times New Roman" w:cs="Times New Roman" w:hint="eastAsia"/>
          <w:sz w:val="16"/>
          <w:szCs w:val="16"/>
        </w:rPr>
        <w:t xml:space="preserve">gene exons 4 and exon 5 regions in HCT116 colorectal cancer cells. </w:t>
      </w:r>
    </w:p>
    <w:p w:rsidR="00005218" w:rsidRPr="003F779A" w:rsidRDefault="00005218" w:rsidP="0087291D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1"/>
          <w:szCs w:val="21"/>
        </w:rPr>
      </w:pPr>
    </w:p>
    <w:p w:rsidR="00105E4B" w:rsidRPr="00C25448" w:rsidRDefault="00C64CD6" w:rsidP="009E18E2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25448">
        <w:rPr>
          <w:rFonts w:ascii="MyriadPro-Semibold" w:eastAsia="MyriadPro-Semibold" w:hAnsiTheme="minorHAnsi" w:cs="MyriadPro-Semibold"/>
          <w:b/>
          <w:sz w:val="15"/>
          <w:szCs w:val="15"/>
        </w:rPr>
        <w:t>References</w:t>
      </w:r>
    </w:p>
    <w:p w:rsidR="00C25448" w:rsidRPr="00C25448" w:rsidRDefault="00463E67" w:rsidP="00C25448">
      <w:pPr>
        <w:widowControl w:val="0"/>
        <w:autoSpaceDE w:val="0"/>
        <w:autoSpaceDN w:val="0"/>
        <w:snapToGrid/>
        <w:spacing w:after="0"/>
        <w:ind w:left="283" w:hangingChars="189" w:hanging="283"/>
        <w:rPr>
          <w:rFonts w:ascii="Times New Roman" w:eastAsiaTheme="minorEastAsia" w:hAnsi="Times New Roman" w:cs="Times New Roman" w:hint="eastAsia"/>
          <w:sz w:val="24"/>
          <w:szCs w:val="24"/>
        </w:rPr>
      </w:pPr>
      <w:r w:rsidRPr="00C64CD6">
        <w:rPr>
          <w:rFonts w:ascii="MyriadPro-Light" w:eastAsia="MyriadPro-Light" w:hAnsi="Times New Roman" w:cs="Times New Roman" w:hint="eastAsia"/>
          <w:noProof/>
          <w:sz w:val="15"/>
          <w:szCs w:val="15"/>
        </w:rPr>
        <w:fldChar w:fldCharType="begin"/>
      </w:r>
      <w:r w:rsidR="00105E4B" w:rsidRPr="00C64CD6">
        <w:rPr>
          <w:rFonts w:ascii="MyriadPro-Light" w:eastAsia="MyriadPro-Light" w:hAnsi="Times New Roman" w:cs="Times New Roman" w:hint="eastAsia"/>
          <w:sz w:val="15"/>
          <w:szCs w:val="15"/>
        </w:rPr>
        <w:instrText xml:space="preserve"> ADDIN EN.REFLIST </w:instrText>
      </w:r>
      <w:r w:rsidRPr="00C64CD6">
        <w:rPr>
          <w:rFonts w:ascii="MyriadPro-Light" w:eastAsia="MyriadPro-Light" w:hAnsi="Times New Roman" w:cs="Times New Roman" w:hint="eastAsia"/>
          <w:noProof/>
          <w:sz w:val="15"/>
          <w:szCs w:val="15"/>
        </w:rPr>
        <w:fldChar w:fldCharType="end"/>
      </w:r>
      <w:r w:rsidRPr="00C64CD6">
        <w:rPr>
          <w:rFonts w:ascii="MyriadPro-Light" w:eastAsia="MyriadPro-Light" w:hAnsi="Times New Roman" w:cs="Times New Roman" w:hint="eastAsia"/>
          <w:sz w:val="15"/>
          <w:szCs w:val="15"/>
        </w:rPr>
        <w:fldChar w:fldCharType="begin"/>
      </w:r>
      <w:r w:rsidR="005F08EE" w:rsidRPr="00C64CD6">
        <w:rPr>
          <w:rFonts w:ascii="MyriadPro-Light" w:eastAsia="MyriadPro-Light" w:hAnsi="Times New Roman" w:cs="Times New Roman" w:hint="eastAsia"/>
          <w:sz w:val="15"/>
          <w:szCs w:val="15"/>
        </w:rPr>
        <w:instrText xml:space="preserve"> ADDIN NE.Bib</w:instrText>
      </w:r>
      <w:r w:rsidRPr="00C64CD6">
        <w:rPr>
          <w:rFonts w:ascii="MyriadPro-Light" w:eastAsia="MyriadPro-Light" w:hAnsi="Times New Roman" w:cs="Times New Roman" w:hint="eastAsia"/>
          <w:sz w:val="15"/>
          <w:szCs w:val="15"/>
        </w:rPr>
        <w:fldChar w:fldCharType="separate"/>
      </w:r>
      <w:r w:rsidR="00C25448" w:rsidRPr="00C25448">
        <w:rPr>
          <w:rFonts w:ascii="MyriadPro-Light" w:eastAsia="MyriadPro-Light" w:hAnsi="Times New Roman" w:cs="Times New Roman" w:hint="eastAsia"/>
          <w:color w:val="000000"/>
          <w:sz w:val="15"/>
          <w:szCs w:val="15"/>
        </w:rPr>
        <w:t>1.</w:t>
      </w:r>
      <w:r w:rsidR="00C25448" w:rsidRPr="00C25448">
        <w:rPr>
          <w:rFonts w:ascii="MyriadPro-Light" w:eastAsia="MyriadPro-Light" w:hAnsi="Times New Roman" w:cs="Times New Roman" w:hint="eastAsia"/>
          <w:color w:val="000000"/>
          <w:sz w:val="15"/>
          <w:szCs w:val="15"/>
        </w:rPr>
        <w:tab/>
      </w:r>
      <w:bookmarkStart w:id="0" w:name="_nebCE1D71AC_4E04_4D24_AF64_2E04F9209712"/>
      <w:proofErr w:type="spellStart"/>
      <w:r w:rsidR="00C25448" w:rsidRPr="00C25448">
        <w:rPr>
          <w:rFonts w:ascii="MyriadPro-Light" w:eastAsia="MyriadPro-Light" w:hAnsi="Times New Roman" w:cs="Times New Roman" w:hint="eastAsia"/>
          <w:color w:val="000000"/>
          <w:sz w:val="15"/>
          <w:szCs w:val="15"/>
        </w:rPr>
        <w:t>Hao</w:t>
      </w:r>
      <w:proofErr w:type="spellEnd"/>
      <w:r w:rsidR="00C25448" w:rsidRPr="00C25448">
        <w:rPr>
          <w:rFonts w:ascii="MyriadPro-Light" w:eastAsia="MyriadPro-Light" w:hAnsi="Times New Roman" w:cs="Times New Roman" w:hint="eastAsia"/>
          <w:color w:val="000000"/>
          <w:sz w:val="15"/>
          <w:szCs w:val="15"/>
        </w:rPr>
        <w:t xml:space="preserve"> C, Cui Y, Hu MU et al.</w:t>
      </w:r>
      <w:r w:rsidR="00C25448" w:rsidRPr="00C25448">
        <w:rPr>
          <w:rFonts w:ascii="MyriadPro-Light" w:eastAsia="MyriadPro-Light" w:hAnsi="Times New Roman" w:cs="Times New Roman" w:hint="eastAsia"/>
          <w:i/>
          <w:iCs/>
          <w:color w:val="000000"/>
          <w:sz w:val="15"/>
          <w:szCs w:val="15"/>
        </w:rPr>
        <w:t xml:space="preserve"> </w:t>
      </w:r>
      <w:r w:rsidR="00C25448" w:rsidRPr="00C25448">
        <w:rPr>
          <w:rFonts w:ascii="MyriadPro-Light" w:eastAsia="MyriadPro-Light" w:hAnsi="Times New Roman" w:cs="Times New Roman" w:hint="eastAsia"/>
          <w:color w:val="000000"/>
          <w:sz w:val="15"/>
          <w:szCs w:val="15"/>
        </w:rPr>
        <w:t>OPN-a splicing variant expression in non-small cell lung cancer and its effects on the bone metastatic abilities of lung cancer cells in vitro. Anticancer Res. 2017; 37(5)</w:t>
      </w:r>
      <w:r w:rsidR="00C25448" w:rsidRPr="00C25448">
        <w:rPr>
          <w:rFonts w:ascii="MyriadPro-Light" w:eastAsia="MyriadPro-Light" w:hAnsi="Times New Roman" w:cs="Times New Roman" w:hint="eastAsia"/>
          <w:b/>
          <w:bCs/>
          <w:color w:val="000000"/>
          <w:sz w:val="15"/>
          <w:szCs w:val="15"/>
        </w:rPr>
        <w:t>:</w:t>
      </w:r>
      <w:r w:rsidR="00C25448" w:rsidRPr="00C25448">
        <w:rPr>
          <w:rFonts w:ascii="MyriadPro-Light" w:eastAsia="MyriadPro-Light" w:hAnsi="Times New Roman" w:cs="Times New Roman" w:hint="eastAsia"/>
          <w:color w:val="000000"/>
          <w:sz w:val="15"/>
          <w:szCs w:val="15"/>
        </w:rPr>
        <w:t xml:space="preserve"> 2245-54.</w:t>
      </w:r>
      <w:bookmarkEnd w:id="0"/>
    </w:p>
    <w:p w:rsidR="008C3CD2" w:rsidRPr="00C64CD6" w:rsidRDefault="00463E67" w:rsidP="00C25448">
      <w:pPr>
        <w:widowControl w:val="0"/>
        <w:autoSpaceDE w:val="0"/>
        <w:autoSpaceDN w:val="0"/>
        <w:snapToGrid/>
        <w:spacing w:after="0"/>
        <w:rPr>
          <w:rFonts w:ascii="MyriadPro-Semibold" w:eastAsia="MyriadPro-Semibold" w:hAnsiTheme="minorHAnsi" w:cs="MyriadPro-Semibold"/>
          <w:sz w:val="15"/>
          <w:szCs w:val="15"/>
        </w:rPr>
      </w:pPr>
      <w:r w:rsidRPr="00C64CD6">
        <w:rPr>
          <w:rFonts w:ascii="MyriadPro-Light" w:eastAsia="MyriadPro-Light" w:hAnsi="Times New Roman" w:cs="Times New Roman" w:hint="eastAsia"/>
          <w:sz w:val="15"/>
          <w:szCs w:val="15"/>
        </w:rPr>
        <w:fldChar w:fldCharType="end"/>
      </w:r>
      <w:r w:rsidR="00C25448" w:rsidRPr="00C64CD6">
        <w:rPr>
          <w:rFonts w:ascii="MyriadPro-Semibold" w:eastAsia="MyriadPro-Semibold" w:hAnsiTheme="minorHAnsi" w:cs="MyriadPro-Semibold"/>
          <w:sz w:val="15"/>
          <w:szCs w:val="15"/>
        </w:rPr>
        <w:t xml:space="preserve"> </w:t>
      </w:r>
      <w:bookmarkStart w:id="1" w:name="_GoBack"/>
      <w:bookmarkEnd w:id="1"/>
    </w:p>
    <w:sectPr w:rsidR="008C3CD2" w:rsidRPr="00C64CD6" w:rsidSect="00D61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89F" w:rsidRDefault="00D9289F" w:rsidP="009E2647">
      <w:pPr>
        <w:spacing w:after="0"/>
      </w:pPr>
      <w:r>
        <w:separator/>
      </w:r>
    </w:p>
  </w:endnote>
  <w:endnote w:type="continuationSeparator" w:id="0">
    <w:p w:rsidR="00D9289F" w:rsidRDefault="00D9289F" w:rsidP="009E264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yriadPro-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Warnock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yriadPro-Light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89F" w:rsidRDefault="00D9289F" w:rsidP="009E2647">
      <w:pPr>
        <w:spacing w:after="0"/>
      </w:pPr>
      <w:r>
        <w:separator/>
      </w:r>
    </w:p>
  </w:footnote>
  <w:footnote w:type="continuationSeparator" w:id="0">
    <w:p w:rsidR="00D9289F" w:rsidRDefault="00D9289F" w:rsidP="009E2647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Numbered&lt;/Style&gt;&lt;LeftDelim&gt;{&lt;/LeftDelim&gt;&lt;RightDelim&gt;}&lt;/RightDelim&gt;&lt;FontName&gt;Tahom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awaza9wusf5x9eparx59xetvxw0frprrt00&quot;&gt;MeCP2&lt;record-ids&gt;&lt;item&gt;1&lt;/item&gt;&lt;/record-ids&gt;&lt;/item&gt;&lt;/Libraries&gt;"/>
    <w:docVar w:name="NE.Ref{6747D653-A85E-4F99-91F4-BE171B51EE14}" w:val=" ADDIN NE.Ref.{6747D653-A85E-4F99-91F4-BE171B51EE14}&lt;Citation&gt;&lt;Group&gt;&lt;References&gt;&lt;Item&gt;&lt;ID&gt;9&lt;/ID&gt;&lt;UID&gt;{CE1D71AC-4E04-4D24-AF64-2E04F9209712}&lt;/UID&gt;&lt;Title&gt;OPN-a Splicing Variant Expression in Non-small Cell Lung Cancer and its Effects on the Bone Metastatic Abilities of Lung Cancer Cells In Vitro&lt;/Title&gt;&lt;Template&gt;Journal Article&lt;/Template&gt;&lt;Star&gt;0&lt;/Star&gt;&lt;Tag&gt;0&lt;/Tag&gt;&lt;Author&gt;Hao, C; Cui, Y; Hu, M U; Zhi, X; Zhang, L; Li, W; Wu, W; Cheng, S; Jiang, W G&lt;/Author&gt;&lt;Year&gt;2017&lt;/Year&gt;&lt;Details&gt;&lt;_accession_num&gt;28476789&lt;/_accession_num&gt;&lt;_author_adr&gt;Department of Biochemistry and Molecular Biology, School of Basic Medical Sciences, Capital Medical University, Beijing, P.R. China.; Beijing Key Laboratory of Cancer &amp;amp;amp; Metastasis Research, Capital Medical University, Beijing, P.R. China.; Cardiff China Medical Research Collaborative, Cardiff University School of Medicine, Cardiff, U.K.; Beijing Key Laboratory of Cancer &amp;amp;amp; Metastasis Research, Capital Medical University, Beijing, P.R. China.; Department of Thoracic Surgery, Beijing Xuanwu Hospital, Capital Medical University, Beijing, P.R. China.; Beijing Key Laboratory of Cancer &amp;amp;amp; Metastasis Research, Capital Medical University, Beijing, P.R. China.; Department of Thoracic Surgery, Beijing Xuanwu Hospital, Capital Medical University, Beijing, P.R. China.; Department of Thoracic Surgery, Key Laboratory for Carcinogenesis and Translational Research Ministry of Education, Peking University Hospital, Haidian District, Beijing, P.R. China.; Department of Oncology, Beijing Shijitan Hospital, Capital Medical University, Beijing, P.R. China.; Department of Biochemistry and Molecular Biology, School of Basic Medical Sciences, Capital Medical University, Beijing, P.R. China.; Beijing Key Laboratory of Cancer &amp;amp;amp; Metastasis Research, Capital Medical University, Beijing, P.R. China.; Department of Biochemistry and Molecular Biology, School of Basic Medical Sciences, Capital Medical University, Beijing, P.R. China jiangw@cf.ac.uk chengs@ccmu.edu.cn.; Beijing Key Laboratory of Cancer &amp;amp;amp; Metastasis Research, Capital Medical University, Beijing, P.R. China.; Department of Biochemistry and Molecular Biology, School of Basic Medical Sciences, Capital Medical University, Beijing, P.R. China jiangw@cf.ac.uk chengs@ccmu.edu.cn.; Beijing Key Laboratory of Cancer &amp;amp;amp; Metastasis Research, Capital Medical University, Beijing, P.R. China.; Cardiff China Medical Research Collaborative, Cardiff University School of Medicine, Cardiff, U.K.&lt;/_author_adr&gt;&lt;_collection_scope&gt;SCI;SCIE&lt;/_collection_scope&gt;&lt;_created&gt;63126260&lt;/_created&gt;&lt;_date&gt;2017-05-01&lt;/_date&gt;&lt;_date_display&gt;2017 May&lt;/_date_display&gt;&lt;_db_updated&gt;PubMed&lt;/_db_updated&gt;&lt;_doi&gt;10.21873/anticanres.11561&lt;/_doi&gt;&lt;_impact_factor&gt;   1.935&lt;/_impact_factor&gt;&lt;_isbn&gt;1791-7530 (Electronic); 0250-7005 (Linking)&lt;/_isbn&gt;&lt;_issue&gt;5&lt;/_issue&gt;&lt;_journal&gt;Anticancer Res&lt;/_journal&gt;&lt;_keywords&gt;A549 Cells; Alternative Splicing; Animals; Carcinoma, Non-Small-Cell Lung/*metabolism/pathology; Cell Adhesion; Cell Movement; Cell Proliferation; Femur/*metabolism; Humans; Lung Neoplasms/*metabolism/pathology; Neoplasm Metastasis; Osteopontin/genetics/*metabolism; Swine; Swine, Miniature*Osteopontin; *bone metastasis; *lung cancer; *splicing variant&lt;/_keywords&gt;&lt;_language&gt;eng&lt;/_language&gt;&lt;_modified&gt;63126260&lt;/_modified&gt;&lt;_ori_publication&gt;Copyright(c) 2017, International Institute of Anticancer Research (Dr. George J. _x000a_      Delinasios), All rights reserved.&lt;/_ori_publication&gt;&lt;_pages&gt;2245-2254&lt;/_pages&gt;&lt;_tertiary_title&gt;Anticancer research&lt;/_tertiary_title&gt;&lt;_type_work&gt;Journal Article&lt;/_type_work&gt;&lt;_url&gt;http://www.ncbi.nlm.nih.gov/entrez/query.fcgi?cmd=Retrieve&amp;amp;db=pubmed&amp;amp;dopt=Abstract&amp;amp;list_uids=28476789&amp;amp;query_hl=1&lt;/_url&gt;&lt;_volume&gt;37&lt;/_volume&gt;&lt;/Details&gt;&lt;Extra&gt;&lt;DBUID&gt;{F66A89D3-700B-4030-B61C-0623BC9572C0}&lt;/DBUID&gt;&lt;/Extra&gt;&lt;/Item&gt;&lt;/References&gt;&lt;/Group&gt;&lt;/Citation&gt;_x000a_"/>
    <w:docVar w:name="ne_docsoft" w:val="MSWord"/>
    <w:docVar w:name="ne_docversion" w:val="NoteExpress 2.0"/>
    <w:docVar w:name="ne_stylename" w:val="cancer science-1"/>
  </w:docVars>
  <w:rsids>
    <w:rsidRoot w:val="0086160C"/>
    <w:rsid w:val="00005218"/>
    <w:rsid w:val="00026A26"/>
    <w:rsid w:val="000455EE"/>
    <w:rsid w:val="000465CB"/>
    <w:rsid w:val="00061D1F"/>
    <w:rsid w:val="000858A3"/>
    <w:rsid w:val="00100796"/>
    <w:rsid w:val="00105077"/>
    <w:rsid w:val="00105E4B"/>
    <w:rsid w:val="003228C0"/>
    <w:rsid w:val="003F779A"/>
    <w:rsid w:val="004253B6"/>
    <w:rsid w:val="00463E67"/>
    <w:rsid w:val="004C35D6"/>
    <w:rsid w:val="004F31E9"/>
    <w:rsid w:val="005360FD"/>
    <w:rsid w:val="005A5231"/>
    <w:rsid w:val="005F08EE"/>
    <w:rsid w:val="00612FE9"/>
    <w:rsid w:val="00685C78"/>
    <w:rsid w:val="00693986"/>
    <w:rsid w:val="006F0907"/>
    <w:rsid w:val="008257A1"/>
    <w:rsid w:val="008528F9"/>
    <w:rsid w:val="0086160C"/>
    <w:rsid w:val="0087291D"/>
    <w:rsid w:val="00880206"/>
    <w:rsid w:val="008B2350"/>
    <w:rsid w:val="008C3CD2"/>
    <w:rsid w:val="009B09D6"/>
    <w:rsid w:val="009B0D8D"/>
    <w:rsid w:val="009E18E2"/>
    <w:rsid w:val="009E2647"/>
    <w:rsid w:val="00A27054"/>
    <w:rsid w:val="00AD05EF"/>
    <w:rsid w:val="00AD5D9B"/>
    <w:rsid w:val="00B66A58"/>
    <w:rsid w:val="00BB4D9C"/>
    <w:rsid w:val="00C179B9"/>
    <w:rsid w:val="00C23EF2"/>
    <w:rsid w:val="00C25448"/>
    <w:rsid w:val="00C272A6"/>
    <w:rsid w:val="00C64CD6"/>
    <w:rsid w:val="00CB32C1"/>
    <w:rsid w:val="00D00009"/>
    <w:rsid w:val="00D20530"/>
    <w:rsid w:val="00D211EB"/>
    <w:rsid w:val="00D61E60"/>
    <w:rsid w:val="00D9289F"/>
    <w:rsid w:val="00D957E3"/>
    <w:rsid w:val="00DD14E4"/>
    <w:rsid w:val="00E155B6"/>
    <w:rsid w:val="00F4442F"/>
    <w:rsid w:val="00F47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647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64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26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64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2647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9E2647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Times New Roman" w:hAnsi="Times New Roman"/>
      <w:kern w:val="2"/>
      <w:sz w:val="21"/>
    </w:rPr>
  </w:style>
  <w:style w:type="paragraph" w:customStyle="1" w:styleId="EndNoteBibliographyTitle">
    <w:name w:val="EndNote Bibliography Title"/>
    <w:basedOn w:val="a"/>
    <w:link w:val="EndNoteBibliographyTitleChar"/>
    <w:rsid w:val="00F474A5"/>
    <w:pPr>
      <w:spacing w:after="0"/>
      <w:jc w:val="center"/>
    </w:pPr>
    <w:rPr>
      <w:rFonts w:cs="Tahoma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474A5"/>
    <w:rPr>
      <w:rFonts w:ascii="Tahoma" w:eastAsia="微软雅黑" w:hAnsi="Tahoma" w:cs="Tahoma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Char"/>
    <w:rsid w:val="00F474A5"/>
    <w:pPr>
      <w:jc w:val="both"/>
    </w:pPr>
    <w:rPr>
      <w:rFonts w:cs="Tahoma"/>
      <w:noProof/>
    </w:rPr>
  </w:style>
  <w:style w:type="character" w:customStyle="1" w:styleId="EndNoteBibliographyChar">
    <w:name w:val="EndNote Bibliography Char"/>
    <w:basedOn w:val="a0"/>
    <w:link w:val="EndNoteBibliography"/>
    <w:rsid w:val="00F474A5"/>
    <w:rPr>
      <w:rFonts w:ascii="Tahoma" w:eastAsia="微软雅黑" w:hAnsi="Tahoma" w:cs="Tahoma"/>
      <w:noProof/>
      <w:kern w:val="0"/>
      <w:sz w:val="22"/>
    </w:rPr>
  </w:style>
  <w:style w:type="character" w:styleId="a5">
    <w:name w:val="Hyperlink"/>
    <w:basedOn w:val="a0"/>
    <w:uiPriority w:val="99"/>
    <w:unhideWhenUsed/>
    <w:rsid w:val="00F474A5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0079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0796"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647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64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26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64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2647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9E2647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Times New Roman" w:hAnsi="Times New Roman"/>
      <w:kern w:val="2"/>
      <w:sz w:val="21"/>
    </w:rPr>
  </w:style>
  <w:style w:type="paragraph" w:customStyle="1" w:styleId="EndNoteBibliographyTitle">
    <w:name w:val="EndNote Bibliography Title"/>
    <w:basedOn w:val="a"/>
    <w:link w:val="EndNoteBibliographyTitleChar"/>
    <w:rsid w:val="00F474A5"/>
    <w:pPr>
      <w:spacing w:after="0"/>
      <w:jc w:val="center"/>
    </w:pPr>
    <w:rPr>
      <w:rFonts w:cs="Tahoma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474A5"/>
    <w:rPr>
      <w:rFonts w:ascii="Tahoma" w:eastAsia="微软雅黑" w:hAnsi="Tahoma" w:cs="Tahoma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Char"/>
    <w:rsid w:val="00F474A5"/>
    <w:pPr>
      <w:jc w:val="both"/>
    </w:pPr>
    <w:rPr>
      <w:rFonts w:cs="Tahoma"/>
      <w:noProof/>
    </w:rPr>
  </w:style>
  <w:style w:type="character" w:customStyle="1" w:styleId="EndNoteBibliographyChar">
    <w:name w:val="EndNote Bibliography Char"/>
    <w:basedOn w:val="a0"/>
    <w:link w:val="EndNoteBibliography"/>
    <w:rsid w:val="00F474A5"/>
    <w:rPr>
      <w:rFonts w:ascii="Tahoma" w:eastAsia="微软雅黑" w:hAnsi="Tahoma" w:cs="Tahoma"/>
      <w:noProof/>
      <w:kern w:val="0"/>
      <w:sz w:val="22"/>
    </w:rPr>
  </w:style>
  <w:style w:type="character" w:styleId="a5">
    <w:name w:val="Hyperlink"/>
    <w:basedOn w:val="a0"/>
    <w:uiPriority w:val="99"/>
    <w:unhideWhenUsed/>
    <w:rsid w:val="00F474A5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0079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0796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9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technical-support team</dc:creator>
  <dc:description>NE.Rep</dc:description>
  <cp:lastModifiedBy>Windows 用户</cp:lastModifiedBy>
  <cp:revision>6</cp:revision>
  <dcterms:created xsi:type="dcterms:W3CDTF">2020-02-20T08:25:00Z</dcterms:created>
  <dcterms:modified xsi:type="dcterms:W3CDTF">2020-02-28T09:56:00Z</dcterms:modified>
</cp:coreProperties>
</file>