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3BD" w:rsidRDefault="005D53BD" w:rsidP="005D53BD">
      <w:pPr>
        <w:widowControl w:val="0"/>
        <w:autoSpaceDE w:val="0"/>
        <w:autoSpaceDN w:val="0"/>
        <w:adjustRightInd w:val="0"/>
        <w:spacing w:line="480" w:lineRule="auto"/>
        <w:jc w:val="both"/>
        <w:rPr>
          <w:color w:val="000000" w:themeColor="text1"/>
          <w:sz w:val="20"/>
          <w:szCs w:val="20"/>
          <w:lang w:val="en-US"/>
        </w:rPr>
      </w:pPr>
    </w:p>
    <w:p w:rsidR="005D53BD" w:rsidRDefault="005D53BD" w:rsidP="005D53BD">
      <w:pPr>
        <w:spacing w:line="480" w:lineRule="auto"/>
        <w:jc w:val="both"/>
        <w:rPr>
          <w:color w:val="000000" w:themeColor="text1"/>
          <w:sz w:val="20"/>
          <w:szCs w:val="20"/>
          <w:lang w:val="en-US"/>
        </w:rPr>
      </w:pPr>
      <w:r w:rsidRPr="00B345A8">
        <w:rPr>
          <w:color w:val="000000" w:themeColor="text1"/>
          <w:sz w:val="20"/>
          <w:szCs w:val="20"/>
          <w:lang w:val="en-US"/>
        </w:rPr>
        <w:t xml:space="preserve">Table 1. Demographic and clinical data of children with Kawasaki disease below the age of 12 months </w:t>
      </w:r>
    </w:p>
    <w:p w:rsidR="005D53BD" w:rsidRPr="007139E9" w:rsidRDefault="005D53BD" w:rsidP="005D53BD">
      <w:pPr>
        <w:spacing w:line="480" w:lineRule="auto"/>
        <w:jc w:val="both"/>
        <w:rPr>
          <w:color w:val="000000" w:themeColor="text1"/>
          <w:sz w:val="20"/>
          <w:szCs w:val="20"/>
          <w:lang w:val="en-US"/>
        </w:rPr>
      </w:pPr>
    </w:p>
    <w:tbl>
      <w:tblPr>
        <w:tblStyle w:val="Grigliatab31"/>
        <w:tblW w:w="0" w:type="auto"/>
        <w:tblLook w:val="04A0" w:firstRow="1" w:lastRow="0" w:firstColumn="1" w:lastColumn="0" w:noHBand="0" w:noVBand="1"/>
      </w:tblPr>
      <w:tblGrid>
        <w:gridCol w:w="2993"/>
        <w:gridCol w:w="2412"/>
        <w:gridCol w:w="1974"/>
        <w:gridCol w:w="1981"/>
      </w:tblGrid>
      <w:tr w:rsidR="005D53BD" w:rsidRPr="00B345A8" w:rsidTr="00A75C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b w:val="0"/>
                <w:color w:val="000000" w:themeColor="text1"/>
                <w:sz w:val="20"/>
                <w:szCs w:val="20"/>
                <w:lang w:val="en-US"/>
              </w:rPr>
              <w:t>Clinical features</w:t>
            </w:r>
          </w:p>
        </w:tc>
        <w:tc>
          <w:tcPr>
            <w:tcW w:w="250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b w:val="0"/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b w:val="0"/>
                <w:color w:val="000000" w:themeColor="text1"/>
                <w:sz w:val="20"/>
                <w:szCs w:val="20"/>
                <w:lang w:val="en-US"/>
              </w:rPr>
              <w:t>Complete</w:t>
            </w:r>
            <w:r>
              <w:rPr>
                <w:b w:val="0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7139E9">
              <w:rPr>
                <w:b w:val="0"/>
                <w:color w:val="000000" w:themeColor="text1"/>
                <w:sz w:val="20"/>
                <w:szCs w:val="20"/>
                <w:lang w:val="en-US"/>
              </w:rPr>
              <w:t>KD (n=10)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b w:val="0"/>
                <w:color w:val="000000" w:themeColor="text1"/>
                <w:sz w:val="20"/>
                <w:szCs w:val="20"/>
                <w:lang w:val="en-US"/>
              </w:rPr>
              <w:t>Incomplete</w:t>
            </w:r>
            <w:r>
              <w:rPr>
                <w:b w:val="0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7139E9">
              <w:rPr>
                <w:b w:val="0"/>
                <w:color w:val="000000" w:themeColor="text1"/>
                <w:sz w:val="20"/>
                <w:szCs w:val="20"/>
                <w:lang w:val="en-US"/>
              </w:rPr>
              <w:t>KD (n=22)</w:t>
            </w:r>
          </w:p>
        </w:tc>
      </w:tr>
      <w:tr w:rsidR="005D53BD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Mean age at onset</w:t>
            </w:r>
          </w:p>
        </w:tc>
        <w:tc>
          <w:tcPr>
            <w:tcW w:w="250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5.7 ± 2.8 months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7.4 ± 2.2 months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5.0 ± 2.8 months</w:t>
            </w:r>
          </w:p>
        </w:tc>
      </w:tr>
      <w:tr w:rsidR="005D53BD" w:rsidRPr="00B345A8" w:rsidTr="00A75C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Male: female ratio</w:t>
            </w:r>
          </w:p>
        </w:tc>
        <w:tc>
          <w:tcPr>
            <w:tcW w:w="250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20:12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4:6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16:6</w:t>
            </w:r>
          </w:p>
        </w:tc>
      </w:tr>
      <w:tr w:rsidR="005D53BD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Mean time for diagnosis</w:t>
            </w:r>
          </w:p>
        </w:tc>
        <w:tc>
          <w:tcPr>
            <w:tcW w:w="250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7 ± 3 days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6 ± 1 days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 xml:space="preserve">8 ±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4</w:t>
            </w: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 xml:space="preserve"> days</w:t>
            </w:r>
          </w:p>
        </w:tc>
      </w:tr>
      <w:tr w:rsidR="005D53BD" w:rsidRPr="00B345A8" w:rsidTr="00A75C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Fever &gt; 5 days</w:t>
            </w:r>
          </w:p>
        </w:tc>
        <w:tc>
          <w:tcPr>
            <w:tcW w:w="250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32/32 (100%)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 xml:space="preserve">10/10 </w:t>
            </w: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(100%)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 xml:space="preserve">22/22 </w:t>
            </w: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(100%)</w:t>
            </w:r>
          </w:p>
        </w:tc>
      </w:tr>
      <w:tr w:rsidR="005D53BD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Conjunctival injection </w:t>
            </w:r>
          </w:p>
        </w:tc>
        <w:tc>
          <w:tcPr>
            <w:tcW w:w="2500" w:type="dxa"/>
          </w:tcPr>
          <w:p w:rsidR="005D53BD" w:rsidRPr="00A003D4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003D4">
              <w:rPr>
                <w:color w:val="000000" w:themeColor="text1"/>
                <w:sz w:val="20"/>
                <w:szCs w:val="20"/>
                <w:lang w:val="en-US"/>
              </w:rPr>
              <w:t>26/32 (81.2%)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10/10 (100%)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16/22 (72.7%)</w:t>
            </w:r>
          </w:p>
        </w:tc>
      </w:tr>
      <w:tr w:rsidR="005D53BD" w:rsidRPr="00B345A8" w:rsidTr="00A75C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Rash </w:t>
            </w:r>
          </w:p>
        </w:tc>
        <w:tc>
          <w:tcPr>
            <w:tcW w:w="2500" w:type="dxa"/>
          </w:tcPr>
          <w:p w:rsidR="005D53BD" w:rsidRPr="00A003D4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003D4">
              <w:rPr>
                <w:color w:val="000000" w:themeColor="text1"/>
                <w:sz w:val="20"/>
                <w:szCs w:val="20"/>
                <w:lang w:val="en-US"/>
              </w:rPr>
              <w:t xml:space="preserve">25/32 (78.1 %) 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10/10 (100%)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15/22 (68.2%)</w:t>
            </w:r>
          </w:p>
        </w:tc>
      </w:tr>
      <w:tr w:rsidR="005D53BD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Extremity changes</w:t>
            </w:r>
          </w:p>
        </w:tc>
        <w:tc>
          <w:tcPr>
            <w:tcW w:w="2500" w:type="dxa"/>
          </w:tcPr>
          <w:p w:rsidR="005D53BD" w:rsidRPr="00A003D4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18/32 (56.2 %)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10/10 (100%)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8/22 (36.4%)</w:t>
            </w:r>
          </w:p>
        </w:tc>
      </w:tr>
      <w:tr w:rsidR="005D53BD" w:rsidRPr="00B345A8" w:rsidTr="00A75C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Mucosal changes</w:t>
            </w:r>
          </w:p>
        </w:tc>
        <w:tc>
          <w:tcPr>
            <w:tcW w:w="2500" w:type="dxa"/>
          </w:tcPr>
          <w:p w:rsidR="005D53BD" w:rsidRPr="00A003D4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6C3D52">
              <w:rPr>
                <w:b/>
                <w:color w:val="000000" w:themeColor="text1"/>
                <w:sz w:val="20"/>
                <w:szCs w:val="20"/>
                <w:lang w:val="en-US"/>
              </w:rPr>
              <w:t>13/32 (40.6%)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9/10 (90%)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4/22 (18.2%)</w:t>
            </w:r>
          </w:p>
        </w:tc>
      </w:tr>
      <w:tr w:rsidR="005D53BD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Cervical lymphadenopathy</w:t>
            </w:r>
          </w:p>
        </w:tc>
        <w:tc>
          <w:tcPr>
            <w:tcW w:w="250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7/32 (21.9 %)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2/10 (20%)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5/22 (22.7%)</w:t>
            </w:r>
          </w:p>
        </w:tc>
      </w:tr>
      <w:tr w:rsidR="005D53BD" w:rsidRPr="00B345A8" w:rsidTr="00A75C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Cardiac involvement</w:t>
            </w:r>
          </w:p>
        </w:tc>
        <w:tc>
          <w:tcPr>
            <w:tcW w:w="250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19/32 (59.4%)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6/10 (60%)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13/22 (59%)</w:t>
            </w:r>
          </w:p>
        </w:tc>
      </w:tr>
      <w:tr w:rsidR="005D53BD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Coronary abnormalities</w:t>
            </w:r>
          </w:p>
        </w:tc>
        <w:tc>
          <w:tcPr>
            <w:tcW w:w="2500" w:type="dxa"/>
          </w:tcPr>
          <w:p w:rsidR="005D53BD" w:rsidRPr="00B345A8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16/32 (50%)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4/10 (40%)</w:t>
            </w:r>
          </w:p>
        </w:tc>
        <w:tc>
          <w:tcPr>
            <w:tcW w:w="2031" w:type="dxa"/>
          </w:tcPr>
          <w:p w:rsidR="005D53BD" w:rsidRPr="007139E9" w:rsidRDefault="005D53BD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7139E9">
              <w:rPr>
                <w:color w:val="000000" w:themeColor="text1"/>
                <w:sz w:val="20"/>
                <w:szCs w:val="20"/>
                <w:lang w:val="en-US"/>
              </w:rPr>
              <w:t>12/22 (54.5%)</w:t>
            </w:r>
          </w:p>
        </w:tc>
      </w:tr>
    </w:tbl>
    <w:p w:rsidR="005D53BD" w:rsidRPr="00DF0E68" w:rsidRDefault="005D53BD" w:rsidP="005D53BD">
      <w:pPr>
        <w:spacing w:line="480" w:lineRule="auto"/>
        <w:jc w:val="both"/>
        <w:rPr>
          <w:color w:val="000000" w:themeColor="text1"/>
          <w:sz w:val="20"/>
          <w:szCs w:val="20"/>
          <w:lang w:val="en-US"/>
        </w:rPr>
      </w:pPr>
      <w:r w:rsidRPr="00DF0E68">
        <w:rPr>
          <w:color w:val="000000" w:themeColor="text1"/>
          <w:sz w:val="20"/>
          <w:szCs w:val="20"/>
          <w:lang w:val="en-US"/>
        </w:rPr>
        <w:br w:type="page"/>
      </w:r>
    </w:p>
    <w:p w:rsidR="003517B1" w:rsidRDefault="003517B1"/>
    <w:p w:rsidR="0090444F" w:rsidRPr="00B345A8" w:rsidRDefault="0090444F" w:rsidP="0090444F">
      <w:pPr>
        <w:spacing w:line="480" w:lineRule="auto"/>
        <w:jc w:val="both"/>
        <w:rPr>
          <w:color w:val="000000" w:themeColor="text1"/>
          <w:sz w:val="20"/>
          <w:szCs w:val="20"/>
          <w:lang w:val="en-US"/>
        </w:rPr>
      </w:pPr>
      <w:r w:rsidRPr="00B345A8">
        <w:rPr>
          <w:color w:val="000000" w:themeColor="text1"/>
          <w:sz w:val="20"/>
          <w:szCs w:val="20"/>
          <w:lang w:val="en-US"/>
        </w:rPr>
        <w:t>Table 2. Laboratory features of children with Kawasaki disease below the age of 12 months</w:t>
      </w:r>
    </w:p>
    <w:p w:rsidR="0090444F" w:rsidRPr="00B345A8" w:rsidRDefault="0090444F" w:rsidP="0090444F">
      <w:pPr>
        <w:spacing w:line="480" w:lineRule="auto"/>
        <w:jc w:val="both"/>
        <w:rPr>
          <w:color w:val="000000" w:themeColor="text1"/>
          <w:sz w:val="20"/>
          <w:szCs w:val="20"/>
          <w:lang w:val="en-US"/>
        </w:rPr>
      </w:pPr>
    </w:p>
    <w:tbl>
      <w:tblPr>
        <w:tblStyle w:val="Grigliatab31"/>
        <w:tblW w:w="10007" w:type="dxa"/>
        <w:tblInd w:w="20" w:type="dxa"/>
        <w:tblLook w:val="04A0" w:firstRow="1" w:lastRow="0" w:firstColumn="1" w:lastColumn="0" w:noHBand="0" w:noVBand="1"/>
      </w:tblPr>
      <w:tblGrid>
        <w:gridCol w:w="2815"/>
        <w:gridCol w:w="1418"/>
        <w:gridCol w:w="1417"/>
        <w:gridCol w:w="1560"/>
        <w:gridCol w:w="1417"/>
        <w:gridCol w:w="1380"/>
      </w:tblGrid>
      <w:tr w:rsidR="0090444F" w:rsidRPr="00B345A8" w:rsidTr="00A75C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15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b w:val="0"/>
                <w:color w:val="000000" w:themeColor="text1"/>
                <w:sz w:val="20"/>
                <w:szCs w:val="20"/>
                <w:lang w:val="en-US"/>
              </w:rPr>
              <w:t>Laboratory data at onset</w:t>
            </w:r>
          </w:p>
        </w:tc>
        <w:tc>
          <w:tcPr>
            <w:tcW w:w="1418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b w:val="0"/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b w:val="0"/>
                <w:color w:val="000000" w:themeColor="text1"/>
                <w:sz w:val="20"/>
                <w:szCs w:val="20"/>
                <w:lang w:val="en-US"/>
              </w:rPr>
              <w:t>Complete KD</w:t>
            </w:r>
          </w:p>
        </w:tc>
        <w:tc>
          <w:tcPr>
            <w:tcW w:w="156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b w:val="0"/>
                <w:color w:val="000000" w:themeColor="text1"/>
                <w:sz w:val="20"/>
                <w:szCs w:val="20"/>
                <w:lang w:val="en-US"/>
              </w:rPr>
              <w:t>Incomplete KD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b w:val="0"/>
                <w:color w:val="000000" w:themeColor="text1"/>
                <w:sz w:val="20"/>
                <w:szCs w:val="20"/>
                <w:lang w:val="en-US"/>
              </w:rPr>
              <w:t>CAA-</w:t>
            </w:r>
          </w:p>
        </w:tc>
        <w:tc>
          <w:tcPr>
            <w:tcW w:w="138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b w:val="0"/>
                <w:color w:val="000000" w:themeColor="text1"/>
                <w:sz w:val="20"/>
                <w:szCs w:val="20"/>
                <w:lang w:val="en-US"/>
              </w:rPr>
              <w:t>CAA+</w:t>
            </w:r>
          </w:p>
        </w:tc>
      </w:tr>
      <w:tr w:rsidR="0090444F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Mean </w:t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  <w:lang w:val="en-US"/>
              </w:rPr>
              <w:t xml:space="preserve"> SD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Platelet count 10</w:t>
            </w:r>
            <w:r w:rsidRPr="00B345A8">
              <w:rPr>
                <w:i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3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/</w:t>
            </w:r>
            <w:proofErr w:type="spellStart"/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microL</w:t>
            </w:r>
            <w:proofErr w:type="spellEnd"/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8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525.9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</w:t>
            </w: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192.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>528.1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137.3</w:t>
            </w: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6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524.9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215.3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570.0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216.8</w:t>
            </w:r>
          </w:p>
        </w:tc>
        <w:tc>
          <w:tcPr>
            <w:tcW w:w="138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495.7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172.7</w:t>
            </w:r>
          </w:p>
        </w:tc>
      </w:tr>
      <w:tr w:rsidR="0090444F" w:rsidRPr="00B345A8" w:rsidTr="00A75C74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Mean </w:t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  <w:lang w:val="en-US"/>
              </w:rPr>
              <w:t xml:space="preserve"> SD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Leukocyte count 10</w:t>
            </w:r>
            <w:r w:rsidRPr="00B345A8">
              <w:rPr>
                <w:i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3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/</w:t>
            </w:r>
            <w:proofErr w:type="spellStart"/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>microL</w:t>
            </w:r>
            <w:proofErr w:type="spellEnd"/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8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16.9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</w:t>
            </w: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8.5 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18.1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9.2</w:t>
            </w:r>
          </w:p>
        </w:tc>
        <w:tc>
          <w:tcPr>
            <w:tcW w:w="156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16.4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8.3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16.3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8.6</w:t>
            </w:r>
          </w:p>
        </w:tc>
        <w:tc>
          <w:tcPr>
            <w:tcW w:w="138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17.4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8.6</w:t>
            </w:r>
          </w:p>
        </w:tc>
      </w:tr>
      <w:tr w:rsidR="0090444F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Mean </w:t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  <w:lang w:val="en-US"/>
              </w:rPr>
              <w:t xml:space="preserve"> SD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Hemoglobin</w:t>
            </w:r>
          </w:p>
        </w:tc>
        <w:tc>
          <w:tcPr>
            <w:tcW w:w="1418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10.6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1.3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10.7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1.8</w:t>
            </w:r>
          </w:p>
        </w:tc>
        <w:tc>
          <w:tcPr>
            <w:tcW w:w="156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10.5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1.0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10.9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138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10.4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1.5</w:t>
            </w:r>
          </w:p>
        </w:tc>
      </w:tr>
      <w:tr w:rsidR="0090444F" w:rsidRPr="00B345A8" w:rsidTr="00A75C74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Mean </w:t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  <w:lang w:val="en-US"/>
              </w:rPr>
              <w:t xml:space="preserve"> SD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ESR mm/h</w:t>
            </w:r>
          </w:p>
        </w:tc>
        <w:tc>
          <w:tcPr>
            <w:tcW w:w="1418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60.0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30.6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80.1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25.7*</w:t>
            </w:r>
          </w:p>
        </w:tc>
        <w:tc>
          <w:tcPr>
            <w:tcW w:w="156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50.5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28.6*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62.5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31.4</w:t>
            </w:r>
          </w:p>
        </w:tc>
        <w:tc>
          <w:tcPr>
            <w:tcW w:w="138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58.1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30.9</w:t>
            </w:r>
          </w:p>
        </w:tc>
      </w:tr>
      <w:tr w:rsidR="0090444F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Mean </w:t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  <w:lang w:val="en-US"/>
              </w:rPr>
              <w:t xml:space="preserve"> SD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CRP mg/dl</w:t>
            </w:r>
          </w:p>
        </w:tc>
        <w:tc>
          <w:tcPr>
            <w:tcW w:w="1418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8.2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6.8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9.7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9.6</w:t>
            </w:r>
          </w:p>
        </w:tc>
        <w:tc>
          <w:tcPr>
            <w:tcW w:w="156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7.5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5.0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7.7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6.0</w:t>
            </w:r>
          </w:p>
        </w:tc>
        <w:tc>
          <w:tcPr>
            <w:tcW w:w="138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8.6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7.3</w:t>
            </w:r>
          </w:p>
        </w:tc>
      </w:tr>
      <w:tr w:rsidR="0090444F" w:rsidRPr="00B345A8" w:rsidTr="00A75C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Mean </w:t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  <w:lang w:val="en-US"/>
              </w:rPr>
              <w:t xml:space="preserve"> SD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ALT UI/L</w:t>
            </w:r>
          </w:p>
        </w:tc>
        <w:tc>
          <w:tcPr>
            <w:tcW w:w="1418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65.0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72.3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57.6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56.3</w:t>
            </w:r>
          </w:p>
        </w:tc>
        <w:tc>
          <w:tcPr>
            <w:tcW w:w="156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68.4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79.4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56.9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79.6</w:t>
            </w:r>
          </w:p>
        </w:tc>
        <w:tc>
          <w:tcPr>
            <w:tcW w:w="138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70.5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68.5</w:t>
            </w:r>
          </w:p>
        </w:tc>
      </w:tr>
      <w:tr w:rsidR="0090444F" w:rsidRPr="00B345A8" w:rsidTr="00A75C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i w:val="0"/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Mean </w:t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i w:val="0"/>
                <w:color w:val="000000" w:themeColor="text1"/>
                <w:sz w:val="20"/>
                <w:szCs w:val="20"/>
                <w:lang w:val="en-US"/>
              </w:rPr>
              <w:t xml:space="preserve"> SD</w:t>
            </w:r>
            <w:r w:rsidRPr="00B345A8">
              <w:rPr>
                <w:i w:val="0"/>
                <w:color w:val="000000" w:themeColor="text1"/>
                <w:sz w:val="20"/>
                <w:szCs w:val="20"/>
                <w:lang w:val="en-US"/>
              </w:rPr>
              <w:t xml:space="preserve"> AST UI/L</w:t>
            </w:r>
          </w:p>
        </w:tc>
        <w:tc>
          <w:tcPr>
            <w:tcW w:w="1418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74.8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113.7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29.8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13.2*</w:t>
            </w:r>
          </w:p>
        </w:tc>
        <w:tc>
          <w:tcPr>
            <w:tcW w:w="156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95.4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132.7*</w:t>
            </w:r>
          </w:p>
        </w:tc>
        <w:tc>
          <w:tcPr>
            <w:tcW w:w="1417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59.8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74.5</w:t>
            </w:r>
          </w:p>
        </w:tc>
        <w:tc>
          <w:tcPr>
            <w:tcW w:w="1380" w:type="dxa"/>
          </w:tcPr>
          <w:p w:rsidR="0090444F" w:rsidRPr="00B345A8" w:rsidRDefault="0090444F" w:rsidP="00A75C74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B345A8">
              <w:rPr>
                <w:color w:val="000000" w:themeColor="text1"/>
                <w:sz w:val="20"/>
                <w:szCs w:val="20"/>
                <w:lang w:val="en-US"/>
              </w:rPr>
              <w:t xml:space="preserve">85.2 </w:t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sym w:font="Symbol" w:char="F0B1"/>
            </w:r>
            <w:r w:rsidRPr="00B345A8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135.2</w:t>
            </w:r>
          </w:p>
        </w:tc>
      </w:tr>
    </w:tbl>
    <w:p w:rsidR="0090444F" w:rsidRPr="00B345A8" w:rsidRDefault="0090444F" w:rsidP="0090444F">
      <w:pPr>
        <w:spacing w:line="480" w:lineRule="auto"/>
        <w:jc w:val="both"/>
        <w:rPr>
          <w:color w:val="000000" w:themeColor="text1"/>
          <w:sz w:val="20"/>
          <w:szCs w:val="20"/>
          <w:lang w:val="en-US" w:eastAsia="en-US"/>
        </w:rPr>
      </w:pPr>
    </w:p>
    <w:p w:rsidR="0090444F" w:rsidRPr="00B345A8" w:rsidRDefault="0090444F" w:rsidP="0090444F">
      <w:pPr>
        <w:spacing w:line="480" w:lineRule="auto"/>
        <w:jc w:val="both"/>
        <w:rPr>
          <w:color w:val="000000" w:themeColor="text1"/>
          <w:sz w:val="20"/>
          <w:szCs w:val="20"/>
          <w:lang w:val="en-US"/>
        </w:rPr>
      </w:pPr>
      <w:r w:rsidRPr="00B345A8">
        <w:rPr>
          <w:color w:val="000000" w:themeColor="text1"/>
          <w:sz w:val="20"/>
          <w:szCs w:val="20"/>
          <w:lang w:val="en-US"/>
        </w:rPr>
        <w:t>*p &lt; 0.0</w:t>
      </w:r>
      <w:r>
        <w:rPr>
          <w:color w:val="000000" w:themeColor="text1"/>
          <w:sz w:val="20"/>
          <w:szCs w:val="20"/>
          <w:lang w:val="en-US"/>
        </w:rPr>
        <w:t>5</w:t>
      </w:r>
    </w:p>
    <w:p w:rsidR="005D53BD" w:rsidRDefault="005D53BD">
      <w:bookmarkStart w:id="0" w:name="_GoBack"/>
      <w:bookmarkEnd w:id="0"/>
    </w:p>
    <w:sectPr w:rsidR="005D53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3BD"/>
    <w:rsid w:val="000731CB"/>
    <w:rsid w:val="00275F92"/>
    <w:rsid w:val="0029568F"/>
    <w:rsid w:val="00317F7C"/>
    <w:rsid w:val="003517B1"/>
    <w:rsid w:val="005D53BD"/>
    <w:rsid w:val="0060409E"/>
    <w:rsid w:val="00615B5F"/>
    <w:rsid w:val="00783965"/>
    <w:rsid w:val="0090444F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D5EE31-0310-403D-A49A-6095CB4F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3BD"/>
    <w:pPr>
      <w:spacing w:line="240" w:lineRule="auto"/>
    </w:pPr>
    <w:rPr>
      <w:rFonts w:ascii="Times New Roman" w:hAnsi="Times New Roman" w:cs="Times New Roman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customStyle="1" w:styleId="Grigliatab31">
    <w:name w:val="Griglia tab. 31"/>
    <w:basedOn w:val="TableNormal"/>
    <w:uiPriority w:val="48"/>
    <w:rsid w:val="005D53BD"/>
    <w:pPr>
      <w:spacing w:line="240" w:lineRule="auto"/>
    </w:pPr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2</cp:revision>
  <dcterms:created xsi:type="dcterms:W3CDTF">2019-06-25T21:36:00Z</dcterms:created>
  <dcterms:modified xsi:type="dcterms:W3CDTF">2019-06-25T21:37:00Z</dcterms:modified>
</cp:coreProperties>
</file>