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  <w:t>SUPPLEMENTARY MATERIAL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2"/>
        <w:tblW w:w="1005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5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Supplementary Table 1.</w:t>
            </w:r>
            <w:bookmarkStart w:id="0" w:name="OLE_LINK1"/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 Risk of bias assessment based on ROBINS-I</w:t>
            </w:r>
            <w:bookmarkEnd w:id="0"/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Study，publication year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 confounding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 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participants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departures from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intended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missing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data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outcomes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reported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Overall bias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Peng J,2015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19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Buti M,2015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Fontaine H,2015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Chen L,2015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Hsu YC,2016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Park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Jun BG,2016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Lin CC,2016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Nagata N,2016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Lee HA,2016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Siederdissen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Siederdissen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Muche M,2017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Karakaya F,2017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Cao JW,2017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Berg T,2017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Jeng WJ,2018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Dalekos GN,2018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Papatheodoridis GV,2018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Rivino L,2018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Chi H,2018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Liu F,2018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Hsu YC,2018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41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Kranidioti H,2019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Hees SV,2019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Xie LQ,2019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050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N: no, PN: probably no, PY: probably yes, Y: yes. </w:t>
            </w:r>
          </w:p>
        </w:tc>
      </w:tr>
    </w:tbl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ind w:firstLine="1405" w:firstLineChars="5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SUPPLEMENTARY FIGURE LEGENDS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b/>
          <w:bCs/>
          <w:sz w:val="28"/>
          <w:szCs w:val="28"/>
          <w:highlight w:val="yellow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overall 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(BR) </w:t>
      </w:r>
      <w:r>
        <w:rPr>
          <w:rFonts w:hint="default"/>
          <w:sz w:val="24"/>
          <w:szCs w:val="24"/>
          <w:highlight w:val="yellow"/>
          <w:lang w:val="en-US" w:eastAsia="zh-CN"/>
        </w:rPr>
        <w:t>af</w:t>
      </w:r>
      <w:r>
        <w:rPr>
          <w:rFonts w:hint="eastAsia"/>
          <w:sz w:val="24"/>
          <w:szCs w:val="24"/>
          <w:highlight w:val="yellow"/>
          <w:lang w:val="en-US" w:eastAsia="zh-CN"/>
        </w:rPr>
        <w:t>t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er </w:t>
      </w:r>
      <w:r>
        <w:rPr>
          <w:rFonts w:hint="eastAsia"/>
          <w:sz w:val="24"/>
          <w:szCs w:val="24"/>
          <w:highlight w:val="yellow"/>
          <w:lang w:val="en-US" w:eastAsia="zh-CN"/>
        </w:rPr>
        <w:t>NAs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cessation.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default"/>
          <w:sz w:val="24"/>
          <w:szCs w:val="24"/>
          <w:highlight w:val="yellow"/>
          <w:lang w:val="en-US" w:eastAsia="zh-CN"/>
        </w:rPr>
        <w:t>A: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default"/>
          <w:sz w:val="24"/>
          <w:szCs w:val="24"/>
          <w:highlight w:val="yellow"/>
          <w:lang w:val="en-US" w:eastAsia="zh-CN"/>
        </w:rPr>
        <w:t>All patients</w:t>
      </w:r>
      <w:r>
        <w:rPr>
          <w:rFonts w:hint="eastAsia"/>
          <w:sz w:val="24"/>
          <w:szCs w:val="24"/>
          <w:highlight w:val="yellow"/>
          <w:lang w:val="en-US" w:eastAsia="zh-CN"/>
        </w:rPr>
        <w:t>,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B: HBeAg</w:t>
      </w:r>
      <w:r>
        <w:rPr>
          <w:rFonts w:hint="eastAsia"/>
          <w:sz w:val="24"/>
          <w:szCs w:val="24"/>
          <w:highlight w:val="yellow"/>
          <w:lang w:val="en-US" w:eastAsia="zh-CN"/>
        </w:rPr>
        <w:t>-</w:t>
      </w:r>
      <w:r>
        <w:rPr>
          <w:rFonts w:hint="default"/>
          <w:sz w:val="24"/>
          <w:szCs w:val="24"/>
          <w:highlight w:val="yellow"/>
          <w:lang w:val="en-US" w:eastAsia="zh-CN"/>
        </w:rPr>
        <w:t>positive patients</w:t>
      </w:r>
      <w:r>
        <w:rPr>
          <w:rFonts w:hint="eastAsia"/>
          <w:sz w:val="24"/>
          <w:szCs w:val="24"/>
          <w:highlight w:val="yellow"/>
          <w:lang w:val="en-US" w:eastAsia="zh-CN"/>
        </w:rPr>
        <w:t>,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C: HBeAg-negative patients. ES means effect size, which refers to estimated probability.</w:t>
      </w:r>
      <w:r>
        <w:rPr>
          <w:rFonts w:hint="eastAsia"/>
          <w:b/>
          <w:bCs/>
          <w:sz w:val="28"/>
          <w:szCs w:val="28"/>
          <w:highlight w:val="yellow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highlight w:val="yellow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eastAsia"/>
          <w:sz w:val="24"/>
          <w:szCs w:val="24"/>
          <w:highlight w:val="yellow"/>
          <w:lang w:val="en-US" w:eastAsia="zh-CN"/>
        </w:rPr>
        <w:t>A</w:t>
      </w:r>
      <w:r>
        <w:rPr>
          <w:rFonts w:hint="default"/>
          <w:sz w:val="24"/>
          <w:szCs w:val="24"/>
          <w:highlight w:val="yellow"/>
          <w:lang w:val="en-US" w:eastAsia="zh-CN"/>
        </w:rPr>
        <w:t>ll patients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, </w:t>
      </w:r>
      <w:r>
        <w:rPr>
          <w:rFonts w:hint="default"/>
          <w:sz w:val="24"/>
          <w:szCs w:val="24"/>
          <w:highlight w:val="yellow"/>
          <w:lang w:val="en-US" w:eastAsia="zh-CN"/>
        </w:rPr>
        <w:t>B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highlight w:val="yellow"/>
          <w:lang w:val="en-US" w:eastAsia="zh-CN"/>
        </w:rPr>
        <w:t>,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C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default"/>
          <w:sz w:val="24"/>
          <w:szCs w:val="24"/>
          <w:highlight w:val="yellow"/>
          <w:lang w:val="en-US" w:eastAsia="zh-CN"/>
        </w:rPr>
        <w:t>Bars are 95% CI. Green lines are trend lines.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4.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P</w:t>
      </w:r>
      <w:r>
        <w:rPr>
          <w:rFonts w:hint="default"/>
          <w:sz w:val="24"/>
          <w:szCs w:val="24"/>
          <w:lang w:val="en-US" w:eastAsia="zh-CN"/>
        </w:rPr>
        <w:t>ublication bias</w:t>
      </w:r>
      <w:r>
        <w:rPr>
          <w:rFonts w:hint="eastAsia"/>
          <w:sz w:val="24"/>
          <w:szCs w:val="24"/>
          <w:lang w:val="en-US" w:eastAsia="zh-CN"/>
        </w:rPr>
        <w:t xml:space="preserve"> was assessed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by</w:t>
      </w:r>
      <w:r>
        <w:rPr>
          <w:rFonts w:hint="default"/>
          <w:sz w:val="24"/>
          <w:szCs w:val="24"/>
          <w:lang w:val="en-US" w:eastAsia="zh-CN"/>
        </w:rPr>
        <w:t xml:space="preserve"> Begg’s funnel plots and used Egger’s regression asymmetry test.</w:t>
      </w:r>
      <w:r>
        <w:rPr>
          <w:rFonts w:hint="eastAsia"/>
          <w:sz w:val="24"/>
          <w:szCs w:val="24"/>
          <w:lang w:val="en-US" w:eastAsia="zh-CN"/>
        </w:rPr>
        <w:t xml:space="preserve"> No evidence of publication bias was found</w:t>
      </w:r>
      <w:r>
        <w:rPr>
          <w:rFonts w:hint="default"/>
          <w:sz w:val="24"/>
          <w:szCs w:val="24"/>
          <w:lang w:val="en-US" w:eastAsia="zh-CN"/>
        </w:rPr>
        <w:t xml:space="preserve"> (P </w:t>
      </w:r>
      <w:r>
        <w:rPr>
          <w:rFonts w:hint="eastAsia"/>
          <w:sz w:val="24"/>
          <w:szCs w:val="24"/>
          <w:lang w:val="en-US" w:eastAsia="zh-CN"/>
        </w:rPr>
        <w:t>&gt;</w:t>
      </w:r>
      <w:r>
        <w:rPr>
          <w:rFonts w:hint="default"/>
          <w:sz w:val="24"/>
          <w:szCs w:val="24"/>
          <w:lang w:val="en-US" w:eastAsia="zh-CN"/>
        </w:rPr>
        <w:t xml:space="preserve"> 0.05).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4048760"/>
            <wp:effectExtent l="0" t="0" r="3175" b="8890"/>
            <wp:docPr id="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sz w:val="24"/>
          <w:szCs w:val="24"/>
          <w:lang w:val="en-US" w:eastAsia="zh-CN"/>
        </w:rPr>
      </w:pPr>
    </w:p>
    <w:p/>
    <w:p/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1471930</wp:posOffset>
                </wp:positionH>
                <wp:positionV relativeFrom="paragraph">
                  <wp:posOffset>191135</wp:posOffset>
                </wp:positionV>
                <wp:extent cx="648335" cy="253365"/>
                <wp:effectExtent l="0" t="0" r="1841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335" cy="253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  <w:t>All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9pt;margin-top:15.05pt;height:19.95pt;width:51.05pt;z-index:251658240;mso-width-relative:page;mso-height-relative:page;" fillcolor="#FFFFFF [3201]" filled="t" stroked="f" coordsize="21600,21600" o:gfxdata="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/43TmNQAAAAJAQAADwAAAAAAAAABACAAAAAiAAAAZHJzL2Rvd25yZXYueG1sUEsB&#10;AhQAFAAAAAgAh07iQAqELQ4yAgAAQAQAAA4AAAAAAAAAAQAgAAAAIwEAAGRycy9lMm9Eb2MueG1s&#10;UEsFBgAAAAAGAAYAWQEAAM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  <w:t>All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87750" cy="2694940"/>
            <wp:effectExtent l="0" t="0" r="12700" b="10160"/>
            <wp:docPr id="1" name="图片 1" descr="16005066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0050667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775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1040765</wp:posOffset>
                </wp:positionH>
                <wp:positionV relativeFrom="paragraph">
                  <wp:posOffset>367665</wp:posOffset>
                </wp:positionV>
                <wp:extent cx="1193800" cy="253365"/>
                <wp:effectExtent l="0" t="0" r="6350" b="1333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3800" cy="253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  <w:t>HBeAg-positive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95pt;margin-top:28.95pt;height:19.95pt;width:94pt;z-index:251660288;mso-width-relative:page;mso-height-relative:page;" fillcolor="#FFFFFF [3201]" filled="t" stroked="f" coordsize="21600,21600" o:gfxdata="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PSNG41AAAAAkBAAAPAAAAAAAAAAEAIAAAACIAAABkcnMvZG93bnJldi54bWxQSwEC&#10;FAAUAAAACACHTuJA2dGBzzECAABBBAAADgAAAAAAAAABACAAAAAjAQAAZHJzL2Uyb0RvYy54bWxQ&#10;SwUGAAAAAAYABgBZAQAAx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  <w:t>HBeAg-positive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85845" cy="2435225"/>
            <wp:effectExtent l="0" t="0" r="14605" b="3175"/>
            <wp:docPr id="2" name="图片 2" descr="16005068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0506850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5845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1161415</wp:posOffset>
                </wp:positionH>
                <wp:positionV relativeFrom="paragraph">
                  <wp:posOffset>262255</wp:posOffset>
                </wp:positionV>
                <wp:extent cx="1193800" cy="253365"/>
                <wp:effectExtent l="0" t="0" r="6350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3800" cy="253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  <w:t>HBeAg-negative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1.45pt;margin-top:20.65pt;height:19.95pt;width:94pt;z-index:251664384;mso-width-relative:page;mso-height-relative:page;" fillcolor="#FFFFFF [3201]" filled="t" stroked="f" coordsize="21600,21600" o:gfxdata="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zgBkdQAAAAJAQAADwAAAAAAAAABACAAAAAiAAAAZHJzL2Rvd25yZXYueG1sUEsB&#10;AhQAFAAAAAgAh07iQAkftAwyAgAAQQQAAA4AAAAAAAAAAQAgAAAAIwEAAGRycy9lMm9Eb2MueG1s&#10;UEsFBgAAAAAGAAYAWQEAAM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5"/>
                          <w:szCs w:val="15"/>
                          <w:lang w:val="en-US" w:eastAsia="zh-CN"/>
                        </w:rPr>
                        <w:t>HBeAg-negative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76955" cy="2458085"/>
            <wp:effectExtent l="0" t="0" r="4445" b="18415"/>
            <wp:docPr id="4" name="图片 4" descr="160050711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00507118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6955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overall 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(BR) </w:t>
      </w:r>
      <w:r>
        <w:rPr>
          <w:rFonts w:hint="default"/>
          <w:sz w:val="24"/>
          <w:szCs w:val="24"/>
          <w:highlight w:val="yellow"/>
          <w:lang w:val="en-US" w:eastAsia="zh-CN"/>
        </w:rPr>
        <w:t>af</w:t>
      </w:r>
      <w:r>
        <w:rPr>
          <w:rFonts w:hint="eastAsia"/>
          <w:sz w:val="24"/>
          <w:szCs w:val="24"/>
          <w:highlight w:val="yellow"/>
          <w:lang w:val="en-US" w:eastAsia="zh-CN"/>
        </w:rPr>
        <w:t>t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er </w:t>
      </w:r>
      <w:r>
        <w:rPr>
          <w:rFonts w:hint="eastAsia"/>
          <w:sz w:val="24"/>
          <w:szCs w:val="24"/>
          <w:highlight w:val="yellow"/>
          <w:lang w:val="en-US" w:eastAsia="zh-CN"/>
        </w:rPr>
        <w:t>NAs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cessation. A: All patients</w:t>
      </w:r>
      <w:r>
        <w:rPr>
          <w:rFonts w:hint="eastAsia"/>
          <w:sz w:val="24"/>
          <w:szCs w:val="24"/>
          <w:highlight w:val="yellow"/>
          <w:lang w:val="en-US" w:eastAsia="zh-CN"/>
        </w:rPr>
        <w:t>,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B: HBeAg</w:t>
      </w:r>
      <w:r>
        <w:rPr>
          <w:rFonts w:hint="eastAsia"/>
          <w:sz w:val="24"/>
          <w:szCs w:val="24"/>
          <w:highlight w:val="yellow"/>
          <w:lang w:val="en-US" w:eastAsia="zh-CN"/>
        </w:rPr>
        <w:t>-</w:t>
      </w:r>
      <w:r>
        <w:rPr>
          <w:rFonts w:hint="default"/>
          <w:sz w:val="24"/>
          <w:szCs w:val="24"/>
          <w:highlight w:val="yellow"/>
          <w:lang w:val="en-US" w:eastAsia="zh-CN"/>
        </w:rPr>
        <w:t>positive patients, C: HBeAg-negative patients. ES means effect size, which refers to estimated probability.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116705" cy="1850390"/>
            <wp:effectExtent l="4445" t="4445" r="12700" b="12065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100830" cy="1776730"/>
            <wp:effectExtent l="4445" t="4445" r="9525" b="9525"/>
            <wp:docPr id="9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081780" cy="1932305"/>
            <wp:effectExtent l="4445" t="4445" r="9525" b="6350"/>
            <wp:docPr id="10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hint="default"/>
          <w:sz w:val="24"/>
          <w:szCs w:val="24"/>
          <w:highlight w:val="yellow"/>
          <w:lang w:val="en-US" w:eastAsia="zh-CN"/>
        </w:rPr>
      </w:pPr>
      <w:bookmarkStart w:id="1" w:name="_GoBack"/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highlight w:val="yellow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eastAsia"/>
          <w:sz w:val="24"/>
          <w:szCs w:val="24"/>
          <w:highlight w:val="yellow"/>
          <w:lang w:val="en-US" w:eastAsia="zh-CN"/>
        </w:rPr>
        <w:t>A</w:t>
      </w:r>
      <w:r>
        <w:rPr>
          <w:rFonts w:hint="default"/>
          <w:sz w:val="24"/>
          <w:szCs w:val="24"/>
          <w:highlight w:val="yellow"/>
          <w:lang w:val="en-US" w:eastAsia="zh-CN"/>
        </w:rPr>
        <w:t>ll patients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, </w:t>
      </w:r>
      <w:r>
        <w:rPr>
          <w:rFonts w:hint="default"/>
          <w:sz w:val="24"/>
          <w:szCs w:val="24"/>
          <w:highlight w:val="yellow"/>
          <w:lang w:val="en-US" w:eastAsia="zh-CN"/>
        </w:rPr>
        <w:t>B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highlight w:val="yellow"/>
          <w:lang w:val="en-US" w:eastAsia="zh-CN"/>
        </w:rPr>
        <w:t>,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C</w:t>
      </w:r>
      <w:r>
        <w:rPr>
          <w:rFonts w:hint="eastAsia"/>
          <w:sz w:val="24"/>
          <w:szCs w:val="24"/>
          <w:highlight w:val="yellow"/>
          <w:lang w:val="en-US" w:eastAsia="zh-CN"/>
        </w:rPr>
        <w:t>: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highlight w:val="yellow"/>
          <w:lang w:val="en-US" w:eastAsia="zh-CN"/>
        </w:rPr>
        <w:t xml:space="preserve"> </w:t>
      </w:r>
      <w:r>
        <w:rPr>
          <w:rFonts w:hint="default"/>
          <w:sz w:val="24"/>
          <w:szCs w:val="24"/>
          <w:highlight w:val="yellow"/>
          <w:lang w:val="en-US" w:eastAsia="zh-CN"/>
        </w:rPr>
        <w:t>Bars are 95% CI. Gr</w:t>
      </w:r>
      <w:r>
        <w:rPr>
          <w:rFonts w:hint="eastAsia"/>
          <w:sz w:val="24"/>
          <w:szCs w:val="24"/>
          <w:highlight w:val="yellow"/>
          <w:lang w:val="en-US" w:eastAsia="zh-CN"/>
        </w:rPr>
        <w:t>ay</w:t>
      </w:r>
      <w:r>
        <w:rPr>
          <w:rFonts w:hint="default"/>
          <w:sz w:val="24"/>
          <w:szCs w:val="24"/>
          <w:highlight w:val="yellow"/>
          <w:lang w:val="en-US" w:eastAsia="zh-CN"/>
        </w:rPr>
        <w:t xml:space="preserve"> lines are trend lines.</w:t>
      </w:r>
    </w:p>
    <w:bookmarkEnd w:id="1"/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776345" cy="2666365"/>
            <wp:effectExtent l="0" t="0" r="1460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3735" cy="268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4.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P</w:t>
      </w:r>
      <w:r>
        <w:rPr>
          <w:rFonts w:hint="default"/>
          <w:sz w:val="24"/>
          <w:szCs w:val="24"/>
          <w:lang w:val="en-US" w:eastAsia="zh-CN"/>
        </w:rPr>
        <w:t>ublication bias</w:t>
      </w:r>
      <w:r>
        <w:rPr>
          <w:rFonts w:hint="eastAsia"/>
          <w:sz w:val="24"/>
          <w:szCs w:val="24"/>
          <w:lang w:val="en-US" w:eastAsia="zh-CN"/>
        </w:rPr>
        <w:t xml:space="preserve"> was assessed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by</w:t>
      </w:r>
      <w:r>
        <w:rPr>
          <w:rFonts w:hint="default"/>
          <w:sz w:val="24"/>
          <w:szCs w:val="24"/>
          <w:lang w:val="en-US" w:eastAsia="zh-CN"/>
        </w:rPr>
        <w:t xml:space="preserve"> Begg’s funnel plots and used Egger’s regression asymmetry test</w:t>
      </w:r>
      <w:r>
        <w:rPr>
          <w:rFonts w:hint="eastAsia"/>
          <w:sz w:val="24"/>
          <w:szCs w:val="24"/>
          <w:lang w:val="en-US" w:eastAsia="zh-CN"/>
        </w:rPr>
        <w:t>. No evidence of publication bias was found</w:t>
      </w:r>
      <w:r>
        <w:rPr>
          <w:rFonts w:hint="default"/>
          <w:sz w:val="24"/>
          <w:szCs w:val="24"/>
          <w:lang w:val="en-US" w:eastAsia="zh-CN"/>
        </w:rPr>
        <w:t xml:space="preserve"> (P </w:t>
      </w:r>
      <w:r>
        <w:rPr>
          <w:rFonts w:hint="eastAsia"/>
          <w:sz w:val="24"/>
          <w:szCs w:val="24"/>
          <w:lang w:val="en-US" w:eastAsia="zh-CN"/>
        </w:rPr>
        <w:t>&gt;</w:t>
      </w:r>
      <w:r>
        <w:rPr>
          <w:rFonts w:hint="default"/>
          <w:sz w:val="24"/>
          <w:szCs w:val="24"/>
          <w:lang w:val="en-US" w:eastAsia="zh-CN"/>
        </w:rPr>
        <w:t xml:space="preserve"> 0.05).</w:t>
      </w:r>
    </w:p>
    <w:p>
      <w:pPr>
        <w:widowControl w:val="0"/>
        <w:numPr>
          <w:ilvl w:val="0"/>
          <w:numId w:val="0"/>
        </w:numPr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4552C"/>
    <w:rsid w:val="020A1ABF"/>
    <w:rsid w:val="08036D5F"/>
    <w:rsid w:val="0E4D5811"/>
    <w:rsid w:val="0F0C3197"/>
    <w:rsid w:val="1059379E"/>
    <w:rsid w:val="11415676"/>
    <w:rsid w:val="14160BE0"/>
    <w:rsid w:val="1964437B"/>
    <w:rsid w:val="21B948BF"/>
    <w:rsid w:val="273D701E"/>
    <w:rsid w:val="28176E60"/>
    <w:rsid w:val="30305ADA"/>
    <w:rsid w:val="306711FB"/>
    <w:rsid w:val="31EC589A"/>
    <w:rsid w:val="33693931"/>
    <w:rsid w:val="387C3335"/>
    <w:rsid w:val="3A2C16D4"/>
    <w:rsid w:val="3C1B06E9"/>
    <w:rsid w:val="3D050105"/>
    <w:rsid w:val="4E1943EB"/>
    <w:rsid w:val="590628C9"/>
    <w:rsid w:val="5A2A03B6"/>
    <w:rsid w:val="5E2125CC"/>
    <w:rsid w:val="62FE05EB"/>
    <w:rsid w:val="642D3DD7"/>
    <w:rsid w:val="6A5842ED"/>
    <w:rsid w:val="6CA91E57"/>
    <w:rsid w:val="6DF52942"/>
    <w:rsid w:val="730A73C1"/>
    <w:rsid w:val="7AF133F5"/>
    <w:rsid w:val="7D1F67A1"/>
    <w:rsid w:val="7DD570E7"/>
    <w:rsid w:val="7E11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customStyle="1" w:styleId="5">
    <w:name w:val="font21"/>
    <w:basedOn w:val="3"/>
    <w:qFormat/>
    <w:uiPriority w:val="0"/>
    <w:rPr>
      <w:rFonts w:hint="default" w:ascii="Arial-BoldMT" w:hAnsi="Arial-BoldMT" w:eastAsia="Arial-BoldMT" w:cs="Arial-BoldMT"/>
      <w:b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ascii="ArialMT" w:hAnsi="ArialMT" w:eastAsia="ArialMT" w:cs="ArialMT"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default" w:ascii="ArialMT" w:hAnsi="ArialMT" w:eastAsia="ArialMT" w:cs="ArialMT"/>
      <w:color w:val="303030"/>
      <w:sz w:val="24"/>
      <w:szCs w:val="24"/>
      <w:u w:val="none"/>
    </w:rPr>
  </w:style>
  <w:style w:type="character" w:customStyle="1" w:styleId="8">
    <w:name w:val="fontstyle01"/>
    <w:basedOn w:val="3"/>
    <w:qFormat/>
    <w:uiPriority w:val="0"/>
    <w:rPr>
      <w:rFonts w:ascii="ArialMT" w:hAnsi="ArialMT" w:eastAsia="ArialMT" w:cs="Arial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F:\&#20057;&#32925;&#20572;&#33647;&#31995;&#32479;&#24615;&#32508;&#36848;\&#25968;&#25454;&#20998;&#26512;\&#25968;&#25454;&#25552;&#21462;-2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F:\&#20057;&#32925;&#20572;&#33647;&#31995;&#32479;&#24615;&#32508;&#36848;\&#25968;&#25454;&#20998;&#26512;\&#25968;&#25454;&#25552;&#21462;-2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&#20057;&#32925;&#20572;&#33647;&#31995;&#32479;&#24615;&#32508;&#36848;\&#25968;&#25454;&#20998;&#26512;\&#25968;&#25454;&#25552;&#21462;-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All patients</a:t>
            </a:r>
            <a:endParaRPr 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'[数据提取-2.xlsx]Figure2-3'!$B$54:$B$59</c:f>
              <c:numCache>
                <c:formatCode>General</c:formatCode>
                <c:ptCount val="6"/>
                <c:pt idx="0">
                  <c:v>0.42</c:v>
                </c:pt>
                <c:pt idx="1">
                  <c:v>0.41</c:v>
                </c:pt>
                <c:pt idx="2">
                  <c:v>0.58</c:v>
                </c:pt>
                <c:pt idx="3">
                  <c:v>0.56</c:v>
                </c:pt>
                <c:pt idx="4">
                  <c:v>0.61</c:v>
                </c:pt>
                <c:pt idx="5">
                  <c:v>0.61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'[数据提取-2.xlsx]Figure2-3'!$C$54:$C$59</c:f>
              <c:numCache>
                <c:formatCode>General</c:formatCode>
                <c:ptCount val="6"/>
                <c:pt idx="0">
                  <c:v>0.15</c:v>
                </c:pt>
                <c:pt idx="1">
                  <c:v>0.28</c:v>
                </c:pt>
                <c:pt idx="2">
                  <c:v>0.31</c:v>
                </c:pt>
                <c:pt idx="3">
                  <c:v>0.36</c:v>
                </c:pt>
                <c:pt idx="4">
                  <c:v>0.36</c:v>
                </c:pt>
                <c:pt idx="5">
                  <c:v>0.37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'[数据提取-2.xlsx]Figure2-3'!$A$54:$A$59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'[数据提取-2.xlsx]Figure2-3'!$D$54:$D$59</c:f>
              <c:numCache>
                <c:formatCode>General</c:formatCode>
                <c:ptCount val="6"/>
                <c:pt idx="0">
                  <c:v>0.3</c:v>
                </c:pt>
                <c:pt idx="1">
                  <c:v>0.35</c:v>
                </c:pt>
                <c:pt idx="2">
                  <c:v>0.44</c:v>
                </c:pt>
                <c:pt idx="3">
                  <c:v>0.45</c:v>
                </c:pt>
                <c:pt idx="4">
                  <c:v>0.49</c:v>
                </c:pt>
                <c:pt idx="5">
                  <c:v>0.48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19526328"/>
        <c:axId val="719524688"/>
      </c:stockChart>
      <c:catAx>
        <c:axId val="719526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4688"/>
        <c:crosses val="autoZero"/>
        <c:auto val="1"/>
        <c:lblAlgn val="ctr"/>
        <c:lblOffset val="100"/>
        <c:noMultiLvlLbl val="0"/>
      </c:catAx>
      <c:valAx>
        <c:axId val="719524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6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HBeAg-positive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'[数据提取-2.xlsx]Figure2-3'!$B$67:$B$72</c:f>
              <c:numCache>
                <c:formatCode>General</c:formatCode>
                <c:ptCount val="6"/>
                <c:pt idx="0">
                  <c:v>0.22</c:v>
                </c:pt>
                <c:pt idx="1">
                  <c:v>0.5</c:v>
                </c:pt>
                <c:pt idx="2">
                  <c:v>0.45</c:v>
                </c:pt>
                <c:pt idx="3">
                  <c:v>0.56</c:v>
                </c:pt>
                <c:pt idx="4">
                  <c:v>0.7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'[数据提取-2.xlsx]Figure2-3'!$C$67:$C$72</c:f>
              <c:numCache>
                <c:formatCode>General</c:formatCode>
                <c:ptCount val="6"/>
                <c:pt idx="0">
                  <c:v>0.07</c:v>
                </c:pt>
                <c:pt idx="1">
                  <c:v>0.22</c:v>
                </c:pt>
                <c:pt idx="2">
                  <c:v>0.32</c:v>
                </c:pt>
                <c:pt idx="3">
                  <c:v>0.32</c:v>
                </c:pt>
                <c:pt idx="4">
                  <c:v>0.24</c:v>
                </c:pt>
                <c:pt idx="5">
                  <c:v>0.19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'[数据提取-2.xlsx]Figure2-3'!$A$67:$A$72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'[数据提取-2.xlsx]Figure2-3'!$D$67:$D$72</c:f>
              <c:numCache>
                <c:formatCode>General</c:formatCode>
                <c:ptCount val="6"/>
                <c:pt idx="0">
                  <c:v>0.15</c:v>
                </c:pt>
                <c:pt idx="1">
                  <c:v>0.36</c:v>
                </c:pt>
                <c:pt idx="2">
                  <c:v>0.39</c:v>
                </c:pt>
                <c:pt idx="3">
                  <c:v>0.44</c:v>
                </c:pt>
                <c:pt idx="4">
                  <c:v>0.47</c:v>
                </c:pt>
                <c:pt idx="5">
                  <c:v>0.4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60667256"/>
        <c:axId val="760660368"/>
      </c:stockChart>
      <c:catAx>
        <c:axId val="760667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0368"/>
        <c:crosses val="autoZero"/>
        <c:auto val="1"/>
        <c:lblAlgn val="ctr"/>
        <c:lblOffset val="100"/>
        <c:noMultiLvlLbl val="0"/>
      </c:catAx>
      <c:valAx>
        <c:axId val="76066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7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HBeAg-negative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'[数据提取-2.xlsx]Figure2-3'!$B$78:$B$83</c:f>
              <c:numCache>
                <c:formatCode>General</c:formatCode>
                <c:ptCount val="6"/>
                <c:pt idx="0">
                  <c:v>0.45</c:v>
                </c:pt>
                <c:pt idx="1">
                  <c:v>0.58</c:v>
                </c:pt>
                <c:pt idx="2">
                  <c:v>0.73</c:v>
                </c:pt>
                <c:pt idx="3">
                  <c:v>0.74</c:v>
                </c:pt>
                <c:pt idx="4">
                  <c:v>0.76</c:v>
                </c:pt>
                <c:pt idx="5">
                  <c:v>0.73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'[数据提取-2.xlsx]Figure2-3'!$A$78:$A$83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'[数据提取-2.xlsx]Figure2-3'!$C$78:$C$83</c:f>
              <c:numCache>
                <c:formatCode>General</c:formatCode>
                <c:ptCount val="6"/>
                <c:pt idx="0">
                  <c:v>0.1</c:v>
                </c:pt>
                <c:pt idx="1">
                  <c:v>0.22</c:v>
                </c:pt>
                <c:pt idx="2">
                  <c:v>0.26</c:v>
                </c:pt>
                <c:pt idx="3">
                  <c:v>0.32</c:v>
                </c:pt>
                <c:pt idx="4">
                  <c:v>0.37</c:v>
                </c:pt>
                <c:pt idx="5">
                  <c:v>0.35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'[数据提取-2.xlsx]Figure2-3'!$A$78:$A$83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'[数据提取-2.xlsx]Figure2-3'!$D$78:$D$83</c:f>
              <c:numCache>
                <c:formatCode>General</c:formatCode>
                <c:ptCount val="6"/>
                <c:pt idx="0">
                  <c:v>0.29</c:v>
                </c:pt>
                <c:pt idx="1">
                  <c:v>0.4</c:v>
                </c:pt>
                <c:pt idx="2">
                  <c:v>0.52</c:v>
                </c:pt>
                <c:pt idx="3">
                  <c:v>0.53</c:v>
                </c:pt>
                <c:pt idx="4">
                  <c:v>0.57</c:v>
                </c:pt>
                <c:pt idx="5">
                  <c:v>0.52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634498192"/>
        <c:axId val="634505408"/>
      </c:stockChart>
      <c:catAx>
        <c:axId val="634498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505408"/>
        <c:crosses val="autoZero"/>
        <c:auto val="1"/>
        <c:lblAlgn val="ctr"/>
        <c:lblOffset val="100"/>
        <c:noMultiLvlLbl val="0"/>
      </c:catAx>
      <c:valAx>
        <c:axId val="634505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498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2020-09-20T06:31:20Z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