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  <Override PartName="/word/theme/themeOverride2.xml" ContentType="application/vnd.openxmlformats-officedocument.themeOverride+xml"/>
  <Override PartName="/word/theme/themeOverride3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i w:val="0"/>
          <w:iCs w:val="0"/>
          <w:sz w:val="28"/>
          <w:szCs w:val="28"/>
          <w:lang w:val="en-US" w:eastAsia="zh-CN"/>
        </w:rPr>
        <w:t>SUPPLEMENTARY MATERIAL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</w:p>
    <w:tbl>
      <w:tblPr>
        <w:tblStyle w:val="2"/>
        <w:tblW w:w="10050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jc w:val="center"/>
        </w:trPr>
        <w:tc>
          <w:tcPr>
            <w:tcW w:w="1005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/>
                <w:sz w:val="18"/>
                <w:szCs w:val="18"/>
                <w:lang w:val="en-US" w:eastAsia="zh-CN"/>
              </w:rPr>
              <w:t>Supplementary Table 1.</w:t>
            </w:r>
            <w:bookmarkStart w:id="0" w:name="OLE_LINK1"/>
            <w:r>
              <w:rPr>
                <w:rFonts w:hint="default"/>
                <w:sz w:val="18"/>
                <w:szCs w:val="18"/>
                <w:lang w:val="en-US" w:eastAsia="zh-CN"/>
              </w:rPr>
              <w:t xml:space="preserve"> Risk of bias assessment based on ROBINS-I</w:t>
            </w:r>
            <w:bookmarkEnd w:id="0"/>
            <w:r>
              <w:rPr>
                <w:rFonts w:hint="eastAsia"/>
                <w:sz w:val="18"/>
                <w:szCs w:val="18"/>
                <w:vertAlign w:val="superscript"/>
                <w:lang w:val="en-US" w:eastAsia="zh-CN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Study，publication year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 confounding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 selection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participants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measure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ments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interventions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departures from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intended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interventions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due to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missing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data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measure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ments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outcomes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Bias in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selection of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reported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result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Overall bias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Peng J,2015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19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Buti M,2015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Fontaine H,2015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21</w:t>
            </w:r>
            <w:bookmarkStart w:id="1" w:name="_GoBack"/>
            <w:bookmarkEnd w:id="1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Chen L,2015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Hsu YC,2016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Park CH,2016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Jun BG,2016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Lin CC,2016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Nagata N,2016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Lee HA,2016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Siederdissen CH,2016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2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Siederdissen CH,2016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Muche M,2017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Karakaya F,2017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Low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Cao JW,2017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Berg T,2017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Jeng WJ,2018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Dalekos GN,2018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Papatheodoridis GV,2018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7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Rivino L,2018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Chi H,2018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3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Liu F,2018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Hsu YC,2018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41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Kranidioti H,2019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4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Hees SV,2019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4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Serious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Ascii"/>
                <w:sz w:val="15"/>
                <w:szCs w:val="15"/>
              </w:rPr>
            </w:pP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>Xie LQ,2019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</w:rPr>
              <w:t>4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  <w:vertAlign w:val="superscript"/>
                <w:lang w:val="en-US" w:eastAsia="zh-CN"/>
              </w:rPr>
              <w:t>4</w:t>
            </w:r>
            <w:r>
              <w:rPr>
                <w:rFonts w:hint="eastAsia" w:hAnsi="宋体" w:eastAsia="宋体" w:cs="宋体" w:asciiTheme="minorAscii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PN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N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Moderate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050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N: no, PN: probably no, PY: probably yes, Y: yes. </w:t>
            </w:r>
          </w:p>
        </w:tc>
      </w:tr>
    </w:tbl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</w:pPr>
    </w:p>
    <w:p>
      <w:pPr>
        <w:ind w:firstLine="1405" w:firstLineChars="5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SUPPLEMENTARY FIGURE LEGENDS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 1.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Flow chart of study search and selection</w:t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2. </w:t>
      </w:r>
      <w:r>
        <w:rPr>
          <w:rFonts w:hint="default"/>
          <w:sz w:val="24"/>
          <w:szCs w:val="24"/>
          <w:lang w:val="en-US" w:eastAsia="zh-CN"/>
        </w:rPr>
        <w:t xml:space="preserve">Forest plots of </w:t>
      </w:r>
      <w:r>
        <w:rPr>
          <w:rFonts w:hint="eastAsia"/>
          <w:sz w:val="24"/>
          <w:szCs w:val="24"/>
          <w:lang w:val="en-US" w:eastAsia="zh-CN"/>
        </w:rPr>
        <w:t xml:space="preserve">overall </w:t>
      </w:r>
      <w:r>
        <w:rPr>
          <w:rFonts w:hint="default"/>
          <w:sz w:val="24"/>
          <w:szCs w:val="24"/>
          <w:lang w:val="en-US" w:eastAsia="zh-CN"/>
        </w:rPr>
        <w:t xml:space="preserve">probabilities of biochemical relapse </w:t>
      </w:r>
      <w:r>
        <w:rPr>
          <w:rFonts w:hint="eastAsia"/>
          <w:sz w:val="24"/>
          <w:szCs w:val="24"/>
          <w:lang w:val="en-US" w:eastAsia="zh-CN"/>
        </w:rPr>
        <w:t xml:space="preserve">(BR) </w:t>
      </w:r>
      <w:r>
        <w:rPr>
          <w:rFonts w:hint="default"/>
          <w:sz w:val="24"/>
          <w:szCs w:val="24"/>
          <w:lang w:val="en-US" w:eastAsia="zh-CN"/>
        </w:rPr>
        <w:t>af</w:t>
      </w:r>
      <w:r>
        <w:rPr>
          <w:rFonts w:hint="eastAsia"/>
          <w:sz w:val="24"/>
          <w:szCs w:val="24"/>
          <w:lang w:val="en-US" w:eastAsia="zh-CN"/>
        </w:rPr>
        <w:t>t</w:t>
      </w:r>
      <w:r>
        <w:rPr>
          <w:rFonts w:hint="default"/>
          <w:sz w:val="24"/>
          <w:szCs w:val="24"/>
          <w:lang w:val="en-US" w:eastAsia="zh-CN"/>
        </w:rPr>
        <w:t xml:space="preserve">er </w:t>
      </w:r>
      <w:r>
        <w:rPr>
          <w:rFonts w:hint="eastAsia"/>
          <w:sz w:val="24"/>
          <w:szCs w:val="24"/>
          <w:lang w:val="en-US" w:eastAsia="zh-CN"/>
        </w:rPr>
        <w:t>NAs</w:t>
      </w:r>
      <w:r>
        <w:rPr>
          <w:rFonts w:hint="default"/>
          <w:sz w:val="24"/>
          <w:szCs w:val="24"/>
          <w:lang w:val="en-US" w:eastAsia="zh-CN"/>
        </w:rPr>
        <w:t xml:space="preserve"> cessation.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A: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All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B: HBeAg</w:t>
      </w:r>
      <w:r>
        <w:rPr>
          <w:rFonts w:hint="eastAsia"/>
          <w:sz w:val="24"/>
          <w:szCs w:val="24"/>
          <w:lang w:val="en-US" w:eastAsia="zh-CN"/>
        </w:rPr>
        <w:t>-</w:t>
      </w:r>
      <w:r>
        <w:rPr>
          <w:rFonts w:hint="default"/>
          <w:sz w:val="24"/>
          <w:szCs w:val="24"/>
          <w:lang w:val="en-US" w:eastAsia="zh-CN"/>
        </w:rPr>
        <w:t>positive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C: HBeAg-negative patients. ES means effect size, which refers to estimated probability.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3. </w:t>
      </w:r>
      <w:r>
        <w:rPr>
          <w:rFonts w:hint="default"/>
          <w:sz w:val="24"/>
          <w:szCs w:val="24"/>
          <w:lang w:val="en-US" w:eastAsia="zh-CN"/>
        </w:rPr>
        <w:t>The rates of off-NAs biological relapse (BR) during follow-up after NAs cessation. A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A</w:t>
      </w:r>
      <w:r>
        <w:rPr>
          <w:rFonts w:hint="default"/>
          <w:sz w:val="24"/>
          <w:szCs w:val="24"/>
          <w:lang w:val="en-US" w:eastAsia="zh-CN"/>
        </w:rPr>
        <w:t>ll patients</w:t>
      </w:r>
      <w:r>
        <w:rPr>
          <w:rFonts w:hint="eastAsia"/>
          <w:sz w:val="24"/>
          <w:szCs w:val="24"/>
          <w:lang w:val="en-US" w:eastAsia="zh-CN"/>
        </w:rPr>
        <w:t xml:space="preserve">, </w:t>
      </w:r>
      <w:r>
        <w:rPr>
          <w:rFonts w:hint="default"/>
          <w:sz w:val="24"/>
          <w:szCs w:val="24"/>
          <w:lang w:val="en-US" w:eastAsia="zh-CN"/>
        </w:rPr>
        <w:t>B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HBeAg-positive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C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HBeAg-negative patients.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Bars are 95% CI. Green lines are trend lines.</w:t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4.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P</w:t>
      </w:r>
      <w:r>
        <w:rPr>
          <w:rFonts w:hint="default"/>
          <w:sz w:val="24"/>
          <w:szCs w:val="24"/>
          <w:lang w:val="en-US" w:eastAsia="zh-CN"/>
        </w:rPr>
        <w:t>ublication bias</w:t>
      </w:r>
      <w:r>
        <w:rPr>
          <w:rFonts w:hint="eastAsia"/>
          <w:sz w:val="24"/>
          <w:szCs w:val="24"/>
          <w:lang w:val="en-US" w:eastAsia="zh-CN"/>
        </w:rPr>
        <w:t xml:space="preserve"> was assessed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by</w:t>
      </w:r>
      <w:r>
        <w:rPr>
          <w:rFonts w:hint="default"/>
          <w:sz w:val="24"/>
          <w:szCs w:val="24"/>
          <w:lang w:val="en-US" w:eastAsia="zh-CN"/>
        </w:rPr>
        <w:t xml:space="preserve"> Begg’s funnel plots and used Egger’s regression asymmetry test.</w:t>
      </w:r>
      <w:r>
        <w:rPr>
          <w:rFonts w:hint="eastAsia"/>
          <w:sz w:val="24"/>
          <w:szCs w:val="24"/>
          <w:lang w:val="en-US" w:eastAsia="zh-CN"/>
        </w:rPr>
        <w:t xml:space="preserve"> No evidence of publication bias was found</w:t>
      </w:r>
      <w:r>
        <w:rPr>
          <w:rFonts w:hint="default"/>
          <w:sz w:val="24"/>
          <w:szCs w:val="24"/>
          <w:lang w:val="en-US" w:eastAsia="zh-CN"/>
        </w:rPr>
        <w:t xml:space="preserve"> (P </w:t>
      </w:r>
      <w:r>
        <w:rPr>
          <w:rFonts w:hint="eastAsia"/>
          <w:sz w:val="24"/>
          <w:szCs w:val="24"/>
          <w:lang w:val="en-US" w:eastAsia="zh-CN"/>
        </w:rPr>
        <w:t>&gt;</w:t>
      </w:r>
      <w:r>
        <w:rPr>
          <w:rFonts w:hint="default"/>
          <w:sz w:val="24"/>
          <w:szCs w:val="24"/>
          <w:lang w:val="en-US" w:eastAsia="zh-CN"/>
        </w:rPr>
        <w:t xml:space="preserve"> 0.05).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73675" cy="4048760"/>
            <wp:effectExtent l="0" t="0" r="3175" b="8890"/>
            <wp:docPr id="4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04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Supplementary Figure 1.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Flow chart of study search and selection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r>
        <w:drawing>
          <wp:inline distT="0" distB="0" distL="114300" distR="114300">
            <wp:extent cx="3405505" cy="2697480"/>
            <wp:effectExtent l="0" t="0" r="4445" b="7620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05505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373120" cy="2270125"/>
            <wp:effectExtent l="0" t="0" r="17780" b="15875"/>
            <wp:docPr id="3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73120" cy="227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394710" cy="2374265"/>
            <wp:effectExtent l="0" t="0" r="15240" b="6985"/>
            <wp:docPr id="3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94710" cy="237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2. </w:t>
      </w:r>
      <w:r>
        <w:rPr>
          <w:rFonts w:hint="default"/>
          <w:sz w:val="24"/>
          <w:szCs w:val="24"/>
          <w:lang w:val="en-US" w:eastAsia="zh-CN"/>
        </w:rPr>
        <w:t xml:space="preserve">Forest plots of </w:t>
      </w:r>
      <w:r>
        <w:rPr>
          <w:rFonts w:hint="eastAsia"/>
          <w:sz w:val="24"/>
          <w:szCs w:val="24"/>
          <w:lang w:val="en-US" w:eastAsia="zh-CN"/>
        </w:rPr>
        <w:t xml:space="preserve">overall </w:t>
      </w:r>
      <w:r>
        <w:rPr>
          <w:rFonts w:hint="default"/>
          <w:sz w:val="24"/>
          <w:szCs w:val="24"/>
          <w:lang w:val="en-US" w:eastAsia="zh-CN"/>
        </w:rPr>
        <w:t xml:space="preserve">probabilities of biochemical relapse </w:t>
      </w:r>
      <w:r>
        <w:rPr>
          <w:rFonts w:hint="eastAsia"/>
          <w:sz w:val="24"/>
          <w:szCs w:val="24"/>
          <w:lang w:val="en-US" w:eastAsia="zh-CN"/>
        </w:rPr>
        <w:t xml:space="preserve">(BR) </w:t>
      </w:r>
      <w:r>
        <w:rPr>
          <w:rFonts w:hint="default"/>
          <w:sz w:val="24"/>
          <w:szCs w:val="24"/>
          <w:lang w:val="en-US" w:eastAsia="zh-CN"/>
        </w:rPr>
        <w:t>af</w:t>
      </w:r>
      <w:r>
        <w:rPr>
          <w:rFonts w:hint="eastAsia"/>
          <w:sz w:val="24"/>
          <w:szCs w:val="24"/>
          <w:lang w:val="en-US" w:eastAsia="zh-CN"/>
        </w:rPr>
        <w:t>t</w:t>
      </w:r>
      <w:r>
        <w:rPr>
          <w:rFonts w:hint="default"/>
          <w:sz w:val="24"/>
          <w:szCs w:val="24"/>
          <w:lang w:val="en-US" w:eastAsia="zh-CN"/>
        </w:rPr>
        <w:t xml:space="preserve">er </w:t>
      </w:r>
      <w:r>
        <w:rPr>
          <w:rFonts w:hint="eastAsia"/>
          <w:sz w:val="24"/>
          <w:szCs w:val="24"/>
          <w:lang w:val="en-US" w:eastAsia="zh-CN"/>
        </w:rPr>
        <w:t>NAs</w:t>
      </w:r>
      <w:r>
        <w:rPr>
          <w:rFonts w:hint="default"/>
          <w:sz w:val="24"/>
          <w:szCs w:val="24"/>
          <w:lang w:val="en-US" w:eastAsia="zh-CN"/>
        </w:rPr>
        <w:t xml:space="preserve"> cessation. A: All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B: HBeAg</w:t>
      </w:r>
      <w:r>
        <w:rPr>
          <w:rFonts w:hint="eastAsia"/>
          <w:sz w:val="24"/>
          <w:szCs w:val="24"/>
          <w:lang w:val="en-US" w:eastAsia="zh-CN"/>
        </w:rPr>
        <w:t>-</w:t>
      </w:r>
      <w:r>
        <w:rPr>
          <w:rFonts w:hint="default"/>
          <w:sz w:val="24"/>
          <w:szCs w:val="24"/>
          <w:lang w:val="en-US" w:eastAsia="zh-CN"/>
        </w:rPr>
        <w:t>positive patients, C: HBeAg-negative patients. ES means effect size, which refers to estimated probability.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drawing>
          <wp:inline distT="0" distB="0" distL="0" distR="0">
            <wp:extent cx="4117975" cy="1940560"/>
            <wp:effectExtent l="4445" t="4445" r="11430" b="17145"/>
            <wp:docPr id="34" name="图表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0" distR="0">
            <wp:extent cx="4100195" cy="1776095"/>
            <wp:effectExtent l="4445" t="4445" r="10160" b="10160"/>
            <wp:docPr id="36" name="图表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</w:pPr>
      <w:r>
        <w:drawing>
          <wp:inline distT="0" distB="0" distL="0" distR="0">
            <wp:extent cx="4138295" cy="2014220"/>
            <wp:effectExtent l="4445" t="4445" r="10160" b="19685"/>
            <wp:docPr id="39" name="图表 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3. </w:t>
      </w:r>
      <w:r>
        <w:rPr>
          <w:rFonts w:hint="default"/>
          <w:sz w:val="24"/>
          <w:szCs w:val="24"/>
          <w:lang w:val="en-US" w:eastAsia="zh-CN"/>
        </w:rPr>
        <w:t>The rates of off-NAs biological relapse (BR) during follow-up after NAs cessation. A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A</w:t>
      </w:r>
      <w:r>
        <w:rPr>
          <w:rFonts w:hint="default"/>
          <w:sz w:val="24"/>
          <w:szCs w:val="24"/>
          <w:lang w:val="en-US" w:eastAsia="zh-CN"/>
        </w:rPr>
        <w:t>ll patients</w:t>
      </w:r>
      <w:r>
        <w:rPr>
          <w:rFonts w:hint="eastAsia"/>
          <w:sz w:val="24"/>
          <w:szCs w:val="24"/>
          <w:lang w:val="en-US" w:eastAsia="zh-CN"/>
        </w:rPr>
        <w:t xml:space="preserve">, </w:t>
      </w:r>
      <w:r>
        <w:rPr>
          <w:rFonts w:hint="default"/>
          <w:sz w:val="24"/>
          <w:szCs w:val="24"/>
          <w:lang w:val="en-US" w:eastAsia="zh-CN"/>
        </w:rPr>
        <w:t>B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HBeAg-positive patients</w:t>
      </w:r>
      <w:r>
        <w:rPr>
          <w:rFonts w:hint="eastAsia"/>
          <w:sz w:val="24"/>
          <w:szCs w:val="24"/>
          <w:lang w:val="en-US" w:eastAsia="zh-CN"/>
        </w:rPr>
        <w:t>,</w:t>
      </w:r>
      <w:r>
        <w:rPr>
          <w:rFonts w:hint="default"/>
          <w:sz w:val="24"/>
          <w:szCs w:val="24"/>
          <w:lang w:val="en-US" w:eastAsia="zh-CN"/>
        </w:rPr>
        <w:t xml:space="preserve"> C</w:t>
      </w:r>
      <w:r>
        <w:rPr>
          <w:rFonts w:hint="eastAsia"/>
          <w:sz w:val="24"/>
          <w:szCs w:val="24"/>
          <w:lang w:val="en-US" w:eastAsia="zh-CN"/>
        </w:rPr>
        <w:t>:</w:t>
      </w:r>
      <w:r>
        <w:rPr>
          <w:rFonts w:hint="default"/>
          <w:sz w:val="24"/>
          <w:szCs w:val="24"/>
          <w:lang w:val="en-US" w:eastAsia="zh-CN"/>
        </w:rPr>
        <w:t xml:space="preserve"> HBeAg-negative patients.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/>
          <w:sz w:val="24"/>
          <w:szCs w:val="24"/>
          <w:lang w:val="en-US" w:eastAsia="zh-CN"/>
        </w:rPr>
        <w:t>Bars are 95% CI. Green lines are trend lines.</w:t>
      </w:r>
    </w:p>
    <w:p>
      <w:pPr>
        <w:widowControl w:val="0"/>
        <w:numPr>
          <w:ilvl w:val="0"/>
          <w:numId w:val="0"/>
        </w:numPr>
        <w:jc w:val="both"/>
      </w:pPr>
    </w:p>
    <w:p>
      <w:pPr>
        <w:widowControl w:val="0"/>
        <w:numPr>
          <w:ilvl w:val="0"/>
          <w:numId w:val="0"/>
        </w:numPr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3776345" cy="2666365"/>
            <wp:effectExtent l="0" t="0" r="14605" b="6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03735" cy="26858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Supplementary Figure 4.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P</w:t>
      </w:r>
      <w:r>
        <w:rPr>
          <w:rFonts w:hint="default"/>
          <w:sz w:val="24"/>
          <w:szCs w:val="24"/>
          <w:lang w:val="en-US" w:eastAsia="zh-CN"/>
        </w:rPr>
        <w:t>ublication bias</w:t>
      </w:r>
      <w:r>
        <w:rPr>
          <w:rFonts w:hint="eastAsia"/>
          <w:sz w:val="24"/>
          <w:szCs w:val="24"/>
          <w:lang w:val="en-US" w:eastAsia="zh-CN"/>
        </w:rPr>
        <w:t xml:space="preserve"> was assessed</w:t>
      </w:r>
      <w:r>
        <w:rPr>
          <w:rFonts w:hint="default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>by</w:t>
      </w:r>
      <w:r>
        <w:rPr>
          <w:rFonts w:hint="default"/>
          <w:sz w:val="24"/>
          <w:szCs w:val="24"/>
          <w:lang w:val="en-US" w:eastAsia="zh-CN"/>
        </w:rPr>
        <w:t xml:space="preserve"> Begg’s funnel plots and used Egger’s regression asymmetry test</w:t>
      </w:r>
      <w:r>
        <w:rPr>
          <w:rFonts w:hint="eastAsia"/>
          <w:sz w:val="24"/>
          <w:szCs w:val="24"/>
          <w:lang w:val="en-US" w:eastAsia="zh-CN"/>
        </w:rPr>
        <w:t>. No evidence of publication bias was found</w:t>
      </w:r>
      <w:r>
        <w:rPr>
          <w:rFonts w:hint="default"/>
          <w:sz w:val="24"/>
          <w:szCs w:val="24"/>
          <w:lang w:val="en-US" w:eastAsia="zh-CN"/>
        </w:rPr>
        <w:t xml:space="preserve"> (P </w:t>
      </w:r>
      <w:r>
        <w:rPr>
          <w:rFonts w:hint="eastAsia"/>
          <w:sz w:val="24"/>
          <w:szCs w:val="24"/>
          <w:lang w:val="en-US" w:eastAsia="zh-CN"/>
        </w:rPr>
        <w:t>&gt;</w:t>
      </w:r>
      <w:r>
        <w:rPr>
          <w:rFonts w:hint="default"/>
          <w:sz w:val="24"/>
          <w:szCs w:val="24"/>
          <w:lang w:val="en-US" w:eastAsia="zh-CN"/>
        </w:rPr>
        <w:t xml:space="preserve"> 0.05).</w:t>
      </w:r>
    </w:p>
    <w:p>
      <w:pPr>
        <w:widowControl w:val="0"/>
        <w:numPr>
          <w:ilvl w:val="0"/>
          <w:numId w:val="0"/>
        </w:numPr>
        <w:jc w:val="both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4552C"/>
    <w:rsid w:val="020A1ABF"/>
    <w:rsid w:val="08036D5F"/>
    <w:rsid w:val="0E4D5811"/>
    <w:rsid w:val="0F0C3197"/>
    <w:rsid w:val="1059379E"/>
    <w:rsid w:val="14160BE0"/>
    <w:rsid w:val="1964437B"/>
    <w:rsid w:val="21B948BF"/>
    <w:rsid w:val="273D701E"/>
    <w:rsid w:val="28176E60"/>
    <w:rsid w:val="306711FB"/>
    <w:rsid w:val="33693931"/>
    <w:rsid w:val="387C3335"/>
    <w:rsid w:val="3A2C16D4"/>
    <w:rsid w:val="3C1B06E9"/>
    <w:rsid w:val="4E1943EB"/>
    <w:rsid w:val="590628C9"/>
    <w:rsid w:val="5A2A03B6"/>
    <w:rsid w:val="62FE05EB"/>
    <w:rsid w:val="642D3DD7"/>
    <w:rsid w:val="6A5842ED"/>
    <w:rsid w:val="6CA91E57"/>
    <w:rsid w:val="6DF52942"/>
    <w:rsid w:val="730A73C1"/>
    <w:rsid w:val="7D1F67A1"/>
    <w:rsid w:val="7DD570E7"/>
    <w:rsid w:val="7E11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  <w:style w:type="character" w:customStyle="1" w:styleId="5">
    <w:name w:val="font21"/>
    <w:basedOn w:val="3"/>
    <w:qFormat/>
    <w:uiPriority w:val="0"/>
    <w:rPr>
      <w:rFonts w:hint="default" w:ascii="Arial-BoldMT" w:hAnsi="Arial-BoldMT" w:eastAsia="Arial-BoldMT" w:cs="Arial-BoldMT"/>
      <w:b/>
      <w:color w:val="000000"/>
      <w:sz w:val="24"/>
      <w:szCs w:val="24"/>
      <w:u w:val="none"/>
    </w:rPr>
  </w:style>
  <w:style w:type="character" w:customStyle="1" w:styleId="6">
    <w:name w:val="font11"/>
    <w:basedOn w:val="3"/>
    <w:qFormat/>
    <w:uiPriority w:val="0"/>
    <w:rPr>
      <w:rFonts w:ascii="ArialMT" w:hAnsi="ArialMT" w:eastAsia="ArialMT" w:cs="ArialMT"/>
      <w:color w:val="000000"/>
      <w:sz w:val="24"/>
      <w:szCs w:val="24"/>
      <w:u w:val="none"/>
    </w:rPr>
  </w:style>
  <w:style w:type="character" w:customStyle="1" w:styleId="7">
    <w:name w:val="font01"/>
    <w:basedOn w:val="3"/>
    <w:qFormat/>
    <w:uiPriority w:val="0"/>
    <w:rPr>
      <w:rFonts w:hint="default" w:ascii="ArialMT" w:hAnsi="ArialMT" w:eastAsia="ArialMT" w:cs="ArialMT"/>
      <w:color w:val="303030"/>
      <w:sz w:val="24"/>
      <w:szCs w:val="24"/>
      <w:u w:val="none"/>
    </w:rPr>
  </w:style>
  <w:style w:type="character" w:customStyle="1" w:styleId="8">
    <w:name w:val="fontstyle01"/>
    <w:basedOn w:val="3"/>
    <w:qFormat/>
    <w:uiPriority w:val="0"/>
    <w:rPr>
      <w:rFonts w:ascii="ArialMT" w:hAnsi="ArialMT" w:eastAsia="ArialMT" w:cs="Arial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2.xml"/><Relationship Id="rId8" Type="http://schemas.openxmlformats.org/officeDocument/2006/relationships/chart" Target="charts/chart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png"/><Relationship Id="rId10" Type="http://schemas.openxmlformats.org/officeDocument/2006/relationships/chart" Target="charts/chart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4" Type="http://schemas.microsoft.com/office/2011/relationships/chartColorStyle" Target="colors3.xml"/><Relationship Id="rId3" Type="http://schemas.microsoft.com/office/2011/relationships/chartStyle" Target="style3.xml"/><Relationship Id="rId2" Type="http://schemas.openxmlformats.org/officeDocument/2006/relationships/themeOverride" Target="../theme/themeOverride3.xml"/><Relationship Id="rId1" Type="http://schemas.openxmlformats.org/officeDocument/2006/relationships/package" Target="../embeddings/Workbook3.xlsx"/></Relationships>
</file>

<file path=word/charts/_rels/chart3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themeOverride" Target="../theme/themeOverride2.xml"/><Relationship Id="rId1" Type="http://schemas.openxmlformats.org/officeDocument/2006/relationships/package" Target="../embeddings/Workbook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All patients</a:t>
            </a:r>
            <a:endParaRPr 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'Figure2-3'!$B$54:$B$59</c:f>
              <c:numCache>
                <c:formatCode>General</c:formatCode>
                <c:ptCount val="6"/>
                <c:pt idx="0">
                  <c:v>0.42</c:v>
                </c:pt>
                <c:pt idx="1">
                  <c:v>0.41</c:v>
                </c:pt>
                <c:pt idx="2">
                  <c:v>0.59</c:v>
                </c:pt>
                <c:pt idx="3">
                  <c:v>0.56</c:v>
                </c:pt>
                <c:pt idx="4">
                  <c:v>0.6</c:v>
                </c:pt>
                <c:pt idx="5">
                  <c:v>0.62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'Figure2-3'!$C$54:$C$59</c:f>
              <c:numCache>
                <c:formatCode>General</c:formatCode>
                <c:ptCount val="6"/>
                <c:pt idx="0">
                  <c:v>0.15</c:v>
                </c:pt>
                <c:pt idx="1">
                  <c:v>0.27</c:v>
                </c:pt>
                <c:pt idx="2">
                  <c:v>0.31</c:v>
                </c:pt>
                <c:pt idx="3">
                  <c:v>0.35</c:v>
                </c:pt>
                <c:pt idx="4">
                  <c:v>0.36</c:v>
                </c:pt>
                <c:pt idx="5">
                  <c:v>0.37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'Figure2-3'!$A$54:$A$59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'Figure2-3'!$D$54:$D$59</c:f>
              <c:numCache>
                <c:formatCode>General</c:formatCode>
                <c:ptCount val="6"/>
                <c:pt idx="0">
                  <c:v>0.29</c:v>
                </c:pt>
                <c:pt idx="1">
                  <c:v>0.34</c:v>
                </c:pt>
                <c:pt idx="2">
                  <c:v>0.45</c:v>
                </c:pt>
                <c:pt idx="3">
                  <c:v>0.46</c:v>
                </c:pt>
                <c:pt idx="4">
                  <c:v>0.48</c:v>
                </c:pt>
                <c:pt idx="5">
                  <c:v>0.49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719526328"/>
        <c:axId val="719524688"/>
      </c:stockChart>
      <c:catAx>
        <c:axId val="71952632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24688"/>
        <c:crosses val="autoZero"/>
        <c:auto val="1"/>
        <c:lblAlgn val="ctr"/>
        <c:lblOffset val="100"/>
        <c:noMultiLvlLbl val="0"/>
      </c:catAx>
      <c:valAx>
        <c:axId val="719524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263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HBeAg-positive patients</a:t>
            </a:r>
            <a:endParaRPr lang="en-US" alt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46910329874555"/>
          <c:y val="0.422238112263139"/>
          <c:w val="0.828620102214651"/>
          <c:h val="0.429889166964605"/>
        </c:manualLayout>
      </c:layout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'Figure2-3'!$B$67:$B$72</c:f>
              <c:numCache>
                <c:formatCode>General</c:formatCode>
                <c:ptCount val="6"/>
                <c:pt idx="0">
                  <c:v>0.22</c:v>
                </c:pt>
                <c:pt idx="1">
                  <c:v>0.5</c:v>
                </c:pt>
                <c:pt idx="2">
                  <c:v>0.45</c:v>
                </c:pt>
                <c:pt idx="3">
                  <c:v>0.56</c:v>
                </c:pt>
                <c:pt idx="4">
                  <c:v>0.7</c:v>
                </c:pt>
                <c:pt idx="5">
                  <c:v>0.62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'Figure2-3'!$C$67:$C$72</c:f>
              <c:numCache>
                <c:formatCode>General</c:formatCode>
                <c:ptCount val="6"/>
                <c:pt idx="0">
                  <c:v>0.07</c:v>
                </c:pt>
                <c:pt idx="1">
                  <c:v>0.22</c:v>
                </c:pt>
                <c:pt idx="2">
                  <c:v>0.32</c:v>
                </c:pt>
                <c:pt idx="3">
                  <c:v>0.32</c:v>
                </c:pt>
                <c:pt idx="4">
                  <c:v>0.24</c:v>
                </c:pt>
                <c:pt idx="5">
                  <c:v>0.19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'Figure2-3'!$A$67:$A$72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'Figure2-3'!$D$67:$D$72</c:f>
              <c:numCache>
                <c:formatCode>General</c:formatCode>
                <c:ptCount val="6"/>
                <c:pt idx="0">
                  <c:v>0.15</c:v>
                </c:pt>
                <c:pt idx="1">
                  <c:v>0.36</c:v>
                </c:pt>
                <c:pt idx="2">
                  <c:v>0.39</c:v>
                </c:pt>
                <c:pt idx="3">
                  <c:v>0.44</c:v>
                </c:pt>
                <c:pt idx="4">
                  <c:v>0.47</c:v>
                </c:pt>
                <c:pt idx="5">
                  <c:v>0.4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760667256"/>
        <c:axId val="760660368"/>
      </c:stockChart>
      <c:catAx>
        <c:axId val="7606672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0660368"/>
        <c:crosses val="autoZero"/>
        <c:auto val="1"/>
        <c:lblAlgn val="ctr"/>
        <c:lblOffset val="100"/>
        <c:noMultiLvlLbl val="0"/>
      </c:catAx>
      <c:valAx>
        <c:axId val="76066036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606672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/>
              <a:t>HBeAg-negative patients</a:t>
            </a:r>
            <a:endParaRPr lang="en-US" altLang="zh-CN" sz="120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stockChart>
        <c:ser>
          <c:idx val="0"/>
          <c:order val="0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'Figure2-3'!$B$78:$B$83</c:f>
              <c:numCache>
                <c:formatCode>General</c:formatCode>
                <c:ptCount val="6"/>
                <c:pt idx="0">
                  <c:v>0.45</c:v>
                </c:pt>
                <c:pt idx="1">
                  <c:v>0.59</c:v>
                </c:pt>
                <c:pt idx="2">
                  <c:v>0.83</c:v>
                </c:pt>
                <c:pt idx="3">
                  <c:v>0.94</c:v>
                </c:pt>
                <c:pt idx="4">
                  <c:v>0.88</c:v>
                </c:pt>
                <c:pt idx="5">
                  <c:v>0.73</c:v>
                </c:pt>
              </c:numCache>
            </c:numRef>
          </c:val>
          <c:smooth val="0"/>
        </c:ser>
        <c:ser>
          <c:idx val="1"/>
          <c:order val="1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none"/>
          </c:marker>
          <c:dLbls>
            <c:delete val="1"/>
          </c:dLbls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'Figure2-3'!$C$78:$C$83</c:f>
              <c:numCache>
                <c:formatCode>General</c:formatCode>
                <c:ptCount val="6"/>
                <c:pt idx="0">
                  <c:v>0.07</c:v>
                </c:pt>
                <c:pt idx="1">
                  <c:v>0.2</c:v>
                </c:pt>
                <c:pt idx="2">
                  <c:v>0.25</c:v>
                </c:pt>
                <c:pt idx="3">
                  <c:v>0.11</c:v>
                </c:pt>
                <c:pt idx="4">
                  <c:v>0.27</c:v>
                </c:pt>
                <c:pt idx="5">
                  <c:v>0.25</c:v>
                </c:pt>
              </c:numCache>
            </c:numRef>
          </c:val>
          <c:smooth val="0"/>
        </c:ser>
        <c:ser>
          <c:idx val="2"/>
          <c:order val="2"/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6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  <a:scene3d>
                <a:camera prst="orthographicFront">
                  <a:rot lat="0" lon="0" rev="0"/>
                </a:camera>
                <a:lightRig rig="threePt" dir="t">
                  <a:rot lat="0" lon="0" rev="1200000"/>
                </a:lightRig>
              </a:scene3d>
              <a:sp3d>
                <a:bevelT w="63500" h="25400"/>
              </a:sp3d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trendline>
            <c:spPr>
              <a:ln w="19050" cap="rnd">
                <a:solidFill>
                  <a:schemeClr val="accent3"/>
                </a:solidFill>
              </a:ln>
              <a:effectLst/>
            </c:spPr>
            <c:trendlineType val="linear"/>
            <c:dispRSqr val="0"/>
            <c:dispEq val="0"/>
          </c:trendline>
          <c:cat>
            <c:numRef>
              <c:f>'Figure2-3'!$A$78:$A$83</c:f>
              <c:numCache>
                <c:formatCode>General</c:formatCode>
                <c:ptCount val="6"/>
                <c:pt idx="0">
                  <c:v>6</c:v>
                </c:pt>
                <c:pt idx="1">
                  <c:v>12</c:v>
                </c:pt>
                <c:pt idx="2">
                  <c:v>24</c:v>
                </c:pt>
                <c:pt idx="3">
                  <c:v>36</c:v>
                </c:pt>
                <c:pt idx="4">
                  <c:v>48</c:v>
                </c:pt>
                <c:pt idx="5">
                  <c:v>60</c:v>
                </c:pt>
              </c:numCache>
            </c:numRef>
          </c:cat>
          <c:val>
            <c:numRef>
              <c:f>'Figure2-3'!$D$78:$D$83</c:f>
              <c:numCache>
                <c:formatCode>General</c:formatCode>
                <c:ptCount val="6"/>
                <c:pt idx="0">
                  <c:v>0.26</c:v>
                </c:pt>
                <c:pt idx="1">
                  <c:v>0.39</c:v>
                </c:pt>
                <c:pt idx="2">
                  <c:v>0.54</c:v>
                </c:pt>
                <c:pt idx="3">
                  <c:v>0.52</c:v>
                </c:pt>
                <c:pt idx="4">
                  <c:v>0.58</c:v>
                </c:pt>
                <c:pt idx="5">
                  <c:v>0.49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634498192"/>
        <c:axId val="634505408"/>
      </c:stockChart>
      <c:catAx>
        <c:axId val="6344981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Follow-up after NAs cessation(months)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4505408"/>
        <c:crosses val="autoZero"/>
        <c:auto val="1"/>
        <c:lblAlgn val="ctr"/>
        <c:lblOffset val="100"/>
        <c:noMultiLvlLbl val="0"/>
      </c:catAx>
      <c:valAx>
        <c:axId val="63450540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The rats of off-NAs BR</a:t>
                </a:r>
                <a:endParaRPr lang="en-US" altLang="zh-CN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344981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3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2020-07-21T02:38:53Z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