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8BA093" w14:textId="77777777" w:rsidR="002753C7" w:rsidRDefault="002753C7" w:rsidP="002753C7">
      <w:pPr>
        <w:spacing w:before="120" w:after="240" w:line="479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Extended Data Figure 1. Scheme of induction of Mφs and vascular cells from human iPSCs. </w:t>
      </w:r>
      <w:r>
        <w:rPr>
          <w:rFonts w:ascii="Times New Roman" w:eastAsia="Times New Roman" w:hAnsi="Times New Roman" w:cs="Times New Roman"/>
        </w:rPr>
        <w:t xml:space="preserve">Schematic diagrams of </w:t>
      </w:r>
      <w:r>
        <w:rPr>
          <w:rFonts w:ascii="Times New Roman" w:eastAsia="Times New Roman" w:hAnsi="Times New Roman" w:cs="Times New Roman"/>
          <w:i/>
        </w:rPr>
        <w:t>in vitro</w:t>
      </w:r>
      <w:r>
        <w:rPr>
          <w:rFonts w:ascii="Times New Roman" w:eastAsia="Times New Roman" w:hAnsi="Times New Roman" w:cs="Times New Roman"/>
        </w:rPr>
        <w:t xml:space="preserve"> protocols for differentiation of human iPSCs into </w:t>
      </w:r>
      <w:r>
        <w:rPr>
          <w:rFonts w:ascii="Times New Roman" w:eastAsia="Times New Roman" w:hAnsi="Times New Roman" w:cs="Times New Roman"/>
          <w:b/>
        </w:rPr>
        <w:t>a)</w:t>
      </w:r>
      <w:r>
        <w:rPr>
          <w:rFonts w:ascii="Times New Roman" w:eastAsia="Times New Roman" w:hAnsi="Times New Roman" w:cs="Times New Roman"/>
        </w:rPr>
        <w:t xml:space="preserve"> Mφs, </w:t>
      </w:r>
      <w:r>
        <w:rPr>
          <w:rFonts w:ascii="Times New Roman" w:eastAsia="Times New Roman" w:hAnsi="Times New Roman" w:cs="Times New Roman"/>
          <w:b/>
        </w:rPr>
        <w:t>b)</w:t>
      </w:r>
      <w:r>
        <w:rPr>
          <w:rFonts w:ascii="Times New Roman" w:eastAsia="Times New Roman" w:hAnsi="Times New Roman" w:cs="Times New Roman"/>
        </w:rPr>
        <w:t xml:space="preserve"> VECs, and </w:t>
      </w:r>
      <w:r>
        <w:rPr>
          <w:rFonts w:ascii="Times New Roman" w:eastAsia="Times New Roman" w:hAnsi="Times New Roman" w:cs="Times New Roman"/>
          <w:b/>
        </w:rPr>
        <w:t>c)</w:t>
      </w:r>
      <w:r>
        <w:rPr>
          <w:rFonts w:ascii="Times New Roman" w:eastAsia="Times New Roman" w:hAnsi="Times New Roman" w:cs="Times New Roman"/>
        </w:rPr>
        <w:t xml:space="preserve"> VSMCs. C3H10T1/2, mouse mesenchymal stromal cells; VEGF, vascular endothelial growth factor; BMP4, bone morphogenetic protein 4; bFGF, basic fibroblast growth factor; GM-CSF, granulocyte-macrophage colony-stimulating factor; M-CSF, macrophage colony-stimulating factor; G-CSF, granulocyte-colony stimulating factor; IL-3, interleukin 3; SCF, stem cell factor TPO, thrombopoietin; VEGFR2, </w:t>
      </w:r>
      <w:r>
        <w:rPr>
          <w:rFonts w:ascii="Times New Roman" w:eastAsia="Times New Roman" w:hAnsi="Times New Roman" w:cs="Times New Roman"/>
          <w:color w:val="0E101A"/>
          <w:highlight w:val="white"/>
        </w:rPr>
        <w:t>vascular endothelial growth factor receptor 2</w:t>
      </w:r>
      <w:r>
        <w:rPr>
          <w:rFonts w:ascii="Times New Roman" w:eastAsia="Times New Roman" w:hAnsi="Times New Roman" w:cs="Times New Roman"/>
        </w:rPr>
        <w:t>.</w:t>
      </w:r>
    </w:p>
    <w:p w14:paraId="139C1EEA" w14:textId="77777777" w:rsidR="002753C7" w:rsidRDefault="002753C7" w:rsidP="002753C7">
      <w:pPr>
        <w:spacing w:before="120" w:after="24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Extended Data Figure 2. Differentiation and characterization of human iPSC-derived Mφs and vascular cells. a)</w:t>
      </w:r>
      <w:r>
        <w:rPr>
          <w:rFonts w:ascii="Times New Roman" w:eastAsia="Times New Roman" w:hAnsi="Times New Roman" w:cs="Times New Roman"/>
        </w:rPr>
        <w:t xml:space="preserve"> Representative bar graphs for mRNA levels of hematopoietic and Mφ-specific genes normalized by GAPDH mRNA.</w:t>
      </w:r>
      <w:r w:rsidRPr="00B10A6F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b) Flow cytometric plots for the expression of cell surface markers on Mφs induced from iPSCs. Cells were stained with appropriate antibodies on day 14 and 21 of differentiation. </w:t>
      </w:r>
      <w:r>
        <w:rPr>
          <w:rFonts w:ascii="Times New Roman" w:eastAsia="Times New Roman" w:hAnsi="Times New Roman" w:cs="Times New Roman"/>
          <w:b/>
        </w:rPr>
        <w:t>c)</w:t>
      </w:r>
      <w:r>
        <w:rPr>
          <w:rFonts w:ascii="Times New Roman" w:eastAsia="Times New Roman" w:hAnsi="Times New Roman" w:cs="Times New Roman"/>
        </w:rPr>
        <w:t xml:space="preserve"> Giemsa-stained images of day 14 HPCs (left) and day 21 mature iMφs (right). </w:t>
      </w:r>
      <w:r>
        <w:rPr>
          <w:rFonts w:ascii="Times New Roman" w:eastAsia="Times New Roman" w:hAnsi="Times New Roman" w:cs="Times New Roman"/>
          <w:b/>
        </w:rPr>
        <w:t xml:space="preserve">d) </w:t>
      </w:r>
      <w:r>
        <w:rPr>
          <w:rFonts w:ascii="Times New Roman" w:eastAsia="Times New Roman" w:hAnsi="Times New Roman" w:cs="Times New Roman"/>
        </w:rPr>
        <w:t xml:space="preserve">Representative flow cytometry plots for phagocytosis assay on day 14 and 21 of differentiation (left) and MFI of phagocytosis (right). </w:t>
      </w:r>
      <w:r>
        <w:rPr>
          <w:rFonts w:ascii="Times New Roman" w:eastAsia="Times New Roman" w:hAnsi="Times New Roman" w:cs="Times New Roman"/>
          <w:b/>
        </w:rPr>
        <w:t>e)</w:t>
      </w:r>
      <w:r>
        <w:rPr>
          <w:rFonts w:ascii="Times New Roman" w:eastAsia="Times New Roman" w:hAnsi="Times New Roman" w:cs="Times New Roman"/>
        </w:rPr>
        <w:t xml:space="preserve"> mRNA levels of pro-inflammatory cytokines after dose-dependent treatment of LPS normalized by </w:t>
      </w:r>
      <w:r>
        <w:rPr>
          <w:rFonts w:ascii="Times New Roman" w:eastAsia="Times New Roman" w:hAnsi="Times New Roman" w:cs="Times New Roman"/>
          <w:i/>
        </w:rPr>
        <w:t>GAPDH</w:t>
      </w:r>
      <w:r>
        <w:rPr>
          <w:rFonts w:ascii="Times New Roman" w:eastAsia="Times New Roman" w:hAnsi="Times New Roman" w:cs="Times New Roman"/>
        </w:rPr>
        <w:t xml:space="preserve"> mRNA. </w:t>
      </w:r>
      <w:r>
        <w:rPr>
          <w:rFonts w:ascii="Times New Roman" w:eastAsia="Times New Roman" w:hAnsi="Times New Roman" w:cs="Times New Roman"/>
          <w:b/>
        </w:rPr>
        <w:t>f)</w:t>
      </w:r>
      <w:r>
        <w:rPr>
          <w:rFonts w:ascii="Times New Roman" w:eastAsia="Times New Roman" w:hAnsi="Times New Roman" w:cs="Times New Roman"/>
        </w:rPr>
        <w:t xml:space="preserve"> Flow cytometric analysis of different VEC cell surface markers on 17 of differentiation. </w:t>
      </w:r>
      <w:r>
        <w:rPr>
          <w:rFonts w:ascii="Times New Roman" w:eastAsia="Times New Roman" w:hAnsi="Times New Roman" w:cs="Times New Roman"/>
          <w:b/>
        </w:rPr>
        <w:t xml:space="preserve">g) </w:t>
      </w:r>
      <w:r>
        <w:rPr>
          <w:rFonts w:ascii="Times New Roman" w:eastAsia="Times New Roman" w:hAnsi="Times New Roman" w:cs="Times New Roman"/>
        </w:rPr>
        <w:t>Phase-contrast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microscopic images of iPSCs (left) and mature iVECs (right). </w:t>
      </w:r>
      <w:r>
        <w:rPr>
          <w:rFonts w:ascii="Times New Roman" w:eastAsia="Times New Roman" w:hAnsi="Times New Roman" w:cs="Times New Roman"/>
          <w:b/>
        </w:rPr>
        <w:t xml:space="preserve">h) </w:t>
      </w:r>
      <w:r>
        <w:rPr>
          <w:rFonts w:ascii="Times New Roman" w:eastAsia="Times New Roman" w:hAnsi="Times New Roman" w:cs="Times New Roman"/>
        </w:rPr>
        <w:t xml:space="preserve">mRNA expression levels of VEC maturation genes normalized by </w:t>
      </w:r>
      <w:r>
        <w:rPr>
          <w:rFonts w:ascii="Times New Roman" w:eastAsia="Times New Roman" w:hAnsi="Times New Roman" w:cs="Times New Roman"/>
          <w:i/>
        </w:rPr>
        <w:t>GAPDH</w:t>
      </w:r>
      <w:r>
        <w:rPr>
          <w:rFonts w:ascii="Times New Roman" w:eastAsia="Times New Roman" w:hAnsi="Times New Roman" w:cs="Times New Roman"/>
        </w:rPr>
        <w:t xml:space="preserve"> mRNA. </w:t>
      </w:r>
      <w:r>
        <w:rPr>
          <w:rFonts w:ascii="Times New Roman" w:eastAsia="Times New Roman" w:hAnsi="Times New Roman" w:cs="Times New Roman"/>
          <w:b/>
        </w:rPr>
        <w:t>i)</w:t>
      </w:r>
      <w:r>
        <w:rPr>
          <w:rFonts w:ascii="Times New Roman" w:eastAsia="Times New Roman" w:hAnsi="Times New Roman" w:cs="Times New Roman"/>
        </w:rPr>
        <w:t xml:space="preserve"> Immunocytochemistry of VE-cad expression (left) and VE-cad with DAPI (right). </w:t>
      </w:r>
      <w:r>
        <w:rPr>
          <w:rFonts w:ascii="Times New Roman" w:eastAsia="Times New Roman" w:hAnsi="Times New Roman" w:cs="Times New Roman"/>
          <w:b/>
        </w:rPr>
        <w:t>j)</w:t>
      </w:r>
      <w:r>
        <w:rPr>
          <w:rFonts w:ascii="Times New Roman" w:eastAsia="Times New Roman" w:hAnsi="Times New Roman" w:cs="Times New Roman"/>
        </w:rPr>
        <w:t xml:space="preserve"> Acetylated low-density lipoprotein uptake between primary human aortic endothelial cells (HAECs; top) and iVECs (bottom). </w:t>
      </w:r>
      <w:r>
        <w:rPr>
          <w:rFonts w:ascii="Times New Roman" w:eastAsia="Times New Roman" w:hAnsi="Times New Roman" w:cs="Times New Roman"/>
          <w:b/>
        </w:rPr>
        <w:t xml:space="preserve">k) </w:t>
      </w:r>
      <w:r>
        <w:rPr>
          <w:rFonts w:ascii="Times New Roman" w:eastAsia="Times New Roman" w:hAnsi="Times New Roman" w:cs="Times New Roman"/>
        </w:rPr>
        <w:t>Phase-contrast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microscopic image of iPSCs (left) and mature iVSMCs (right). </w:t>
      </w:r>
      <w:r>
        <w:rPr>
          <w:rFonts w:ascii="Times New Roman" w:eastAsia="Times New Roman" w:hAnsi="Times New Roman" w:cs="Times New Roman"/>
          <w:b/>
        </w:rPr>
        <w:t>l)</w:t>
      </w:r>
      <w:r>
        <w:rPr>
          <w:rFonts w:ascii="Times New Roman" w:eastAsia="Times New Roman" w:hAnsi="Times New Roman" w:cs="Times New Roman"/>
        </w:rPr>
        <w:t xml:space="preserve"> Immunocytochemistry of </w:t>
      </w:r>
      <w:r>
        <w:rPr>
          <w:rFonts w:ascii="Times New Roman" w:eastAsia="Times New Roman" w:hAnsi="Times New Roman" w:cs="Times New Roman"/>
          <w:color w:val="202124"/>
          <w:highlight w:val="white"/>
        </w:rPr>
        <w:t>α</w:t>
      </w:r>
      <w:r>
        <w:rPr>
          <w:rFonts w:ascii="Times New Roman" w:eastAsia="Times New Roman" w:hAnsi="Times New Roman" w:cs="Times New Roman"/>
        </w:rPr>
        <w:t xml:space="preserve">-SMA (far left), calponin-1 (left), </w:t>
      </w:r>
      <w:r>
        <w:rPr>
          <w:rFonts w:ascii="Times New Roman" w:eastAsia="Times New Roman" w:hAnsi="Times New Roman" w:cs="Times New Roman"/>
          <w:color w:val="202124"/>
          <w:highlight w:val="white"/>
        </w:rPr>
        <w:t>α</w:t>
      </w:r>
      <w:r>
        <w:rPr>
          <w:rFonts w:ascii="Times New Roman" w:eastAsia="Times New Roman" w:hAnsi="Times New Roman" w:cs="Times New Roman"/>
        </w:rPr>
        <w:t xml:space="preserve">-SMA with calponin-1 (right), and </w:t>
      </w:r>
      <w:r>
        <w:rPr>
          <w:rFonts w:ascii="Times New Roman" w:eastAsia="Times New Roman" w:hAnsi="Times New Roman" w:cs="Times New Roman"/>
          <w:color w:val="202124"/>
          <w:highlight w:val="white"/>
        </w:rPr>
        <w:t>α</w:t>
      </w:r>
      <w:r>
        <w:rPr>
          <w:rFonts w:ascii="Times New Roman" w:eastAsia="Times New Roman" w:hAnsi="Times New Roman" w:cs="Times New Roman"/>
        </w:rPr>
        <w:t xml:space="preserve">-SMA with calponin-1 with DAPI (far right). </w:t>
      </w:r>
      <w:r>
        <w:rPr>
          <w:rFonts w:ascii="Times New Roman" w:eastAsia="Times New Roman" w:hAnsi="Times New Roman" w:cs="Times New Roman"/>
          <w:b/>
        </w:rPr>
        <w:t xml:space="preserve">m) </w:t>
      </w:r>
      <w:r>
        <w:rPr>
          <w:rFonts w:ascii="Times New Roman" w:eastAsia="Times New Roman" w:hAnsi="Times New Roman" w:cs="Times New Roman"/>
        </w:rPr>
        <w:t xml:space="preserve">mRNA expression levels of VSMC maturation genes normalized by </w:t>
      </w:r>
      <w:r>
        <w:rPr>
          <w:rFonts w:ascii="Times New Roman" w:eastAsia="Times New Roman" w:hAnsi="Times New Roman" w:cs="Times New Roman"/>
          <w:i/>
        </w:rPr>
        <w:t>GAPDH</w:t>
      </w:r>
      <w:r>
        <w:rPr>
          <w:rFonts w:ascii="Times New Roman" w:eastAsia="Times New Roman" w:hAnsi="Times New Roman" w:cs="Times New Roman"/>
        </w:rPr>
        <w:t xml:space="preserve"> mRNA. Data are shown as the mean </w:t>
      </w:r>
      <w:r>
        <w:rPr>
          <w:rFonts w:ascii="Calibri" w:eastAsia="Calibri" w:hAnsi="Calibri" w:cs="Calibri"/>
        </w:rPr>
        <w:t>±</w:t>
      </w:r>
      <w:r>
        <w:rPr>
          <w:rFonts w:ascii="Times New Roman" w:eastAsia="Times New Roman" w:hAnsi="Times New Roman" w:cs="Times New Roman"/>
        </w:rPr>
        <w:t xml:space="preserve"> SEM of three independent experiments. *p &lt; 0.05, **p &lt; 0.01, ***p &lt; 0.001, ****p &lt; 0.0001. ns, not significant.</w:t>
      </w:r>
    </w:p>
    <w:p w14:paraId="675AC60E" w14:textId="77777777" w:rsidR="002753C7" w:rsidRDefault="002753C7" w:rsidP="002753C7">
      <w:pPr>
        <w:spacing w:before="120" w:after="120"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Extended Data Figure 3. Comparisons between healthy- and WS-iMφs and iPSC-induced vascular cells. a)</w:t>
      </w:r>
      <w:r>
        <w:rPr>
          <w:rFonts w:ascii="Times New Roman" w:eastAsia="Times New Roman" w:hAnsi="Times New Roman" w:cs="Times New Roman"/>
        </w:rPr>
        <w:t xml:space="preserve"> Flow cytometric analysis of cell surface markers of HPCs (left) and representative bar graph of CD34</w:t>
      </w:r>
      <w:r>
        <w:rPr>
          <w:rFonts w:ascii="Times New Roman" w:eastAsia="Times New Roman" w:hAnsi="Times New Roman" w:cs="Times New Roman"/>
          <w:vertAlign w:val="superscript"/>
        </w:rPr>
        <w:t xml:space="preserve">+ </w:t>
      </w:r>
      <w:r>
        <w:rPr>
          <w:rFonts w:ascii="Times New Roman" w:eastAsia="Times New Roman" w:hAnsi="Times New Roman" w:cs="Times New Roman"/>
        </w:rPr>
        <w:t>CD43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 xml:space="preserve"> cells (right) induced from healthy- and WS-iPSCs on day 14 of differentiation. </w:t>
      </w:r>
      <w:r>
        <w:rPr>
          <w:rFonts w:ascii="Times New Roman" w:eastAsia="Times New Roman" w:hAnsi="Times New Roman" w:cs="Times New Roman"/>
          <w:b/>
        </w:rPr>
        <w:t>b)</w:t>
      </w:r>
      <w:r>
        <w:rPr>
          <w:rFonts w:ascii="Times New Roman" w:eastAsia="Times New Roman" w:hAnsi="Times New Roman" w:cs="Times New Roman"/>
        </w:rPr>
        <w:t xml:space="preserve"> Flow cytometric analysis of cell surface markers of VPCs (left) and representative bar graph of VEGFR2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 xml:space="preserve"> CD34- cells (middle) and CD34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 xml:space="preserve"> cells (right) induced from healthy- and WS-iPSCs on day 10 of differentiation. </w:t>
      </w:r>
      <w:r>
        <w:rPr>
          <w:rFonts w:ascii="Times New Roman" w:eastAsia="Times New Roman" w:hAnsi="Times New Roman" w:cs="Times New Roman"/>
          <w:b/>
        </w:rPr>
        <w:t>c)</w:t>
      </w:r>
      <w:r>
        <w:rPr>
          <w:rFonts w:ascii="Times New Roman" w:eastAsia="Times New Roman" w:hAnsi="Times New Roman" w:cs="Times New Roman"/>
        </w:rPr>
        <w:t xml:space="preserve"> Absolute numbers of healthy- and WS-iVECs (top) and healthy- and WS-iVSMCs (bottom) on day 17 of differentiation. </w:t>
      </w:r>
      <w:r>
        <w:rPr>
          <w:rFonts w:ascii="Times New Roman" w:eastAsia="Times New Roman" w:hAnsi="Times New Roman" w:cs="Times New Roman"/>
          <w:b/>
        </w:rPr>
        <w:t xml:space="preserve">d) </w:t>
      </w:r>
      <w:r>
        <w:rPr>
          <w:rFonts w:ascii="Times New Roman" w:eastAsia="Times New Roman" w:hAnsi="Times New Roman" w:cs="Times New Roman"/>
        </w:rPr>
        <w:t>Schematic diagram of oxLDL treatment in iMφs on day 21 of differentiation.</w:t>
      </w:r>
      <w:r>
        <w:rPr>
          <w:rFonts w:ascii="Times New Roman" w:eastAsia="Times New Roman" w:hAnsi="Times New Roman" w:cs="Times New Roman"/>
          <w:b/>
        </w:rPr>
        <w:t xml:space="preserve"> e) </w:t>
      </w:r>
      <w:r>
        <w:rPr>
          <w:rFonts w:ascii="Times New Roman" w:eastAsia="Times New Roman" w:hAnsi="Times New Roman" w:cs="Times New Roman"/>
        </w:rPr>
        <w:t>Flow cytometric analysis of oxLDL uptake by healthy- and WS-iMφs (left) and calculated percent foam cell formation (middle) and oxLDL MFI (right). Percent foam cell formation was calculated from the oxLDL</w:t>
      </w:r>
      <w:r>
        <w:rPr>
          <w:rFonts w:ascii="Times New Roman" w:eastAsia="Times New Roman" w:hAnsi="Times New Roman" w:cs="Times New Roman"/>
          <w:vertAlign w:val="superscript"/>
        </w:rPr>
        <w:t xml:space="preserve">+ </w:t>
      </w:r>
      <w:r>
        <w:rPr>
          <w:rFonts w:ascii="Times New Roman" w:eastAsia="Times New Roman" w:hAnsi="Times New Roman" w:cs="Times New Roman"/>
        </w:rPr>
        <w:t>CD11b</w:t>
      </w:r>
      <w:r>
        <w:rPr>
          <w:rFonts w:ascii="Times New Roman" w:eastAsia="Times New Roman" w:hAnsi="Times New Roman" w:cs="Times New Roman"/>
          <w:vertAlign w:val="superscript"/>
        </w:rPr>
        <w:t xml:space="preserve">+ </w:t>
      </w:r>
      <w:r>
        <w:rPr>
          <w:rFonts w:ascii="Times New Roman" w:eastAsia="Times New Roman" w:hAnsi="Times New Roman" w:cs="Times New Roman"/>
        </w:rPr>
        <w:t>cell population.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Data are shown as the mean </w:t>
      </w:r>
      <w:r>
        <w:rPr>
          <w:rFonts w:ascii="Calibri" w:eastAsia="Calibri" w:hAnsi="Calibri" w:cs="Calibri"/>
        </w:rPr>
        <w:t>±</w:t>
      </w:r>
      <w:r>
        <w:rPr>
          <w:rFonts w:ascii="Times New Roman" w:eastAsia="Times New Roman" w:hAnsi="Times New Roman" w:cs="Times New Roman"/>
        </w:rPr>
        <w:t xml:space="preserve"> SEM of three independent experiments. ns, not significant.</w:t>
      </w:r>
    </w:p>
    <w:p w14:paraId="206CF921" w14:textId="77777777" w:rsidR="002753C7" w:rsidRDefault="002753C7" w:rsidP="002753C7">
      <w:pPr>
        <w:spacing w:before="120" w:after="24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Extended Data Figure 4. </w:t>
      </w:r>
      <w:r>
        <w:rPr>
          <w:rFonts w:ascii="Times New Roman" w:eastAsia="Times New Roman" w:hAnsi="Times New Roman" w:cs="Times New Roman"/>
          <w:b/>
          <w:i/>
        </w:rPr>
        <w:t>In vitro</w:t>
      </w:r>
      <w:r>
        <w:rPr>
          <w:rFonts w:ascii="Times New Roman" w:eastAsia="Times New Roman" w:hAnsi="Times New Roman" w:cs="Times New Roman"/>
          <w:b/>
        </w:rPr>
        <w:t xml:space="preserve"> iMφ and iPSC-induced vascular cell co-culture system. a)</w:t>
      </w:r>
      <w:r>
        <w:rPr>
          <w:rFonts w:ascii="Times New Roman" w:eastAsia="Times New Roman" w:hAnsi="Times New Roman" w:cs="Times New Roman"/>
        </w:rPr>
        <w:t xml:space="preserve"> Schematic diagrams of </w:t>
      </w:r>
      <w:r>
        <w:rPr>
          <w:rFonts w:ascii="Times New Roman" w:eastAsia="Times New Roman" w:hAnsi="Times New Roman" w:cs="Times New Roman"/>
          <w:i/>
        </w:rPr>
        <w:t>in vitro</w:t>
      </w:r>
      <w:r>
        <w:rPr>
          <w:rFonts w:ascii="Times New Roman" w:eastAsia="Times New Roman" w:hAnsi="Times New Roman" w:cs="Times New Roman"/>
        </w:rPr>
        <w:t xml:space="preserve"> 2D co-culture of iMφs with iPSC-induced vascular cells. </w:t>
      </w:r>
      <w:r>
        <w:rPr>
          <w:rFonts w:ascii="Times New Roman" w:eastAsia="Times New Roman" w:hAnsi="Times New Roman" w:cs="Times New Roman"/>
          <w:b/>
        </w:rPr>
        <w:t>b)</w:t>
      </w:r>
      <w:r>
        <w:rPr>
          <w:rFonts w:ascii="Times New Roman" w:eastAsia="Times New Roman" w:hAnsi="Times New Roman" w:cs="Times New Roman"/>
        </w:rPr>
        <w:t xml:space="preserve"> Schematic diagram of endothelial dysfunction of WS-iVECs after co-culture with iMφs. </w:t>
      </w:r>
      <w:r>
        <w:rPr>
          <w:rFonts w:ascii="Times New Roman" w:eastAsia="Times New Roman" w:hAnsi="Times New Roman" w:cs="Times New Roman"/>
          <w:b/>
        </w:rPr>
        <w:t>c)</w:t>
      </w:r>
      <w:r>
        <w:rPr>
          <w:rFonts w:ascii="Times New Roman" w:eastAsia="Times New Roman" w:hAnsi="Times New Roman" w:cs="Times New Roman"/>
        </w:rPr>
        <w:t xml:space="preserve"> Schematic diagram of VSMC phenotype switching of WS-iVSMCs after co-culture with inflammatory iMφs.</w:t>
      </w:r>
    </w:p>
    <w:p w14:paraId="0F9E2C00" w14:textId="77777777" w:rsidR="002753C7" w:rsidRDefault="002753C7" w:rsidP="002753C7">
      <w:pPr>
        <w:spacing w:before="120" w:after="24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Extended Data Figure 5. RNA-seq analysis reveals a low response to stress in WS-iMφs. a)</w:t>
      </w:r>
      <w:r>
        <w:rPr>
          <w:rFonts w:ascii="Times New Roman" w:eastAsia="Times New Roman" w:hAnsi="Times New Roman" w:cs="Times New Roman"/>
        </w:rPr>
        <w:t xml:space="preserve"> Pathway enrichment analysis of stress response pathways in each cluster. The yellow line represents the threshold for statistical significance. </w:t>
      </w:r>
      <w:r>
        <w:rPr>
          <w:rFonts w:ascii="Times New Roman" w:eastAsia="Times New Roman" w:hAnsi="Times New Roman" w:cs="Times New Roman"/>
          <w:b/>
        </w:rPr>
        <w:t>b)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E101A"/>
        </w:rPr>
        <w:t>FPKM</w:t>
      </w:r>
      <w:r>
        <w:rPr>
          <w:rFonts w:ascii="Times New Roman" w:eastAsia="Times New Roman" w:hAnsi="Times New Roman" w:cs="Times New Roman"/>
        </w:rPr>
        <w:t xml:space="preserve"> of antioxidative genes in healthy- and WS-iMφs before and after oxLDL treatment. Data are shown as the mean </w:t>
      </w:r>
      <w:r>
        <w:rPr>
          <w:rFonts w:ascii="Calibri" w:eastAsia="Calibri" w:hAnsi="Calibri" w:cs="Calibri"/>
        </w:rPr>
        <w:t>±</w:t>
      </w:r>
      <w:r>
        <w:rPr>
          <w:rFonts w:ascii="Times New Roman" w:eastAsia="Times New Roman" w:hAnsi="Times New Roman" w:cs="Times New Roman"/>
        </w:rPr>
        <w:t xml:space="preserve"> SEM of three independent iPSC-derived Mφs. The level of significance was derived from a false discovery rate-adjusted q-value as calculated by Cuffdiff. *q &lt; 0.05, **q &lt; 0.01, ***q &lt; 0.001. ns, not significant.</w:t>
      </w:r>
    </w:p>
    <w:p w14:paraId="420ABAA4" w14:textId="77777777" w:rsidR="002753C7" w:rsidRDefault="002753C7" w:rsidP="002753C7">
      <w:pPr>
        <w:spacing w:before="120" w:after="24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Extended Data Figure 6. Unchanging type I IFN signal upon NOX2-dependent inhibition of ROS generation in WS-iMφs. a) </w:t>
      </w:r>
      <w:r>
        <w:rPr>
          <w:rFonts w:ascii="Times New Roman" w:eastAsia="Times New Roman" w:hAnsi="Times New Roman" w:cs="Times New Roman"/>
        </w:rPr>
        <w:t xml:space="preserve">Representative flow cytometric plots showing ROS accumulation (left) and MFI of ROS accumulation (right) in healthy- and WS-iMφs before and after oxLDL treatment. </w:t>
      </w:r>
      <w:r>
        <w:rPr>
          <w:rFonts w:ascii="Times New Roman" w:eastAsia="Times New Roman" w:hAnsi="Times New Roman" w:cs="Times New Roman"/>
          <w:b/>
        </w:rPr>
        <w:t xml:space="preserve">b) </w:t>
      </w:r>
      <w:r>
        <w:rPr>
          <w:rFonts w:ascii="Times New Roman" w:eastAsia="Times New Roman" w:hAnsi="Times New Roman" w:cs="Times New Roman"/>
          <w:i/>
        </w:rPr>
        <w:t>NOX2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lastRenderedPageBreak/>
        <w:t xml:space="preserve">mRNA levels normalized by </w:t>
      </w:r>
      <w:r>
        <w:rPr>
          <w:rFonts w:ascii="Times New Roman" w:eastAsia="Times New Roman" w:hAnsi="Times New Roman" w:cs="Times New Roman"/>
          <w:i/>
        </w:rPr>
        <w:t>GAPDH</w:t>
      </w:r>
      <w:r>
        <w:rPr>
          <w:rFonts w:ascii="Times New Roman" w:eastAsia="Times New Roman" w:hAnsi="Times New Roman" w:cs="Times New Roman"/>
        </w:rPr>
        <w:t xml:space="preserve"> mRNA. </w:t>
      </w:r>
      <w:r>
        <w:rPr>
          <w:rFonts w:ascii="Times New Roman" w:eastAsia="Times New Roman" w:hAnsi="Times New Roman" w:cs="Times New Roman"/>
          <w:b/>
        </w:rPr>
        <w:t xml:space="preserve">c) </w:t>
      </w:r>
      <w:r>
        <w:rPr>
          <w:rFonts w:ascii="Times New Roman" w:eastAsia="Times New Roman" w:hAnsi="Times New Roman" w:cs="Times New Roman"/>
        </w:rPr>
        <w:t xml:space="preserve">Representative flow cytometric plots showing ROS accumulation (left), MFI of ROS accumulation (middle), and percent of ROS accumulated cells (right) in WS-iMφs before and after GSK2795039 treatment. </w:t>
      </w:r>
      <w:r>
        <w:rPr>
          <w:rFonts w:ascii="Times New Roman" w:eastAsia="Times New Roman" w:hAnsi="Times New Roman" w:cs="Times New Roman"/>
          <w:b/>
        </w:rPr>
        <w:t xml:space="preserve">d) </w:t>
      </w:r>
      <w:r>
        <w:rPr>
          <w:rFonts w:ascii="Times New Roman" w:eastAsia="Times New Roman" w:hAnsi="Times New Roman" w:cs="Times New Roman"/>
        </w:rPr>
        <w:t xml:space="preserve">mRNA levels of type I IFN signature and pro-inflammatory cytokine genes normalized by </w:t>
      </w:r>
      <w:r>
        <w:rPr>
          <w:rFonts w:ascii="Times New Roman" w:eastAsia="Times New Roman" w:hAnsi="Times New Roman" w:cs="Times New Roman"/>
          <w:i/>
        </w:rPr>
        <w:t>GAPDH</w:t>
      </w:r>
      <w:r>
        <w:rPr>
          <w:rFonts w:ascii="Times New Roman" w:eastAsia="Times New Roman" w:hAnsi="Times New Roman" w:cs="Times New Roman"/>
        </w:rPr>
        <w:t xml:space="preserve"> mRNA. Data are shown as the mean </w:t>
      </w:r>
      <w:r>
        <w:rPr>
          <w:rFonts w:ascii="Calibri" w:eastAsia="Calibri" w:hAnsi="Calibri" w:cs="Calibri"/>
        </w:rPr>
        <w:t>±</w:t>
      </w:r>
      <w:r>
        <w:rPr>
          <w:rFonts w:ascii="Times New Roman" w:eastAsia="Times New Roman" w:hAnsi="Times New Roman" w:cs="Times New Roman"/>
        </w:rPr>
        <w:t xml:space="preserve"> SEM of three independent iPSC-derived Mφs. *p &lt; 0.05, **p &lt; 0.01, ***p &lt; 0.001. ns, not significant.</w:t>
      </w:r>
    </w:p>
    <w:p w14:paraId="30A6F9B9" w14:textId="77777777" w:rsidR="002753C7" w:rsidRDefault="002753C7" w:rsidP="002753C7">
      <w:pPr>
        <w:spacing w:before="120" w:after="240"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Extended Data Figure 7. Unchanging type I IFN signals upon NRTI treatment of WS-iMφs. a) </w:t>
      </w:r>
      <w:r>
        <w:rPr>
          <w:rFonts w:ascii="Times New Roman" w:eastAsia="Times New Roman" w:hAnsi="Times New Roman" w:cs="Times New Roman"/>
          <w:color w:val="0E101A"/>
        </w:rPr>
        <w:t>FPKM</w:t>
      </w:r>
      <w:r>
        <w:rPr>
          <w:rFonts w:ascii="Times New Roman" w:eastAsia="Times New Roman" w:hAnsi="Times New Roman" w:cs="Times New Roman"/>
        </w:rPr>
        <w:t xml:space="preserve"> of ER-stress related genes in healthy- and WS-iMφs before and after oxLDL treatment. </w:t>
      </w:r>
      <w:r>
        <w:rPr>
          <w:rFonts w:ascii="Times New Roman" w:eastAsia="Times New Roman" w:hAnsi="Times New Roman" w:cs="Times New Roman"/>
          <w:b/>
        </w:rPr>
        <w:t xml:space="preserve">b) </w:t>
      </w:r>
      <w:r>
        <w:rPr>
          <w:rFonts w:ascii="Times New Roman" w:eastAsia="Times New Roman" w:hAnsi="Times New Roman" w:cs="Times New Roman"/>
          <w:color w:val="0E101A"/>
        </w:rPr>
        <w:t>FPKM</w:t>
      </w:r>
      <w:r>
        <w:rPr>
          <w:rFonts w:ascii="Times New Roman" w:eastAsia="Times New Roman" w:hAnsi="Times New Roman" w:cs="Times New Roman"/>
        </w:rPr>
        <w:t xml:space="preserve"> of </w:t>
      </w:r>
      <w:r>
        <w:rPr>
          <w:rFonts w:ascii="Times New Roman" w:eastAsia="Times New Roman" w:hAnsi="Times New Roman" w:cs="Times New Roman"/>
          <w:i/>
        </w:rPr>
        <w:t>MB21D1</w:t>
      </w:r>
      <w:r>
        <w:rPr>
          <w:rFonts w:ascii="Times New Roman" w:eastAsia="Times New Roman" w:hAnsi="Times New Roman" w:cs="Times New Roman"/>
        </w:rPr>
        <w:t xml:space="preserve"> and </w:t>
      </w:r>
      <w:r>
        <w:rPr>
          <w:rFonts w:ascii="Times New Roman" w:eastAsia="Times New Roman" w:hAnsi="Times New Roman" w:cs="Times New Roman"/>
          <w:i/>
        </w:rPr>
        <w:t>TMEM173</w:t>
      </w:r>
      <w:r>
        <w:rPr>
          <w:rFonts w:ascii="Times New Roman" w:eastAsia="Times New Roman" w:hAnsi="Times New Roman" w:cs="Times New Roman"/>
        </w:rPr>
        <w:t xml:space="preserve"> genes in healthy- and WS-iMφs before and after oxLDL treatment. </w:t>
      </w:r>
      <w:r>
        <w:rPr>
          <w:rFonts w:ascii="Times New Roman" w:eastAsia="Times New Roman" w:hAnsi="Times New Roman" w:cs="Times New Roman"/>
          <w:b/>
        </w:rPr>
        <w:t xml:space="preserve">c) </w:t>
      </w:r>
      <w:r>
        <w:rPr>
          <w:rFonts w:ascii="Times New Roman" w:eastAsia="Times New Roman" w:hAnsi="Times New Roman" w:cs="Times New Roman"/>
        </w:rPr>
        <w:t xml:space="preserve">Schematic diagram of </w:t>
      </w:r>
      <w:r>
        <w:rPr>
          <w:rFonts w:ascii="Times New Roman" w:eastAsia="Times New Roman" w:hAnsi="Times New Roman" w:cs="Times New Roman"/>
          <w:color w:val="0E101A"/>
          <w:highlight w:val="white"/>
        </w:rPr>
        <w:t>nucleoside/nucleotide reverse transcriptase inhibitor (NRTI)</w:t>
      </w:r>
      <w:r>
        <w:rPr>
          <w:rFonts w:ascii="Times New Roman" w:eastAsia="Times New Roman" w:hAnsi="Times New Roman" w:cs="Times New Roman"/>
        </w:rPr>
        <w:t xml:space="preserve"> treatment of WS-iMφs (left) and </w:t>
      </w:r>
      <w:r>
        <w:rPr>
          <w:rFonts w:ascii="Times New Roman" w:eastAsia="Times New Roman" w:hAnsi="Times New Roman" w:cs="Times New Roman"/>
          <w:i/>
        </w:rPr>
        <w:t>MB21D1</w:t>
      </w:r>
      <w:r>
        <w:rPr>
          <w:rFonts w:ascii="Times New Roman" w:eastAsia="Times New Roman" w:hAnsi="Times New Roman" w:cs="Times New Roman"/>
        </w:rPr>
        <w:t xml:space="preserve"> and </w:t>
      </w:r>
      <w:r>
        <w:rPr>
          <w:rFonts w:ascii="Times New Roman" w:eastAsia="Times New Roman" w:hAnsi="Times New Roman" w:cs="Times New Roman"/>
          <w:i/>
        </w:rPr>
        <w:t>TMEM173</w:t>
      </w:r>
      <w:r>
        <w:rPr>
          <w:rFonts w:ascii="Times New Roman" w:eastAsia="Times New Roman" w:hAnsi="Times New Roman" w:cs="Times New Roman"/>
        </w:rPr>
        <w:t xml:space="preserve"> mRNA levels in untreated and </w:t>
      </w:r>
      <w:r>
        <w:rPr>
          <w:rFonts w:ascii="Times New Roman" w:eastAsia="Times New Roman" w:hAnsi="Times New Roman" w:cs="Times New Roman"/>
          <w:color w:val="0E101A"/>
          <w:highlight w:val="white"/>
        </w:rPr>
        <w:t xml:space="preserve">NRTI-treated </w:t>
      </w:r>
      <w:r>
        <w:rPr>
          <w:rFonts w:ascii="Times New Roman" w:eastAsia="Times New Roman" w:hAnsi="Times New Roman" w:cs="Times New Roman"/>
        </w:rPr>
        <w:t xml:space="preserve">WS-iMφs normalized by </w:t>
      </w:r>
      <w:r>
        <w:rPr>
          <w:rFonts w:ascii="Times New Roman" w:eastAsia="Times New Roman" w:hAnsi="Times New Roman" w:cs="Times New Roman"/>
          <w:i/>
        </w:rPr>
        <w:t>GAPDH</w:t>
      </w:r>
      <w:r>
        <w:rPr>
          <w:rFonts w:ascii="Times New Roman" w:eastAsia="Times New Roman" w:hAnsi="Times New Roman" w:cs="Times New Roman"/>
        </w:rPr>
        <w:t xml:space="preserve"> mRNA.</w:t>
      </w:r>
      <w:r>
        <w:rPr>
          <w:rFonts w:ascii="Times New Roman" w:eastAsia="Times New Roman" w:hAnsi="Times New Roman" w:cs="Times New Roman"/>
          <w:b/>
        </w:rPr>
        <w:t xml:space="preserve"> d) </w:t>
      </w:r>
      <w:r>
        <w:rPr>
          <w:rFonts w:ascii="Times New Roman" w:eastAsia="Times New Roman" w:hAnsi="Times New Roman" w:cs="Times New Roman"/>
        </w:rPr>
        <w:t xml:space="preserve">mRNA levels of type I IFN signature genes in untreated and </w:t>
      </w:r>
      <w:r>
        <w:rPr>
          <w:rFonts w:ascii="Times New Roman" w:eastAsia="Times New Roman" w:hAnsi="Times New Roman" w:cs="Times New Roman"/>
          <w:color w:val="0E101A"/>
          <w:highlight w:val="white"/>
        </w:rPr>
        <w:t xml:space="preserve">NRTI-treated </w:t>
      </w:r>
      <w:r>
        <w:rPr>
          <w:rFonts w:ascii="Times New Roman" w:eastAsia="Times New Roman" w:hAnsi="Times New Roman" w:cs="Times New Roman"/>
        </w:rPr>
        <w:t xml:space="preserve">WS-iMφs normalized by </w:t>
      </w:r>
      <w:r>
        <w:rPr>
          <w:rFonts w:ascii="Times New Roman" w:eastAsia="Times New Roman" w:hAnsi="Times New Roman" w:cs="Times New Roman"/>
          <w:i/>
        </w:rPr>
        <w:t>GAPDH</w:t>
      </w:r>
      <w:r>
        <w:rPr>
          <w:rFonts w:ascii="Times New Roman" w:eastAsia="Times New Roman" w:hAnsi="Times New Roman" w:cs="Times New Roman"/>
        </w:rPr>
        <w:t xml:space="preserve"> mRNA. Data are shown as the mean </w:t>
      </w:r>
      <w:r>
        <w:rPr>
          <w:rFonts w:ascii="Calibri" w:eastAsia="Calibri" w:hAnsi="Calibri" w:cs="Calibri"/>
        </w:rPr>
        <w:t>±</w:t>
      </w:r>
      <w:r>
        <w:rPr>
          <w:rFonts w:ascii="Times New Roman" w:eastAsia="Times New Roman" w:hAnsi="Times New Roman" w:cs="Times New Roman"/>
        </w:rPr>
        <w:t xml:space="preserve"> SEM of three independent iPSC-derived Mφs. *p &lt; 0.05, **p &lt; 0.01, ***p &lt; 0.001. ns, not significant.</w:t>
      </w:r>
    </w:p>
    <w:p w14:paraId="10C70760" w14:textId="77777777" w:rsidR="002753C7" w:rsidRDefault="002753C7">
      <w:bookmarkStart w:id="0" w:name="_GoBack"/>
      <w:bookmarkEnd w:id="0"/>
    </w:p>
    <w:sectPr w:rsidR="002753C7" w:rsidSect="001A0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3C7"/>
    <w:rsid w:val="001A02A0"/>
    <w:rsid w:val="0027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42478"/>
  <w15:chartTrackingRefBased/>
  <w15:docId w15:val="{A96776C3-3589-E442-A1CB-975844888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53C7"/>
    <w:pPr>
      <w:spacing w:line="276" w:lineRule="auto"/>
    </w:pPr>
    <w:rPr>
      <w:rFonts w:ascii="Arial" w:eastAsia="Arial" w:hAnsi="Arial" w:cs="Arial"/>
      <w:sz w:val="22"/>
      <w:szCs w:val="22"/>
      <w:lang w:val="en" w:eastAsia="ja-JP"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847</Words>
  <Characters>4831</Characters>
  <Application>Microsoft Office Word</Application>
  <DocSecurity>0</DocSecurity>
  <Lines>40</Lines>
  <Paragraphs>11</Paragraphs>
  <ScaleCrop>false</ScaleCrop>
  <Company/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2022-05-19T20:17:00Z</dcterms:created>
  <dcterms:modified xsi:type="dcterms:W3CDTF">2022-05-19T20:17:00Z</dcterms:modified>
</cp:coreProperties>
</file>