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F2F23" w14:textId="77777777" w:rsidR="00FE7FC4" w:rsidRPr="00E25383" w:rsidRDefault="00FE7FC4" w:rsidP="00FE7FC4">
      <w:pPr>
        <w:spacing w:line="360" w:lineRule="auto"/>
        <w:jc w:val="both"/>
        <w:rPr>
          <w:b/>
          <w:bCs/>
        </w:rPr>
      </w:pPr>
    </w:p>
    <w:p w14:paraId="7B502BA0" w14:textId="77777777" w:rsidR="00FE7FC4" w:rsidRPr="00E25383" w:rsidRDefault="00FE7FC4" w:rsidP="00FE7FC4">
      <w:pPr>
        <w:spacing w:line="360" w:lineRule="auto"/>
        <w:jc w:val="both"/>
        <w:rPr>
          <w:b/>
          <w:bCs/>
        </w:rPr>
      </w:pPr>
      <w:r w:rsidRPr="00E25383">
        <w:rPr>
          <w:b/>
          <w:bCs/>
        </w:rPr>
        <w:t>Supplementary Figure 1. Flow cytometry gating strategies for human and mice neutrophils</w:t>
      </w:r>
    </w:p>
    <w:p w14:paraId="4DA69821" w14:textId="77777777" w:rsidR="00FE7FC4" w:rsidRPr="00E25383" w:rsidRDefault="00FE7FC4" w:rsidP="00FE7FC4">
      <w:pPr>
        <w:spacing w:line="360" w:lineRule="auto"/>
        <w:jc w:val="both"/>
      </w:pPr>
      <w:r w:rsidRPr="00E25383">
        <w:t>Flow cytometry gating strategy depicted for human neutrophils (A). Granulocyte gating based on forward and side scatter (</w:t>
      </w:r>
      <w:proofErr w:type="spellStart"/>
      <w:r w:rsidRPr="00E25383">
        <w:t>i</w:t>
      </w:r>
      <w:proofErr w:type="spellEnd"/>
      <w:r w:rsidRPr="00E25383">
        <w:t>), gating for single cells with height to area ratio (ii), gating for viable cells with LIVE/DEAD Fixable Violet Dead Cell staining (iii), selection of CD16/CD66b double positive human neutrophils. Flow cytometry gating strategy shown for mice neutrophils (B). Granulocyte gating based on forward and side scatter (</w:t>
      </w:r>
      <w:proofErr w:type="spellStart"/>
      <w:r w:rsidRPr="00E25383">
        <w:t>i</w:t>
      </w:r>
      <w:proofErr w:type="spellEnd"/>
      <w:r w:rsidRPr="00E25383">
        <w:t>), gating for single cells with height to area ratio (ii), gating for viable cells with LIVE/DEAD Fixable Aqua Dead Cell staining (iii), selection of Ly6G/CD11b double positive mouse neutrophils. SSC-A: side scatter area; FSC-A: forward scatter area; FSC-H: forward scatter height</w:t>
      </w:r>
    </w:p>
    <w:p w14:paraId="0B26FF56" w14:textId="77777777" w:rsidR="00FE7FC4" w:rsidRPr="00E25383" w:rsidRDefault="00FE7FC4" w:rsidP="00FE7FC4">
      <w:pPr>
        <w:spacing w:line="360" w:lineRule="auto"/>
        <w:jc w:val="both"/>
        <w:rPr>
          <w:b/>
          <w:bCs/>
        </w:rPr>
      </w:pPr>
    </w:p>
    <w:p w14:paraId="721E3572" w14:textId="77777777" w:rsidR="00FE7FC4" w:rsidRPr="00E25383" w:rsidRDefault="00FE7FC4" w:rsidP="00FE7FC4">
      <w:pPr>
        <w:spacing w:line="360" w:lineRule="auto"/>
        <w:jc w:val="both"/>
        <w:rPr>
          <w:b/>
          <w:bCs/>
        </w:rPr>
      </w:pPr>
      <w:r w:rsidRPr="00E25383">
        <w:rPr>
          <w:b/>
          <w:bCs/>
        </w:rPr>
        <w:t>Supplementary Figure 2. The effect of CGS 21680 is concentration dependent</w:t>
      </w:r>
    </w:p>
    <w:p w14:paraId="0BF540E4" w14:textId="77777777" w:rsidR="00FE7FC4" w:rsidRPr="00E25383" w:rsidRDefault="00FE7FC4" w:rsidP="00FE7FC4">
      <w:pPr>
        <w:spacing w:line="360" w:lineRule="auto"/>
        <w:jc w:val="both"/>
      </w:pPr>
      <w:r w:rsidRPr="00E25383">
        <w:t xml:space="preserve">CXCR4 (A-B) and ICAM-1 (C-D) expression is depicted at 24h under treatment with increasing concentration of CGS 21680 (blue-1μM; orange-3μM, red-10μM). Values of histograms are quantified and shown in graphs expressed as mean ± SEM of MFI and are representative of 3 observations. **p ≤0.01, ***p ≤0.001 </w:t>
      </w:r>
    </w:p>
    <w:p w14:paraId="4BE9A9B9" w14:textId="126FC46C" w:rsidR="00696380" w:rsidRDefault="00696380"/>
    <w:sectPr w:rsidR="006963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FC4"/>
    <w:rsid w:val="00087C12"/>
    <w:rsid w:val="000A6DEE"/>
    <w:rsid w:val="000E4220"/>
    <w:rsid w:val="001630B2"/>
    <w:rsid w:val="001F064C"/>
    <w:rsid w:val="001F7AD3"/>
    <w:rsid w:val="0020629B"/>
    <w:rsid w:val="002335EA"/>
    <w:rsid w:val="0024024E"/>
    <w:rsid w:val="002F5B7D"/>
    <w:rsid w:val="00310602"/>
    <w:rsid w:val="00343691"/>
    <w:rsid w:val="00353B04"/>
    <w:rsid w:val="00381C41"/>
    <w:rsid w:val="003D0F6B"/>
    <w:rsid w:val="00425B93"/>
    <w:rsid w:val="00467104"/>
    <w:rsid w:val="004A7401"/>
    <w:rsid w:val="004C31E9"/>
    <w:rsid w:val="004E4974"/>
    <w:rsid w:val="004F4B15"/>
    <w:rsid w:val="00515828"/>
    <w:rsid w:val="0053682E"/>
    <w:rsid w:val="00560747"/>
    <w:rsid w:val="005756B2"/>
    <w:rsid w:val="00656465"/>
    <w:rsid w:val="00696380"/>
    <w:rsid w:val="006A2CF9"/>
    <w:rsid w:val="00753A69"/>
    <w:rsid w:val="007B375A"/>
    <w:rsid w:val="00960DD4"/>
    <w:rsid w:val="00A41780"/>
    <w:rsid w:val="00A50C7C"/>
    <w:rsid w:val="00A61069"/>
    <w:rsid w:val="00AF25B7"/>
    <w:rsid w:val="00B051C7"/>
    <w:rsid w:val="00B112E5"/>
    <w:rsid w:val="00B474C6"/>
    <w:rsid w:val="00B905A7"/>
    <w:rsid w:val="00CA0CAC"/>
    <w:rsid w:val="00D63069"/>
    <w:rsid w:val="00D63D93"/>
    <w:rsid w:val="00E90E59"/>
    <w:rsid w:val="00EA0EE4"/>
    <w:rsid w:val="00FE7FC4"/>
    <w:rsid w:val="00FF3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2B8FC0"/>
  <w15:chartTrackingRefBased/>
  <w15:docId w15:val="{2DC9821B-9121-4F42-A7C4-D3B5EE358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Hasko, George</dc:creator>
  <cp:keywords/>
  <dc:description/>
  <cp:lastModifiedBy>Hasko, George</cp:lastModifiedBy>
  <cp:revision>1</cp:revision>
  <dcterms:created xsi:type="dcterms:W3CDTF">2022-04-27T14:53:00Z</dcterms:created>
  <dcterms:modified xsi:type="dcterms:W3CDTF">2022-04-27T14:53:00Z</dcterms:modified>
</cp:coreProperties>
</file>