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cs="Times New Roman"/>
          <w:sz w:val="24"/>
          <w:szCs w:val="24"/>
        </w:rPr>
      </w:pPr>
      <w:bookmarkStart w:id="0" w:name="_Hlk79952321"/>
      <w:bookmarkStart w:id="1" w:name="_Hlk79952506"/>
      <w:bookmarkStart w:id="2" w:name="OLE_LINK33"/>
      <w:bookmarkStart w:id="3" w:name="_Hlk79789562"/>
      <w:r>
        <w:rPr>
          <w:rFonts w:hint="eastAsia" w:ascii="Times New Roman" w:hAnsi="Times New Roman" w:cs="Times New Roman"/>
          <w:sz w:val="24"/>
          <w:szCs w:val="24"/>
        </w:rPr>
        <w:t xml:space="preserve">Is </w:t>
      </w:r>
      <w:r>
        <w:rPr>
          <w:rFonts w:ascii="Times New Roman" w:hAnsi="Times New Roman" w:cs="Times New Roman"/>
          <w:sz w:val="24"/>
          <w:szCs w:val="24"/>
        </w:rPr>
        <w:t>small airway dysfunction</w:t>
      </w:r>
      <w:r>
        <w:rPr>
          <w:rFonts w:hint="eastAsia" w:ascii="Times New Roman" w:hAnsi="Times New Roman" w:cs="Times New Roman"/>
          <w:sz w:val="24"/>
          <w:szCs w:val="24"/>
        </w:rPr>
        <w:t xml:space="preserve"> an abnormality independently associated with aging? A cross-sectional analysis from the ECOPD cohort.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cs="Times New Roman"/>
          <w:sz w:val="26"/>
          <w:szCs w:val="26"/>
        </w:rPr>
      </w:pPr>
    </w:p>
    <w:bookmarkEnd w:id="0"/>
    <w:bookmarkEnd w:id="1"/>
    <w:bookmarkEnd w:id="2"/>
    <w:bookmarkEnd w:id="3"/>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cs="Times New Roman"/>
          <w:sz w:val="24"/>
          <w:szCs w:val="24"/>
          <w:vertAlign w:val="superscript"/>
        </w:rPr>
      </w:pPr>
      <w:r>
        <w:rPr>
          <w:rFonts w:ascii="Times New Roman" w:hAnsi="Times New Roman" w:cs="Times New Roman"/>
          <w:sz w:val="24"/>
          <w:szCs w:val="24"/>
        </w:rPr>
        <w:t>Cuiqiong Dai</w:t>
      </w:r>
      <w:r>
        <w:rPr>
          <w:rFonts w:ascii="Times New Roman" w:hAnsi="Times New Roman" w:cs="Times New Roman"/>
          <w:sz w:val="24"/>
          <w:szCs w:val="24"/>
          <w:vertAlign w:val="superscript"/>
        </w:rPr>
        <w:t>1</w:t>
      </w:r>
      <w:r>
        <w:rPr>
          <w:rFonts w:ascii="Times New Roman" w:hAnsi="Times New Roman" w:cs="Times New Roman"/>
          <w:sz w:val="24"/>
          <w:szCs w:val="24"/>
        </w:rPr>
        <w:t>*; Fan Wu</w:t>
      </w:r>
      <w:r>
        <w:rPr>
          <w:rFonts w:ascii="Times New Roman" w:hAnsi="Times New Roman" w:cs="Times New Roman"/>
          <w:sz w:val="24"/>
          <w:szCs w:val="24"/>
          <w:vertAlign w:val="superscript"/>
        </w:rPr>
        <w:t>1</w:t>
      </w:r>
      <w:r>
        <w:rPr>
          <w:rFonts w:hint="eastAsia" w:ascii="Times New Roman" w:hAnsi="Times New Roman" w:cs="Times New Roman"/>
          <w:sz w:val="24"/>
          <w:szCs w:val="24"/>
          <w:vertAlign w:val="superscript"/>
        </w:rPr>
        <w:t xml:space="preserve"> 2</w:t>
      </w:r>
      <w:r>
        <w:rPr>
          <w:rFonts w:ascii="Times New Roman" w:hAnsi="Times New Roman" w:cs="Times New Roman"/>
          <w:sz w:val="24"/>
          <w:szCs w:val="24"/>
        </w:rPr>
        <w:t>*; Zihui Wang</w:t>
      </w:r>
      <w:r>
        <w:rPr>
          <w:rFonts w:ascii="Times New Roman" w:hAnsi="Times New Roman" w:cs="Times New Roman"/>
          <w:sz w:val="24"/>
          <w:szCs w:val="24"/>
          <w:vertAlign w:val="superscript"/>
        </w:rPr>
        <w:t>1</w:t>
      </w:r>
      <w:r>
        <w:rPr>
          <w:rFonts w:ascii="Times New Roman" w:hAnsi="Times New Roman" w:cs="Times New Roman"/>
          <w:sz w:val="24"/>
          <w:szCs w:val="24"/>
        </w:rPr>
        <w:t>*</w:t>
      </w:r>
      <w:bookmarkStart w:id="4" w:name="_Hlk79952410"/>
      <w:r>
        <w:rPr>
          <w:rFonts w:ascii="Times New Roman" w:hAnsi="Times New Roman" w:cs="Times New Roman"/>
          <w:sz w:val="24"/>
          <w:szCs w:val="24"/>
        </w:rPr>
        <w:t>; Jieqi Peng</w:t>
      </w:r>
      <w:r>
        <w:rPr>
          <w:rFonts w:ascii="Times New Roman" w:hAnsi="Times New Roman" w:cs="Times New Roman"/>
          <w:sz w:val="24"/>
          <w:szCs w:val="24"/>
          <w:vertAlign w:val="superscript"/>
        </w:rPr>
        <w:t>1</w:t>
      </w:r>
      <w:r>
        <w:rPr>
          <w:rFonts w:ascii="Times New Roman" w:hAnsi="Times New Roman" w:cs="Times New Roman"/>
          <w:sz w:val="24"/>
          <w:szCs w:val="24"/>
        </w:rPr>
        <w:t>*;</w:t>
      </w:r>
      <w:r>
        <w:rPr>
          <w:rFonts w:hint="eastAsia" w:ascii="Times New Roman" w:hAnsi="Times New Roman" w:cs="Times New Roman"/>
          <w:sz w:val="24"/>
          <w:szCs w:val="24"/>
        </w:rPr>
        <w:t xml:space="preserve"> </w:t>
      </w:r>
      <w:r>
        <w:rPr>
          <w:rFonts w:ascii="Times New Roman" w:hAnsi="Times New Roman" w:cs="Times New Roman"/>
          <w:sz w:val="24"/>
          <w:szCs w:val="24"/>
        </w:rPr>
        <w:t>Huajing Yang</w:t>
      </w:r>
      <w:bookmarkEnd w:id="4"/>
      <w:r>
        <w:rPr>
          <w:rFonts w:ascii="Times New Roman" w:hAnsi="Times New Roman" w:cs="Times New Roman"/>
          <w:sz w:val="24"/>
          <w:szCs w:val="24"/>
          <w:vertAlign w:val="superscript"/>
        </w:rPr>
        <w:t>1</w:t>
      </w:r>
      <w:r>
        <w:rPr>
          <w:rFonts w:ascii="Times New Roman" w:hAnsi="Times New Roman" w:cs="Times New Roman"/>
          <w:sz w:val="24"/>
          <w:szCs w:val="24"/>
        </w:rPr>
        <w:t>;</w:t>
      </w:r>
      <w:r>
        <w:rPr>
          <w:rFonts w:hint="eastAsia" w:ascii="Times New Roman" w:hAnsi="Times New Roman" w:cs="Times New Roman"/>
          <w:sz w:val="24"/>
          <w:szCs w:val="24"/>
        </w:rPr>
        <w:t xml:space="preserve"> </w:t>
      </w:r>
      <w:r>
        <w:rPr>
          <w:rFonts w:ascii="Times New Roman" w:hAnsi="Times New Roman" w:cs="Times New Roman"/>
          <w:sz w:val="24"/>
          <w:szCs w:val="24"/>
        </w:rPr>
        <w:t>Youlan Zheng</w:t>
      </w:r>
      <w:r>
        <w:rPr>
          <w:rFonts w:ascii="Times New Roman" w:hAnsi="Times New Roman" w:cs="Times New Roman"/>
          <w:sz w:val="24"/>
          <w:szCs w:val="24"/>
          <w:vertAlign w:val="superscript"/>
        </w:rPr>
        <w:t>1</w:t>
      </w:r>
      <w:r>
        <w:rPr>
          <w:rFonts w:ascii="Times New Roman" w:hAnsi="Times New Roman" w:cs="Times New Roman"/>
          <w:sz w:val="24"/>
          <w:szCs w:val="24"/>
        </w:rPr>
        <w:t>;</w:t>
      </w:r>
      <w:r>
        <w:rPr>
          <w:rFonts w:hint="eastAsia" w:ascii="Times New Roman" w:hAnsi="Times New Roman" w:cs="Times New Roman"/>
          <w:sz w:val="24"/>
          <w:szCs w:val="24"/>
        </w:rPr>
        <w:t xml:space="preserve"> </w:t>
      </w:r>
      <w:r>
        <w:rPr>
          <w:rFonts w:ascii="Times New Roman" w:hAnsi="Times New Roman" w:cs="Times New Roman"/>
          <w:sz w:val="24"/>
          <w:szCs w:val="24"/>
        </w:rPr>
        <w:t>Lifei Lu</w:t>
      </w:r>
      <w:r>
        <w:rPr>
          <w:rFonts w:ascii="Times New Roman" w:hAnsi="Times New Roman" w:cs="Times New Roman"/>
          <w:sz w:val="24"/>
          <w:szCs w:val="24"/>
          <w:vertAlign w:val="superscript"/>
        </w:rPr>
        <w:t>1</w:t>
      </w:r>
      <w:r>
        <w:rPr>
          <w:rFonts w:ascii="Times New Roman" w:hAnsi="Times New Roman" w:cs="Times New Roman"/>
          <w:sz w:val="24"/>
          <w:szCs w:val="24"/>
        </w:rPr>
        <w:t>; Ningning Zhao</w:t>
      </w:r>
      <w:r>
        <w:rPr>
          <w:rFonts w:hint="eastAsia" w:ascii="Times New Roman" w:hAnsi="Times New Roman" w:cs="Times New Roman"/>
          <w:sz w:val="24"/>
          <w:szCs w:val="24"/>
          <w:vertAlign w:val="superscript"/>
        </w:rPr>
        <w:t>1</w:t>
      </w:r>
      <w:r>
        <w:rPr>
          <w:rFonts w:hint="eastAsia" w:ascii="Times New Roman" w:hAnsi="Times New Roman" w:cs="Times New Roman"/>
          <w:sz w:val="24"/>
          <w:szCs w:val="24"/>
        </w:rPr>
        <w:t xml:space="preserve">; </w:t>
      </w:r>
      <w:r>
        <w:rPr>
          <w:rFonts w:ascii="Times New Roman" w:hAnsi="Times New Roman" w:cs="Times New Roman"/>
          <w:sz w:val="24"/>
          <w:szCs w:val="24"/>
        </w:rPr>
        <w:t>Zhishan Deng</w:t>
      </w:r>
      <w:r>
        <w:rPr>
          <w:rFonts w:ascii="Times New Roman" w:hAnsi="Times New Roman" w:cs="Times New Roman"/>
          <w:sz w:val="24"/>
          <w:szCs w:val="24"/>
          <w:vertAlign w:val="superscript"/>
        </w:rPr>
        <w:t>1</w:t>
      </w:r>
      <w:r>
        <w:rPr>
          <w:rFonts w:ascii="Times New Roman" w:hAnsi="Times New Roman" w:cs="Times New Roman"/>
          <w:sz w:val="24"/>
          <w:szCs w:val="24"/>
        </w:rPr>
        <w:t>; Shan Xiao</w:t>
      </w:r>
      <w:r>
        <w:rPr>
          <w:rFonts w:ascii="Times New Roman" w:hAnsi="Times New Roman" w:cs="Times New Roman"/>
          <w:sz w:val="24"/>
          <w:szCs w:val="24"/>
          <w:vertAlign w:val="superscript"/>
        </w:rPr>
        <w:t>1</w:t>
      </w:r>
      <w:bookmarkStart w:id="5" w:name="_Hlk79952573"/>
      <w:r>
        <w:rPr>
          <w:rFonts w:ascii="Times New Roman" w:hAnsi="Times New Roman" w:cs="Times New Roman"/>
          <w:sz w:val="24"/>
          <w:szCs w:val="24"/>
        </w:rPr>
        <w:t xml:space="preserve">; </w:t>
      </w:r>
      <w:bookmarkEnd w:id="5"/>
      <w:bookmarkStart w:id="6" w:name="_Hlk79952578"/>
      <w:r>
        <w:rPr>
          <w:rFonts w:ascii="Times New Roman" w:hAnsi="Times New Roman" w:cs="Times New Roman"/>
          <w:sz w:val="24"/>
          <w:szCs w:val="24"/>
        </w:rPr>
        <w:t>Xiang Wen</w:t>
      </w:r>
      <w:r>
        <w:rPr>
          <w:rFonts w:ascii="Times New Roman" w:hAnsi="Times New Roman" w:cs="Times New Roman"/>
          <w:sz w:val="24"/>
          <w:szCs w:val="24"/>
          <w:vertAlign w:val="superscript"/>
        </w:rPr>
        <w:t>1</w:t>
      </w:r>
      <w:r>
        <w:rPr>
          <w:rFonts w:ascii="Times New Roman" w:hAnsi="Times New Roman" w:cs="Times New Roman"/>
          <w:sz w:val="24"/>
          <w:szCs w:val="24"/>
        </w:rPr>
        <w:t xml:space="preserve">; </w:t>
      </w:r>
      <w:bookmarkEnd w:id="6"/>
      <w:r>
        <w:rPr>
          <w:rFonts w:ascii="Times New Roman" w:hAnsi="Times New Roman" w:cs="Times New Roman"/>
          <w:sz w:val="24"/>
          <w:szCs w:val="24"/>
        </w:rPr>
        <w:t>Jianwu Xu</w:t>
      </w:r>
      <w:r>
        <w:rPr>
          <w:rFonts w:ascii="Times New Roman" w:hAnsi="Times New Roman" w:cs="Times New Roman"/>
          <w:sz w:val="24"/>
          <w:szCs w:val="24"/>
          <w:vertAlign w:val="superscript"/>
        </w:rPr>
        <w:t>1</w:t>
      </w:r>
      <w:r>
        <w:rPr>
          <w:rFonts w:hint="eastAsia" w:ascii="Times New Roman" w:hAnsi="Times New Roman" w:cs="Times New Roman"/>
          <w:sz w:val="24"/>
          <w:szCs w:val="24"/>
        </w:rPr>
        <w:t>; Kunning Zhou</w:t>
      </w:r>
      <w:r>
        <w:rPr>
          <w:rFonts w:hint="eastAsia" w:ascii="Times New Roman" w:hAnsi="Times New Roman" w:cs="Times New Roman"/>
          <w:sz w:val="24"/>
          <w:szCs w:val="24"/>
          <w:vertAlign w:val="superscript"/>
        </w:rPr>
        <w:t>1</w:t>
      </w:r>
      <w:r>
        <w:rPr>
          <w:rFonts w:ascii="Times New Roman" w:hAnsi="Times New Roman" w:cs="Times New Roman"/>
          <w:sz w:val="24"/>
          <w:szCs w:val="24"/>
        </w:rPr>
        <w:t xml:space="preserve">; </w:t>
      </w:r>
      <w:r>
        <w:rPr>
          <w:rFonts w:hint="eastAsia" w:ascii="Times New Roman" w:hAnsi="Times New Roman" w:cs="Times New Roman"/>
          <w:sz w:val="24"/>
          <w:szCs w:val="24"/>
        </w:rPr>
        <w:t>Xiaohui Wu</w:t>
      </w:r>
      <w:r>
        <w:rPr>
          <w:rFonts w:hint="eastAsia" w:ascii="Times New Roman" w:hAnsi="Times New Roman" w:cs="Times New Roman"/>
          <w:sz w:val="24"/>
          <w:szCs w:val="24"/>
          <w:vertAlign w:val="superscript"/>
        </w:rPr>
        <w:t>1</w:t>
      </w:r>
      <w:r>
        <w:rPr>
          <w:rFonts w:hint="eastAsia" w:ascii="Times New Roman" w:hAnsi="Times New Roman" w:cs="Times New Roman"/>
          <w:sz w:val="24"/>
          <w:szCs w:val="24"/>
        </w:rPr>
        <w:t xml:space="preserve">; </w:t>
      </w:r>
      <w:r>
        <w:rPr>
          <w:rFonts w:ascii="Times New Roman" w:hAnsi="Times New Roman" w:cs="Times New Roman"/>
          <w:sz w:val="24"/>
          <w:szCs w:val="24"/>
        </w:rPr>
        <w:t>Yumin Zhou</w:t>
      </w:r>
      <w:r>
        <w:rPr>
          <w:rFonts w:ascii="Times New Roman" w:hAnsi="Times New Roman" w:cs="Times New Roman"/>
          <w:sz w:val="24"/>
          <w:szCs w:val="24"/>
          <w:vertAlign w:val="superscript"/>
        </w:rPr>
        <w:t>1#</w:t>
      </w:r>
      <w:r>
        <w:rPr>
          <w:rFonts w:ascii="Times New Roman" w:hAnsi="Times New Roman" w:cs="Times New Roman"/>
          <w:sz w:val="24"/>
          <w:szCs w:val="24"/>
        </w:rPr>
        <w:t>; Pixin Ran</w:t>
      </w:r>
      <w:r>
        <w:rPr>
          <w:rFonts w:ascii="Times New Roman" w:hAnsi="Times New Roman" w:cs="Times New Roman"/>
          <w:sz w:val="24"/>
          <w:szCs w:val="24"/>
          <w:vertAlign w:val="superscript"/>
        </w:rPr>
        <w:t>1#</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cs="Times New Roman"/>
          <w:sz w:val="20"/>
          <w:szCs w:val="20"/>
          <w:vertAlign w:val="superscript"/>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cs="Times New Roman"/>
          <w:sz w:val="28"/>
          <w:szCs w:val="28"/>
        </w:rPr>
      </w:pPr>
      <w:r>
        <w:rPr>
          <w:rFonts w:hint="eastAsia" w:ascii="Times New Roman" w:hAnsi="Times New Roman" w:cs="Times New Roman"/>
          <w:b/>
          <w:bCs/>
          <w:sz w:val="28"/>
          <w:szCs w:val="28"/>
        </w:rPr>
        <w:t>Supplemental materials</w:t>
      </w:r>
    </w:p>
    <w:p>
      <w:pPr>
        <w:keepNext w:val="0"/>
        <w:keepLines w:val="0"/>
        <w:pageBreakBefore w:val="0"/>
        <w:widowControl w:val="0"/>
        <w:kinsoku/>
        <w:wordWrap/>
        <w:overflowPunct/>
        <w:topLinePunct w:val="0"/>
        <w:autoSpaceDE/>
        <w:autoSpaceDN/>
        <w:bidi w:val="0"/>
        <w:adjustRightInd/>
        <w:snapToGrid/>
        <w:spacing w:line="360" w:lineRule="auto"/>
        <w:textAlignment w:val="auto"/>
        <w:rPr>
          <w:rStyle w:val="7"/>
          <w:rFonts w:ascii="Times New Roman" w:hAnsi="Times New Roman" w:cs="Times New Roman"/>
          <w:sz w:val="20"/>
          <w:szCs w:val="20"/>
        </w:rPr>
      </w:pPr>
      <w:r>
        <w:rPr>
          <w:rFonts w:ascii="Times New Roman" w:hAnsi="Times New Roman" w:cs="Times New Roman"/>
          <w:b/>
          <w:bCs/>
          <w:sz w:val="24"/>
          <w:szCs w:val="24"/>
        </w:rPr>
        <w:t>Statistical analys</w:t>
      </w:r>
      <w:r>
        <w:rPr>
          <w:rFonts w:hint="eastAsia" w:ascii="Times New Roman" w:hAnsi="Times New Roman" w:cs="Times New Roman"/>
          <w:b/>
          <w:bCs/>
          <w:sz w:val="24"/>
          <w:szCs w:val="24"/>
        </w:rPr>
        <w:t>e</w:t>
      </w:r>
      <w:r>
        <w:rPr>
          <w:rFonts w:ascii="Times New Roman" w:hAnsi="Times New Roman" w:cs="Times New Roman"/>
          <w:b/>
          <w:bCs/>
          <w:sz w:val="24"/>
          <w:szCs w:val="24"/>
        </w:rPr>
        <w:t>s</w:t>
      </w:r>
      <w:r>
        <w:rPr>
          <w:rFonts w:hint="eastAsia" w:ascii="Times New Roman" w:hAnsi="Times New Roman" w:cs="Times New Roman"/>
          <w:sz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ascii="Times New Roman" w:hAnsi="Times New Roman" w:cs="Times New Roman"/>
          <w:sz w:val="24"/>
        </w:rPr>
      </w:pPr>
      <w:r>
        <w:rPr>
          <w:rFonts w:hint="eastAsia" w:ascii="Times New Roman" w:hAnsi="Times New Roman" w:cs="Times New Roman"/>
          <w:sz w:val="24"/>
        </w:rPr>
        <w:t xml:space="preserve">Data regarding characteristics are expressed as mean </w:t>
      </w:r>
      <w:r>
        <w:rPr>
          <w:rFonts w:ascii="Times New Roman" w:hAnsi="Times New Roman" w:cs="Times New Roman"/>
          <w:sz w:val="24"/>
        </w:rPr>
        <w:t>±</w:t>
      </w:r>
      <w:r>
        <w:rPr>
          <w:rFonts w:hint="eastAsia" w:ascii="Times New Roman" w:hAnsi="Times New Roman" w:cs="Times New Roman"/>
          <w:sz w:val="24"/>
        </w:rPr>
        <w:t xml:space="preserve"> standard deviation. </w:t>
      </w:r>
      <w:r>
        <w:rPr>
          <w:rFonts w:ascii="Times New Roman" w:hAnsi="Times New Roman" w:cs="Times New Roman"/>
          <w:sz w:val="24"/>
        </w:rPr>
        <w:t xml:space="preserve">We made univariate comparisons between the two groups with respect to characteristics by using Student’s t test for continuous variables with normal distribution or Mann-Whitney U test for continuous variables with skewness distribution, and the χ² test or Fisher exact test for categorical variables respectively. The linear-by-linear association test was conducted for </w:t>
      </w:r>
      <w:r>
        <w:rPr>
          <w:rFonts w:hint="eastAsia" w:ascii="Times New Roman" w:hAnsi="Times New Roman" w:cs="Times New Roman"/>
          <w:sz w:val="24"/>
        </w:rPr>
        <w:t xml:space="preserve">the prevalence of SAD </w:t>
      </w:r>
      <w:r>
        <w:rPr>
          <w:rFonts w:ascii="Times New Roman" w:hAnsi="Times New Roman" w:cs="Times New Roman"/>
          <w:sz w:val="24"/>
        </w:rPr>
        <w:t xml:space="preserve">and </w:t>
      </w:r>
      <w:r>
        <w:rPr>
          <w:rFonts w:hint="eastAsia" w:ascii="Times New Roman" w:hAnsi="Times New Roman" w:cs="Times New Roman"/>
          <w:sz w:val="24"/>
        </w:rPr>
        <w:t xml:space="preserve">the </w:t>
      </w:r>
      <w:r>
        <w:rPr>
          <w:rFonts w:ascii="Times New Roman" w:hAnsi="Times New Roman" w:cs="Times New Roman"/>
          <w:sz w:val="24"/>
        </w:rPr>
        <w:t xml:space="preserve">polynomial linear trend test </w:t>
      </w:r>
      <w:r>
        <w:rPr>
          <w:rFonts w:hint="eastAsia" w:ascii="Times New Roman" w:hAnsi="Times New Roman" w:cs="Times New Roman"/>
          <w:sz w:val="24"/>
        </w:rPr>
        <w:t>for</w:t>
      </w:r>
      <w:r>
        <w:rPr>
          <w:rFonts w:ascii="Times New Roman" w:hAnsi="Times New Roman" w:cs="Times New Roman"/>
          <w:sz w:val="24"/>
        </w:rPr>
        <w:t xml:space="preserve"> </w:t>
      </w:r>
      <w:r>
        <w:rPr>
          <w:rFonts w:hint="eastAsia" w:ascii="Times New Roman" w:hAnsi="Times New Roman" w:cs="Times New Roman"/>
          <w:sz w:val="24"/>
        </w:rPr>
        <w:t>SAD markers</w:t>
      </w:r>
      <w:r>
        <w:rPr>
          <w:rFonts w:ascii="Times New Roman" w:hAnsi="Times New Roman" w:cs="Times New Roman"/>
          <w:sz w:val="24"/>
        </w:rPr>
        <w:t xml:space="preserve"> across various age </w:t>
      </w:r>
      <w:r>
        <w:rPr>
          <w:rFonts w:hint="eastAsia" w:ascii="Times New Roman" w:hAnsi="Times New Roman" w:cs="Times New Roman"/>
          <w:sz w:val="24"/>
        </w:rPr>
        <w:t>stratification</w:t>
      </w:r>
      <w:r>
        <w:rPr>
          <w:rFonts w:ascii="Times New Roman" w:hAnsi="Times New Roman" w:cs="Times New Roman"/>
          <w:sz w:val="24"/>
        </w:rPr>
        <w:t>.</w:t>
      </w:r>
      <w:r>
        <w:rPr>
          <w:rFonts w:hint="eastAsia" w:ascii="Times New Roman" w:hAnsi="Times New Roman" w:cs="Times New Roman"/>
          <w:sz w:val="24"/>
        </w:rPr>
        <w:t xml:space="preserve"> We applied multivariate binary logistic regression models to assess the association of age with SAD risk. Multiple linear regression models were carried out to determine the impact of age on the extent of SAD in SAD subjects. We conducted all the above analyses in total subjects and then repeated in the subjects with the stratification of airflow limitation. Finally, to intuitively compare the contributions of age to a variety of SAD markers, we extracted parameters from CT, IOS, and spirometry according to the largest or the second-largest absolute estimates of their multiple linear regression models among the 6 stratified subgroups, and then visualized these parameters in a vertical bar. Covariates adjusted in all the regression models were sex, BMI, smoking status, smoking index, educational level, asthma, tuberculosis, chronic bronchitis, annual household income, smokers living at home, parental history of respiratory diseases, occupational exposure &gt; 6 months, indoor exposure to biomass for cooking or heating. There was no imputation in our study for nomissing</w:t>
      </w:r>
      <w:r>
        <w:rPr>
          <w:rFonts w:ascii="Times New Roman" w:hAnsi="Times New Roman" w:cs="Times New Roman"/>
          <w:sz w:val="24"/>
        </w:rPr>
        <w:t xml:space="preserve"> </w:t>
      </w:r>
      <w:r>
        <w:rPr>
          <w:rFonts w:hint="eastAsia" w:ascii="Times New Roman" w:hAnsi="Times New Roman" w:cs="Times New Roman"/>
          <w:sz w:val="24"/>
        </w:rPr>
        <w:t>data</w:t>
      </w:r>
      <w:r>
        <w:rPr>
          <w:rFonts w:ascii="Times New Roman" w:hAnsi="Times New Roman" w:cs="Times New Roman"/>
          <w:sz w:val="24"/>
        </w:rPr>
        <w:t xml:space="preserve"> </w:t>
      </w:r>
      <w:r>
        <w:rPr>
          <w:rFonts w:hint="eastAsia" w:ascii="Times New Roman" w:hAnsi="Times New Roman" w:cs="Times New Roman"/>
          <w:sz w:val="24"/>
        </w:rPr>
        <w:t>on the main</w:t>
      </w:r>
      <w:r>
        <w:rPr>
          <w:rFonts w:ascii="Times New Roman" w:hAnsi="Times New Roman" w:cs="Times New Roman"/>
          <w:sz w:val="24"/>
        </w:rPr>
        <w:t xml:space="preserve"> </w:t>
      </w:r>
      <w:r>
        <w:rPr>
          <w:rFonts w:hint="eastAsia" w:ascii="Times New Roman" w:hAnsi="Times New Roman" w:cs="Times New Roman"/>
          <w:sz w:val="24"/>
        </w:rPr>
        <w:t>variables</w:t>
      </w:r>
      <w:r>
        <w:rPr>
          <w:rFonts w:ascii="Times New Roman" w:hAnsi="Times New Roman" w:cs="Times New Roman"/>
          <w:sz w:val="24"/>
        </w:rPr>
        <w:t xml:space="preserve"> </w:t>
      </w:r>
      <w:r>
        <w:rPr>
          <w:rFonts w:hint="eastAsia" w:ascii="Times New Roman" w:hAnsi="Times New Roman" w:cs="Times New Roman"/>
          <w:sz w:val="24"/>
        </w:rPr>
        <w:t>of</w:t>
      </w:r>
      <w:r>
        <w:rPr>
          <w:rFonts w:ascii="Times New Roman" w:hAnsi="Times New Roman" w:cs="Times New Roman"/>
          <w:sz w:val="24"/>
        </w:rPr>
        <w:t xml:space="preserve"> </w:t>
      </w:r>
      <w:r>
        <w:rPr>
          <w:rFonts w:hint="eastAsia" w:ascii="Times New Roman" w:hAnsi="Times New Roman" w:cs="Times New Roman"/>
          <w:sz w:val="24"/>
        </w:rPr>
        <w:t xml:space="preserve">interest. All the data analyses were performed on </w:t>
      </w:r>
      <w:r>
        <w:rPr>
          <w:rFonts w:ascii="Times New Roman" w:hAnsi="Times New Roman" w:cs="Times New Roman"/>
          <w:sz w:val="24"/>
        </w:rPr>
        <w:t>IBM SPSS Version 25.0</w:t>
      </w:r>
      <w:r>
        <w:rPr>
          <w:rFonts w:hint="eastAsia" w:ascii="Times New Roman" w:hAnsi="Times New Roman" w:cs="Times New Roman"/>
          <w:sz w:val="24"/>
        </w:rPr>
        <w:t xml:space="preserve">. </w:t>
      </w:r>
      <w:r>
        <w:rPr>
          <w:rFonts w:ascii="Times New Roman" w:hAnsi="Times New Roman" w:cs="Times New Roman"/>
          <w:sz w:val="24"/>
        </w:rPr>
        <w:t xml:space="preserve">Two-sided p </w:t>
      </w:r>
      <w:r>
        <w:rPr>
          <w:rFonts w:hint="eastAsia" w:ascii="Times New Roman" w:hAnsi="Times New Roman" w:cs="Times New Roman"/>
          <w:sz w:val="24"/>
        </w:rPr>
        <w:t xml:space="preserve">values less than </w:t>
      </w:r>
      <w:r>
        <w:rPr>
          <w:rFonts w:ascii="Times New Roman" w:hAnsi="Times New Roman" w:cs="Times New Roman"/>
          <w:sz w:val="24"/>
        </w:rPr>
        <w:t xml:space="preserve">0.05 were considered statistically significant.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cs="Times New Roman"/>
          <w:sz w:val="24"/>
        </w:rPr>
      </w:pPr>
      <w:r>
        <w:rPr>
          <w:rFonts w:ascii="Times New Roman" w:hAnsi="Times New Roman" w:cs="Times New Roman"/>
          <w:sz w:val="24"/>
        </w:rPr>
        <w:br w:type="page"/>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Times New Roman"/>
          <w:b/>
          <w:bCs/>
          <w:sz w:val="24"/>
          <w:szCs w:val="24"/>
        </w:rPr>
      </w:pPr>
      <w:r>
        <w:rPr>
          <w:rFonts w:hint="eastAsia" w:ascii="Times New Roman" w:hAnsi="Times New Roman" w:eastAsia="宋体" w:cs="Times New Roman"/>
          <w:b/>
          <w:bCs/>
          <w:sz w:val="24"/>
          <w:szCs w:val="24"/>
        </w:rPr>
        <w:t>Supplemental tables</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e-Table 1. Prevalence of SAD defined by CT, IOS, and spirometry over age in subjects with and without airflow limitation.</w:t>
      </w:r>
    </w:p>
    <w:tbl>
      <w:tblPr>
        <w:tblStyle w:val="5"/>
        <w:tblW w:w="11604" w:type="dxa"/>
        <w:tblInd w:w="-1577"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84"/>
        <w:gridCol w:w="1212"/>
        <w:gridCol w:w="1572"/>
        <w:gridCol w:w="1572"/>
        <w:gridCol w:w="1656"/>
        <w:gridCol w:w="1644"/>
        <w:gridCol w:w="1704"/>
        <w:gridCol w:w="960"/>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8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variables</w:t>
            </w:r>
          </w:p>
        </w:tc>
        <w:tc>
          <w:tcPr>
            <w:tcW w:w="2784" w:type="dxa"/>
            <w:gridSpan w:val="2"/>
            <w:vMerge w:val="restart"/>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Subgroups stratified by  airflow limitation and definitonal methods</w:t>
            </w:r>
          </w:p>
        </w:tc>
        <w:tc>
          <w:tcPr>
            <w:tcW w:w="6576" w:type="dxa"/>
            <w:gridSpan w:val="4"/>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Age stratification(yrs)</w:t>
            </w:r>
          </w:p>
        </w:tc>
        <w:tc>
          <w:tcPr>
            <w:tcW w:w="960" w:type="dxa"/>
            <w:vMerge w:val="restart"/>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 for trend</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84" w:type="dxa"/>
            <w:vMerge w:val="continue"/>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p>
        </w:tc>
        <w:tc>
          <w:tcPr>
            <w:tcW w:w="2784" w:type="dxa"/>
            <w:gridSpan w:val="2"/>
            <w:vMerge w:val="continue"/>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p>
        </w:tc>
        <w:tc>
          <w:tcPr>
            <w:tcW w:w="1572"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&lt;= 49</w:t>
            </w:r>
          </w:p>
        </w:tc>
        <w:tc>
          <w:tcPr>
            <w:tcW w:w="1656"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50-59</w:t>
            </w:r>
          </w:p>
        </w:tc>
        <w:tc>
          <w:tcPr>
            <w:tcW w:w="1644"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60-69</w:t>
            </w:r>
          </w:p>
        </w:tc>
        <w:tc>
          <w:tcPr>
            <w:tcW w:w="1704"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&gt;= 70</w:t>
            </w:r>
          </w:p>
        </w:tc>
        <w:tc>
          <w:tcPr>
            <w:tcW w:w="960" w:type="dxa"/>
            <w:vMerge w:val="continue"/>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84" w:type="dxa"/>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Prevalence (%) of SAD</w:t>
            </w:r>
          </w:p>
        </w:tc>
        <w:tc>
          <w:tcPr>
            <w:tcW w:w="1212" w:type="dxa"/>
            <w:vMerge w:val="restart"/>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subjects without airflow limitation</w:t>
            </w:r>
          </w:p>
        </w:tc>
        <w:tc>
          <w:tcPr>
            <w:tcW w:w="1572"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SAD defined by CT</w:t>
            </w:r>
          </w:p>
        </w:tc>
        <w:tc>
          <w:tcPr>
            <w:tcW w:w="1572"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0.70 (1/139)</w:t>
            </w:r>
          </w:p>
        </w:tc>
        <w:tc>
          <w:tcPr>
            <w:tcW w:w="1656"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4.9 (21/426)</w:t>
            </w:r>
          </w:p>
        </w:tc>
        <w:tc>
          <w:tcPr>
            <w:tcW w:w="1644"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9.2 (35/381)</w:t>
            </w:r>
          </w:p>
        </w:tc>
        <w:tc>
          <w:tcPr>
            <w:tcW w:w="1704"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29.6 (24/81)</w:t>
            </w:r>
          </w:p>
        </w:tc>
        <w:tc>
          <w:tcPr>
            <w:tcW w:w="960"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84" w:type="dxa"/>
            <w:vMerge w:val="continue"/>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p>
        </w:tc>
        <w:tc>
          <w:tcPr>
            <w:tcW w:w="1212" w:type="dxa"/>
            <w:vMerge w:val="continue"/>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p>
        </w:tc>
        <w:tc>
          <w:tcPr>
            <w:tcW w:w="157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SAD defined by IOS</w:t>
            </w:r>
          </w:p>
        </w:tc>
        <w:tc>
          <w:tcPr>
            <w:tcW w:w="157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20.1 (28/139)</w:t>
            </w:r>
          </w:p>
        </w:tc>
        <w:tc>
          <w:tcPr>
            <w:tcW w:w="165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15.7 (67/426)</w:t>
            </w:r>
          </w:p>
        </w:tc>
        <w:tc>
          <w:tcPr>
            <w:tcW w:w="164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23.9 (91/381)</w:t>
            </w:r>
          </w:p>
        </w:tc>
        <w:tc>
          <w:tcPr>
            <w:tcW w:w="170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25.9 (21/81)</w:t>
            </w:r>
          </w:p>
        </w:tc>
        <w:tc>
          <w:tcPr>
            <w:tcW w:w="9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0.025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84" w:type="dxa"/>
            <w:vMerge w:val="continue"/>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p>
        </w:tc>
        <w:tc>
          <w:tcPr>
            <w:tcW w:w="1212" w:type="dxa"/>
            <w:vMerge w:val="continue"/>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p>
        </w:tc>
        <w:tc>
          <w:tcPr>
            <w:tcW w:w="1572"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SAD defined byspirometry</w:t>
            </w:r>
          </w:p>
        </w:tc>
        <w:tc>
          <w:tcPr>
            <w:tcW w:w="1572"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36.0 (50/139)</w:t>
            </w:r>
          </w:p>
        </w:tc>
        <w:tc>
          <w:tcPr>
            <w:tcW w:w="1656"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46.2 (197/426)</w:t>
            </w:r>
          </w:p>
        </w:tc>
        <w:tc>
          <w:tcPr>
            <w:tcW w:w="1644"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61.2 (233/381)</w:t>
            </w:r>
          </w:p>
        </w:tc>
        <w:tc>
          <w:tcPr>
            <w:tcW w:w="1704"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76.5 (62/81)</w:t>
            </w:r>
          </w:p>
        </w:tc>
        <w:tc>
          <w:tcPr>
            <w:tcW w:w="960"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84" w:type="dxa"/>
            <w:vMerge w:val="continue"/>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p>
        </w:tc>
        <w:tc>
          <w:tcPr>
            <w:tcW w:w="1212" w:type="dxa"/>
            <w:vMerge w:val="restart"/>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subjects with airflow limitation</w:t>
            </w:r>
          </w:p>
        </w:tc>
        <w:tc>
          <w:tcPr>
            <w:tcW w:w="1572"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SAD defined by CT</w:t>
            </w:r>
          </w:p>
        </w:tc>
        <w:tc>
          <w:tcPr>
            <w:tcW w:w="1572"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16.7 (3/18)</w:t>
            </w:r>
          </w:p>
        </w:tc>
        <w:tc>
          <w:tcPr>
            <w:tcW w:w="1656"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37.3 (62/166)</w:t>
            </w:r>
          </w:p>
        </w:tc>
        <w:tc>
          <w:tcPr>
            <w:tcW w:w="1644"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59.3 (267/450)</w:t>
            </w:r>
          </w:p>
        </w:tc>
        <w:tc>
          <w:tcPr>
            <w:tcW w:w="1704"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68.7 (136/198)</w:t>
            </w:r>
          </w:p>
        </w:tc>
        <w:tc>
          <w:tcPr>
            <w:tcW w:w="960"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84" w:type="dxa"/>
            <w:vMerge w:val="continue"/>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p>
        </w:tc>
        <w:tc>
          <w:tcPr>
            <w:tcW w:w="1212" w:type="dxa"/>
            <w:vMerge w:val="continue"/>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p>
        </w:tc>
        <w:tc>
          <w:tcPr>
            <w:tcW w:w="157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SAD defined by IOS</w:t>
            </w:r>
          </w:p>
        </w:tc>
        <w:tc>
          <w:tcPr>
            <w:tcW w:w="157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55.6 (10/18)</w:t>
            </w:r>
          </w:p>
        </w:tc>
        <w:tc>
          <w:tcPr>
            <w:tcW w:w="165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35.5 (59/166)</w:t>
            </w:r>
          </w:p>
        </w:tc>
        <w:tc>
          <w:tcPr>
            <w:tcW w:w="164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48.9 (220/450)</w:t>
            </w:r>
          </w:p>
        </w:tc>
        <w:tc>
          <w:tcPr>
            <w:tcW w:w="170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54.0</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(107/198)</w:t>
            </w:r>
          </w:p>
        </w:tc>
        <w:tc>
          <w:tcPr>
            <w:tcW w:w="9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0.004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84" w:type="dxa"/>
            <w:vMerge w:val="continue"/>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p>
        </w:tc>
        <w:tc>
          <w:tcPr>
            <w:tcW w:w="1212" w:type="dxa"/>
            <w:vMerge w:val="continue"/>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p>
        </w:tc>
        <w:tc>
          <w:tcPr>
            <w:tcW w:w="157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SAD defined by spirometry</w:t>
            </w:r>
          </w:p>
        </w:tc>
        <w:tc>
          <w:tcPr>
            <w:tcW w:w="157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100 (18/18)</w:t>
            </w:r>
          </w:p>
        </w:tc>
        <w:tc>
          <w:tcPr>
            <w:tcW w:w="165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99.4(165/166)</w:t>
            </w:r>
          </w:p>
        </w:tc>
        <w:tc>
          <w:tcPr>
            <w:tcW w:w="164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99.8(449/450)</w:t>
            </w:r>
          </w:p>
        </w:tc>
        <w:tc>
          <w:tcPr>
            <w:tcW w:w="170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100(198/198)</w:t>
            </w:r>
          </w:p>
        </w:tc>
        <w:tc>
          <w:tcPr>
            <w:tcW w:w="9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0.333</w:t>
            </w:r>
          </w:p>
        </w:tc>
      </w:tr>
    </w:tbl>
    <w:p>
      <w:pPr>
        <w:keepNext w:val="0"/>
        <w:keepLines w:val="0"/>
        <w:pageBreakBefore w:val="0"/>
        <w:widowControl w:val="0"/>
        <w:kinsoku/>
        <w:wordWrap/>
        <w:overflowPunct/>
        <w:topLinePunct w:val="0"/>
        <w:autoSpaceDE/>
        <w:autoSpaceDN/>
        <w:bidi w:val="0"/>
        <w:adjustRightInd/>
        <w:snapToGrid/>
        <w:spacing w:line="276" w:lineRule="auto"/>
        <w:textAlignment w:val="auto"/>
        <w:rPr>
          <w:rFonts w:ascii="Times New Roman" w:hAnsi="Times New Roman" w:eastAsia="宋体" w:cs="Times New Roman"/>
          <w:sz w:val="21"/>
          <w:szCs w:val="21"/>
        </w:rPr>
      </w:pPr>
      <w:r>
        <w:rPr>
          <w:rFonts w:hint="eastAsia" w:ascii="Times New Roman" w:hAnsi="Times New Roman" w:cs="Times New Roman"/>
          <w:sz w:val="21"/>
          <w:szCs w:val="21"/>
        </w:rPr>
        <w:t xml:space="preserve">Note: </w:t>
      </w:r>
      <w:r>
        <w:rPr>
          <w:rFonts w:hint="eastAsia" w:ascii="Times New Roman" w:hAnsi="Times New Roman" w:eastAsia="宋体" w:cs="Times New Roman"/>
          <w:sz w:val="21"/>
          <w:szCs w:val="21"/>
        </w:rPr>
        <w:t>P for trend was calculated by linear-by-linear</w:t>
      </w:r>
      <w:r>
        <w:rPr>
          <w:rFonts w:hint="eastAsia" w:ascii="Times New Roman" w:hAnsi="Times New Roman" w:eastAsia="宋体" w:cs="Times New Roman"/>
          <w:sz w:val="21"/>
          <w:szCs w:val="21"/>
          <w:lang w:val="en-US" w:eastAsia="zh-CN"/>
        </w:rPr>
        <w:t xml:space="preserve"> </w:t>
      </w:r>
      <w:r>
        <w:rPr>
          <w:rFonts w:hint="eastAsia" w:ascii="Times New Roman" w:hAnsi="Times New Roman" w:eastAsia="宋体" w:cs="Times New Roman"/>
          <w:sz w:val="21"/>
          <w:szCs w:val="21"/>
        </w:rPr>
        <w:t>association</w:t>
      </w:r>
      <w:r>
        <w:rPr>
          <w:rFonts w:hint="eastAsia" w:ascii="Times New Roman" w:hAnsi="Times New Roman" w:eastAsia="宋体" w:cs="Times New Roman"/>
          <w:sz w:val="21"/>
          <w:szCs w:val="21"/>
          <w:lang w:val="en-US" w:eastAsia="zh-CN"/>
        </w:rPr>
        <w:t xml:space="preserve"> </w:t>
      </w:r>
      <w:r>
        <w:rPr>
          <w:rFonts w:hint="eastAsia" w:ascii="Times New Roman" w:hAnsi="Times New Roman" w:eastAsia="宋体" w:cs="Times New Roman"/>
          <w:sz w:val="21"/>
          <w:szCs w:val="21"/>
        </w:rPr>
        <w:t>test. SAD defined by CT was LAA</w:t>
      </w:r>
      <w:r>
        <w:rPr>
          <w:rFonts w:hint="eastAsia" w:ascii="Times New Roman" w:hAnsi="Times New Roman" w:eastAsia="宋体" w:cs="Times New Roman"/>
          <w:sz w:val="21"/>
          <w:szCs w:val="21"/>
          <w:vertAlign w:val="subscript"/>
        </w:rPr>
        <w:t xml:space="preserve">-856 </w:t>
      </w:r>
      <w:r>
        <w:rPr>
          <w:rFonts w:hint="eastAsia" w:ascii="Times New Roman" w:hAnsi="Times New Roman" w:eastAsia="宋体" w:cs="Times New Roman"/>
          <w:sz w:val="21"/>
          <w:szCs w:val="21"/>
        </w:rPr>
        <w:t xml:space="preserve">&gt; 20%. SAD defined by IOS was R5-R20 &gt; 0.07. </w:t>
      </w:r>
      <w:r>
        <w:rPr>
          <w:rFonts w:hint="eastAsia" w:ascii="Times New Roman" w:hAnsi="Times New Roman" w:cs="Times New Roman"/>
          <w:sz w:val="21"/>
          <w:szCs w:val="21"/>
        </w:rPr>
        <w:t>SAD defined by spirometry was post bronchodilator MMEF %predicted, FEF</w:t>
      </w:r>
      <w:r>
        <w:rPr>
          <w:rFonts w:hint="eastAsia" w:ascii="Times New Roman" w:hAnsi="Times New Roman" w:cs="Times New Roman"/>
          <w:sz w:val="21"/>
          <w:szCs w:val="21"/>
          <w:vertAlign w:val="subscript"/>
        </w:rPr>
        <w:t>50</w:t>
      </w:r>
      <w:r>
        <w:rPr>
          <w:rFonts w:hint="eastAsia" w:ascii="Times New Roman" w:hAnsi="Times New Roman" w:cs="Times New Roman"/>
          <w:sz w:val="21"/>
          <w:szCs w:val="21"/>
        </w:rPr>
        <w:t xml:space="preserve"> %predicted or FEF</w:t>
      </w:r>
      <w:r>
        <w:rPr>
          <w:rFonts w:hint="eastAsia" w:ascii="Times New Roman" w:hAnsi="Times New Roman" w:cs="Times New Roman"/>
          <w:sz w:val="21"/>
          <w:szCs w:val="21"/>
          <w:vertAlign w:val="subscript"/>
        </w:rPr>
        <w:t>75</w:t>
      </w:r>
      <w:r>
        <w:rPr>
          <w:rFonts w:hint="eastAsia" w:ascii="Times New Roman" w:hAnsi="Times New Roman" w:cs="Times New Roman"/>
          <w:sz w:val="21"/>
          <w:szCs w:val="21"/>
        </w:rPr>
        <w:t xml:space="preserve"> %predicted (any two of the three) &lt; 65%. </w:t>
      </w:r>
      <w:r>
        <w:rPr>
          <w:rFonts w:ascii="Times New Roman" w:hAnsi="Times New Roman" w:eastAsia="宋体" w:cs="Times New Roman"/>
          <w:sz w:val="21"/>
          <w:szCs w:val="21"/>
        </w:rPr>
        <w:t>SAD = small airway dysfunction</w:t>
      </w:r>
      <w:r>
        <w:rPr>
          <w:rFonts w:hint="eastAsia" w:ascii="Times New Roman" w:hAnsi="Times New Roman" w:eastAsia="宋体" w:cs="Times New Roman"/>
          <w:sz w:val="21"/>
          <w:szCs w:val="21"/>
        </w:rPr>
        <w:t>, CT = computed tomography, IOS = impulse oscillometry, yrs = years, % = percent.</w:t>
      </w:r>
    </w:p>
    <w:p>
      <w:pPr>
        <w:rPr>
          <w:rFonts w:ascii="Times New Roman" w:hAnsi="Times New Roman" w:eastAsia="宋体" w:cs="Times New Roman"/>
          <w:sz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e-Table 2. Multivariate binary logistic regression analysis of age and SAD risk in subjects with and without airflow limitation.   </w:t>
      </w:r>
    </w:p>
    <w:tbl>
      <w:tblPr>
        <w:tblStyle w:val="5"/>
        <w:tblW w:w="10944" w:type="dxa"/>
        <w:tblInd w:w="-1277"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52"/>
        <w:gridCol w:w="2820"/>
        <w:gridCol w:w="3228"/>
        <w:gridCol w:w="2184"/>
        <w:gridCol w:w="1260"/>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52"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variables</w:t>
            </w:r>
          </w:p>
        </w:tc>
        <w:tc>
          <w:tcPr>
            <w:tcW w:w="2820"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Subgroups</w:t>
            </w:r>
          </w:p>
        </w:tc>
        <w:tc>
          <w:tcPr>
            <w:tcW w:w="3228"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definitional methods for SAD</w:t>
            </w:r>
          </w:p>
        </w:tc>
        <w:tc>
          <w:tcPr>
            <w:tcW w:w="2184"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OR (95%CI)</w:t>
            </w:r>
          </w:p>
        </w:tc>
        <w:tc>
          <w:tcPr>
            <w:tcW w:w="1260"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 value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52" w:type="dxa"/>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Age (per 10 yrs</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increase)</w:t>
            </w:r>
          </w:p>
        </w:tc>
        <w:tc>
          <w:tcPr>
            <w:tcW w:w="2820" w:type="dxa"/>
            <w:vMerge w:val="restart"/>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Subjects without airflow limitation</w:t>
            </w:r>
          </w:p>
        </w:tc>
        <w:tc>
          <w:tcPr>
            <w:tcW w:w="3228"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SAD defined by CT</w:t>
            </w:r>
          </w:p>
        </w:tc>
        <w:tc>
          <w:tcPr>
            <w:tcW w:w="2184"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2.78 (1.91-4.03)</w:t>
            </w:r>
          </w:p>
        </w:tc>
        <w:tc>
          <w:tcPr>
            <w:tcW w:w="1260"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52" w:type="dxa"/>
            <w:vMerge w:val="continue"/>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p>
        </w:tc>
        <w:tc>
          <w:tcPr>
            <w:tcW w:w="2820" w:type="dxa"/>
            <w:vMerge w:val="continue"/>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p>
        </w:tc>
        <w:tc>
          <w:tcPr>
            <w:tcW w:w="322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SAD defined by spirometry</w:t>
            </w:r>
          </w:p>
        </w:tc>
        <w:tc>
          <w:tcPr>
            <w:tcW w:w="218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1.47 (1.17-1.85)</w:t>
            </w:r>
          </w:p>
        </w:tc>
        <w:tc>
          <w:tcPr>
            <w:tcW w:w="12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52" w:type="dxa"/>
            <w:vMerge w:val="continue"/>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p>
        </w:tc>
        <w:tc>
          <w:tcPr>
            <w:tcW w:w="2820" w:type="dxa"/>
            <w:vMerge w:val="continue"/>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p>
        </w:tc>
        <w:tc>
          <w:tcPr>
            <w:tcW w:w="3228"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SAD defined by IOS</w:t>
            </w:r>
          </w:p>
        </w:tc>
        <w:tc>
          <w:tcPr>
            <w:tcW w:w="2184"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1.79 (1.49-2.14)</w:t>
            </w:r>
          </w:p>
        </w:tc>
        <w:tc>
          <w:tcPr>
            <w:tcW w:w="1260"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52" w:type="dxa"/>
            <w:vMerge w:val="continue"/>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p>
        </w:tc>
        <w:tc>
          <w:tcPr>
            <w:tcW w:w="2820" w:type="dxa"/>
            <w:vMerge w:val="restart"/>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Subjects with airflow limitation</w:t>
            </w:r>
          </w:p>
        </w:tc>
        <w:tc>
          <w:tcPr>
            <w:tcW w:w="3228"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SAD defined by CT</w:t>
            </w:r>
          </w:p>
        </w:tc>
        <w:tc>
          <w:tcPr>
            <w:tcW w:w="2184"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1.73 (1.35-2.23)</w:t>
            </w:r>
          </w:p>
        </w:tc>
        <w:tc>
          <w:tcPr>
            <w:tcW w:w="1260"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52" w:type="dxa"/>
            <w:vMerge w:val="continue"/>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p>
        </w:tc>
        <w:tc>
          <w:tcPr>
            <w:tcW w:w="2820" w:type="dxa"/>
            <w:vMerge w:val="continue"/>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p>
        </w:tc>
        <w:tc>
          <w:tcPr>
            <w:tcW w:w="322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SAD defined by IOS</w:t>
            </w:r>
          </w:p>
        </w:tc>
        <w:tc>
          <w:tcPr>
            <w:tcW w:w="218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1.53 (1.22-1.93)</w:t>
            </w:r>
          </w:p>
        </w:tc>
        <w:tc>
          <w:tcPr>
            <w:tcW w:w="12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452" w:type="dxa"/>
            <w:vMerge w:val="continue"/>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p>
        </w:tc>
        <w:tc>
          <w:tcPr>
            <w:tcW w:w="2820" w:type="dxa"/>
            <w:vMerge w:val="continue"/>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p>
        </w:tc>
        <w:tc>
          <w:tcPr>
            <w:tcW w:w="322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SAD defined by spirometry </w:t>
            </w:r>
          </w:p>
        </w:tc>
        <w:tc>
          <w:tcPr>
            <w:tcW w:w="218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37.4(0.02-81696.6)</w:t>
            </w:r>
          </w:p>
        </w:tc>
        <w:tc>
          <w:tcPr>
            <w:tcW w:w="12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0.356</w:t>
            </w:r>
          </w:p>
        </w:tc>
      </w:tr>
    </w:tbl>
    <w:p>
      <w:pPr>
        <w:keepNext w:val="0"/>
        <w:keepLines w:val="0"/>
        <w:pageBreakBefore w:val="0"/>
        <w:widowControl w:val="0"/>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Note: CT-defined SAD was defined as LAA</w:t>
      </w:r>
      <w:r>
        <w:rPr>
          <w:rFonts w:hint="default" w:ascii="Times New Roman" w:hAnsi="Times New Roman" w:eastAsia="宋体" w:cs="Times New Roman"/>
          <w:sz w:val="24"/>
          <w:szCs w:val="24"/>
          <w:vertAlign w:val="subscript"/>
        </w:rPr>
        <w:t>-856</w:t>
      </w:r>
      <w:r>
        <w:rPr>
          <w:rFonts w:hint="default" w:ascii="Times New Roman" w:hAnsi="Times New Roman" w:eastAsia="宋体" w:cs="Times New Roman"/>
          <w:sz w:val="24"/>
          <w:szCs w:val="24"/>
        </w:rPr>
        <w:t xml:space="preserve">&gt;20%. IOS-defined SAD was defined as R5-R20&gt;0.07. </w:t>
      </w:r>
      <w:r>
        <w:rPr>
          <w:rFonts w:hint="default" w:ascii="Times New Roman" w:hAnsi="Times New Roman" w:cs="Times New Roman"/>
          <w:sz w:val="24"/>
          <w:szCs w:val="24"/>
        </w:rPr>
        <w:t xml:space="preserve">Spirometry-defined SAD was defined as post bronchodilator MMEF %predicted, FEF50 %predicted or FEF75 %predicted (any two of the three) &lt; 65%. All these </w:t>
      </w:r>
      <w:r>
        <w:rPr>
          <w:rFonts w:hint="default" w:ascii="Times New Roman" w:hAnsi="Times New Roman" w:eastAsia="宋体" w:cs="Times New Roman"/>
          <w:sz w:val="24"/>
          <w:szCs w:val="24"/>
        </w:rPr>
        <w:t xml:space="preserve">models were all adjusted for </w:t>
      </w:r>
      <w:r>
        <w:rPr>
          <w:rFonts w:hint="default" w:ascii="Times New Roman" w:hAnsi="Times New Roman" w:cs="Times New Roman"/>
          <w:sz w:val="24"/>
          <w:szCs w:val="24"/>
        </w:rPr>
        <w:t xml:space="preserve">sex, BMI, smoking status, smoking index, educational level, asthma, tuberculosis, chronic bronchitis, annual household income, smokers living at home, parental history of respiratory disease, occupation exposure &gt; 6 months, indoor exposure to biomass for cooking or heating. </w:t>
      </w:r>
      <w:r>
        <w:rPr>
          <w:rFonts w:hint="default" w:ascii="Times New Roman" w:hAnsi="Times New Roman" w:eastAsia="宋体" w:cs="Times New Roman"/>
          <w:sz w:val="24"/>
          <w:szCs w:val="24"/>
        </w:rPr>
        <w:t>All the variables of age in these models indicate per 10 years increase.</w:t>
      </w:r>
    </w:p>
    <w:p>
      <w:pPr>
        <w:keepNext w:val="0"/>
        <w:keepLines w:val="0"/>
        <w:pageBreakBefore w:val="0"/>
        <w:widowControl w:val="0"/>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Abbreviations: SAD = small airway dysfunction, CT = computed tomography, IOS = impulse oscillometry, OR = odds ratio, CI = confidence interval</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e-Table 3. Multi-adjusted contributions of age to the extent of SAD among CT-defined SAD subjects from subjects without airflow limitation (n = 81).</w:t>
      </w:r>
    </w:p>
    <w:tbl>
      <w:tblPr>
        <w:tblStyle w:val="5"/>
        <w:tblW w:w="9684" w:type="dxa"/>
        <w:tblInd w:w="-701"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024"/>
        <w:gridCol w:w="2052"/>
        <w:gridCol w:w="1764"/>
        <w:gridCol w:w="1560"/>
        <w:gridCol w:w="1284"/>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24"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Outcomes for SAD markers</w:t>
            </w:r>
          </w:p>
        </w:tc>
        <w:tc>
          <w:tcPr>
            <w:tcW w:w="2052"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Unstandardized β</w:t>
            </w:r>
          </w:p>
        </w:tc>
        <w:tc>
          <w:tcPr>
            <w:tcW w:w="1764"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Standardized β</w:t>
            </w:r>
          </w:p>
        </w:tc>
        <w:tc>
          <w:tcPr>
            <w:tcW w:w="1560"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95%CI</w:t>
            </w:r>
          </w:p>
        </w:tc>
        <w:tc>
          <w:tcPr>
            <w:tcW w:w="1284"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P value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24"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CT</w:t>
            </w:r>
          </w:p>
        </w:tc>
        <w:tc>
          <w:tcPr>
            <w:tcW w:w="2052"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764"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560"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284"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24"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LAA</w:t>
            </w:r>
            <w:r>
              <w:rPr>
                <w:rFonts w:hint="default" w:ascii="Times New Roman" w:hAnsi="Times New Roman" w:cs="Times New Roman"/>
                <w:sz w:val="24"/>
                <w:szCs w:val="24"/>
                <w:vertAlign w:val="subscript"/>
              </w:rPr>
              <w:t>−950</w:t>
            </w:r>
            <w:r>
              <w:rPr>
                <w:rFonts w:hint="default" w:ascii="Times New Roman" w:hAnsi="Times New Roman" w:cs="Times New Roman"/>
                <w:sz w:val="24"/>
                <w:szCs w:val="24"/>
              </w:rPr>
              <w:t>, %</w:t>
            </w:r>
          </w:p>
        </w:tc>
        <w:tc>
          <w:tcPr>
            <w:tcW w:w="205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1.15</w:t>
            </w: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0.21</w:t>
            </w:r>
          </w:p>
        </w:tc>
        <w:tc>
          <w:tcPr>
            <w:tcW w:w="15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-0.25, 2.55</w:t>
            </w:r>
          </w:p>
        </w:tc>
        <w:tc>
          <w:tcPr>
            <w:tcW w:w="128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sz w:val="24"/>
                <w:szCs w:val="24"/>
              </w:rPr>
              <w:t>0.105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24"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LAA</w:t>
            </w:r>
            <w:r>
              <w:rPr>
                <w:rFonts w:hint="default" w:ascii="Times New Roman" w:hAnsi="Times New Roman" w:cs="Times New Roman"/>
                <w:sz w:val="24"/>
                <w:szCs w:val="24"/>
                <w:vertAlign w:val="subscript"/>
              </w:rPr>
              <w:t>−856</w:t>
            </w:r>
            <w:r>
              <w:rPr>
                <w:rFonts w:hint="default" w:ascii="Times New Roman" w:hAnsi="Times New Roman" w:cs="Times New Roman"/>
                <w:sz w:val="24"/>
                <w:szCs w:val="24"/>
              </w:rPr>
              <w:t>,</w:t>
            </w:r>
            <w:r>
              <w:rPr>
                <w:rFonts w:hint="default" w:ascii="Times New Roman" w:hAnsi="Times New Roman" w:cs="Times New Roman"/>
                <w:sz w:val="24"/>
                <w:szCs w:val="24"/>
                <w:vertAlign w:val="subscript"/>
              </w:rPr>
              <w:t xml:space="preserve"> </w:t>
            </w:r>
            <w:r>
              <w:rPr>
                <w:rFonts w:hint="default" w:ascii="Times New Roman" w:hAnsi="Times New Roman" w:cs="Times New Roman"/>
                <w:sz w:val="24"/>
                <w:szCs w:val="24"/>
              </w:rPr>
              <w:t>%</w:t>
            </w:r>
          </w:p>
        </w:tc>
        <w:tc>
          <w:tcPr>
            <w:tcW w:w="205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6.21</w:t>
            </w: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0.21</w:t>
            </w:r>
          </w:p>
        </w:tc>
        <w:tc>
          <w:tcPr>
            <w:tcW w:w="15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4.32, 8.10</w:t>
            </w:r>
          </w:p>
        </w:tc>
        <w:tc>
          <w:tcPr>
            <w:tcW w:w="128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24"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RV, L </w:t>
            </w:r>
          </w:p>
        </w:tc>
        <w:tc>
          <w:tcPr>
            <w:tcW w:w="205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-0.25</w:t>
            </w: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-0.22</w:t>
            </w:r>
          </w:p>
        </w:tc>
        <w:tc>
          <w:tcPr>
            <w:tcW w:w="15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-0.52, 0.02</w:t>
            </w:r>
          </w:p>
        </w:tc>
        <w:tc>
          <w:tcPr>
            <w:tcW w:w="128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0.074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24"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TLC, L</w:t>
            </w:r>
          </w:p>
        </w:tc>
        <w:tc>
          <w:tcPr>
            <w:tcW w:w="205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-0.15</w:t>
            </w: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-0.12</w:t>
            </w:r>
          </w:p>
        </w:tc>
        <w:tc>
          <w:tcPr>
            <w:tcW w:w="15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-0.43, 0.13</w:t>
            </w:r>
          </w:p>
        </w:tc>
        <w:tc>
          <w:tcPr>
            <w:tcW w:w="128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0.280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2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IOS</w:t>
            </w:r>
          </w:p>
        </w:tc>
        <w:tc>
          <w:tcPr>
            <w:tcW w:w="205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5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28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24"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R5, Ka/L/s</w:t>
            </w:r>
            <w:r>
              <w:rPr>
                <w:rFonts w:hint="default" w:ascii="Times New Roman" w:hAnsi="Times New Roman" w:cs="Times New Roman"/>
                <w:sz w:val="24"/>
                <w:szCs w:val="24"/>
                <w:vertAlign w:val="superscript"/>
              </w:rPr>
              <w:t xml:space="preserve"> </w:t>
            </w:r>
            <w:r>
              <w:rPr>
                <w:rFonts w:hint="default" w:ascii="Times New Roman" w:hAnsi="Times New Roman" w:cs="Times New Roman"/>
                <w:sz w:val="24"/>
                <w:szCs w:val="24"/>
              </w:rPr>
              <w:t xml:space="preserve"> </w:t>
            </w:r>
          </w:p>
        </w:tc>
        <w:tc>
          <w:tcPr>
            <w:tcW w:w="205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0.02</w:t>
            </w: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0.16</w:t>
            </w:r>
          </w:p>
        </w:tc>
        <w:tc>
          <w:tcPr>
            <w:tcW w:w="15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-0.00, 0.04</w:t>
            </w:r>
          </w:p>
        </w:tc>
        <w:tc>
          <w:tcPr>
            <w:tcW w:w="128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0.113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24"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R20, Ka/L/s</w:t>
            </w:r>
            <w:r>
              <w:rPr>
                <w:rFonts w:hint="default" w:ascii="Times New Roman" w:hAnsi="Times New Roman" w:cs="Times New Roman"/>
                <w:sz w:val="24"/>
                <w:szCs w:val="24"/>
                <w:vertAlign w:val="superscript"/>
              </w:rPr>
              <w:t xml:space="preserve"> </w:t>
            </w:r>
          </w:p>
        </w:tc>
        <w:tc>
          <w:tcPr>
            <w:tcW w:w="205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w:t>
            </w: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0.08</w:t>
            </w:r>
          </w:p>
        </w:tc>
        <w:tc>
          <w:tcPr>
            <w:tcW w:w="15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-0.01, 0.02</w:t>
            </w:r>
          </w:p>
        </w:tc>
        <w:tc>
          <w:tcPr>
            <w:tcW w:w="128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0.383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24"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R5-R20, Ka/L/s</w:t>
            </w:r>
            <w:r>
              <w:rPr>
                <w:rFonts w:hint="default" w:ascii="Times New Roman" w:hAnsi="Times New Roman" w:cs="Times New Roman"/>
                <w:sz w:val="24"/>
                <w:szCs w:val="24"/>
                <w:vertAlign w:val="superscript"/>
              </w:rPr>
              <w:t xml:space="preserve"> </w:t>
            </w:r>
          </w:p>
        </w:tc>
        <w:tc>
          <w:tcPr>
            <w:tcW w:w="205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w:t>
            </w: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0.18</w:t>
            </w:r>
          </w:p>
        </w:tc>
        <w:tc>
          <w:tcPr>
            <w:tcW w:w="15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-0.00, 0.02</w:t>
            </w:r>
          </w:p>
        </w:tc>
        <w:tc>
          <w:tcPr>
            <w:tcW w:w="128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0.155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24"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X5, Ka/L/s</w:t>
            </w:r>
            <w:r>
              <w:rPr>
                <w:rFonts w:hint="default" w:ascii="Times New Roman" w:hAnsi="Times New Roman" w:cs="Times New Roman"/>
                <w:sz w:val="24"/>
                <w:szCs w:val="24"/>
                <w:vertAlign w:val="superscript"/>
              </w:rPr>
              <w:t xml:space="preserve"> </w:t>
            </w:r>
            <w:r>
              <w:rPr>
                <w:rFonts w:hint="default" w:ascii="Times New Roman" w:hAnsi="Times New Roman" w:cs="Times New Roman"/>
                <w:sz w:val="24"/>
                <w:szCs w:val="24"/>
              </w:rPr>
              <w:t xml:space="preserve"> </w:t>
            </w:r>
          </w:p>
        </w:tc>
        <w:tc>
          <w:tcPr>
            <w:tcW w:w="205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-0.02</w:t>
            </w: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-0.33</w:t>
            </w:r>
          </w:p>
        </w:tc>
        <w:tc>
          <w:tcPr>
            <w:tcW w:w="15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-0.03,</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-0.00</w:t>
            </w:r>
          </w:p>
        </w:tc>
        <w:tc>
          <w:tcPr>
            <w:tcW w:w="128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24"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AX, Ka/L</w:t>
            </w:r>
            <w:r>
              <w:rPr>
                <w:rFonts w:hint="default" w:ascii="Times New Roman" w:hAnsi="Times New Roman" w:cs="Times New Roman"/>
                <w:sz w:val="24"/>
                <w:szCs w:val="24"/>
                <w:vertAlign w:val="superscript"/>
              </w:rPr>
              <w:t xml:space="preserve"> </w:t>
            </w:r>
          </w:p>
        </w:tc>
        <w:tc>
          <w:tcPr>
            <w:tcW w:w="205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0.15</w:t>
            </w: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0.35</w:t>
            </w:r>
          </w:p>
        </w:tc>
        <w:tc>
          <w:tcPr>
            <w:tcW w:w="15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0.05, 0.25</w:t>
            </w:r>
          </w:p>
        </w:tc>
        <w:tc>
          <w:tcPr>
            <w:tcW w:w="128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24"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Fres, Hz</w:t>
            </w:r>
          </w:p>
        </w:tc>
        <w:tc>
          <w:tcPr>
            <w:tcW w:w="205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1.41</w:t>
            </w: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0.32</w:t>
            </w:r>
          </w:p>
        </w:tc>
        <w:tc>
          <w:tcPr>
            <w:tcW w:w="15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0.29, 2.53</w:t>
            </w:r>
          </w:p>
        </w:tc>
        <w:tc>
          <w:tcPr>
            <w:tcW w:w="128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2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postbronchodilator</w:t>
            </w:r>
          </w:p>
        </w:tc>
        <w:tc>
          <w:tcPr>
            <w:tcW w:w="205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5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28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24"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MMEF, %predicted</w:t>
            </w:r>
          </w:p>
        </w:tc>
        <w:tc>
          <w:tcPr>
            <w:tcW w:w="205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-5.65</w:t>
            </w: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-0.25</w:t>
            </w:r>
          </w:p>
        </w:tc>
        <w:tc>
          <w:tcPr>
            <w:tcW w:w="15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-11.45, 0.14</w:t>
            </w:r>
          </w:p>
        </w:tc>
        <w:tc>
          <w:tcPr>
            <w:tcW w:w="128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0.056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24"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FEF</w:t>
            </w:r>
            <w:r>
              <w:rPr>
                <w:rFonts w:hint="default" w:ascii="Times New Roman" w:hAnsi="Times New Roman" w:cs="Times New Roman"/>
                <w:sz w:val="24"/>
                <w:szCs w:val="24"/>
                <w:vertAlign w:val="subscript"/>
              </w:rPr>
              <w:t>50</w:t>
            </w:r>
            <w:r>
              <w:rPr>
                <w:rFonts w:hint="default" w:ascii="Times New Roman" w:hAnsi="Times New Roman" w:cs="Times New Roman"/>
                <w:sz w:val="24"/>
                <w:szCs w:val="24"/>
              </w:rPr>
              <w:t>, %predicted</w:t>
            </w:r>
          </w:p>
        </w:tc>
        <w:tc>
          <w:tcPr>
            <w:tcW w:w="205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-8.59</w:t>
            </w: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-0.37</w:t>
            </w:r>
          </w:p>
        </w:tc>
        <w:tc>
          <w:tcPr>
            <w:tcW w:w="15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-14.47, -2.70</w:t>
            </w:r>
          </w:p>
        </w:tc>
        <w:tc>
          <w:tcPr>
            <w:tcW w:w="128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24"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FEF</w:t>
            </w:r>
            <w:r>
              <w:rPr>
                <w:rFonts w:hint="default" w:ascii="Times New Roman" w:hAnsi="Times New Roman" w:cs="Times New Roman"/>
                <w:sz w:val="24"/>
                <w:szCs w:val="24"/>
                <w:vertAlign w:val="subscript"/>
              </w:rPr>
              <w:t>75</w:t>
            </w:r>
            <w:r>
              <w:rPr>
                <w:rFonts w:hint="default" w:ascii="Times New Roman" w:hAnsi="Times New Roman" w:cs="Times New Roman"/>
                <w:sz w:val="24"/>
                <w:szCs w:val="24"/>
              </w:rPr>
              <w:t>, %predicted</w:t>
            </w:r>
          </w:p>
        </w:tc>
        <w:tc>
          <w:tcPr>
            <w:tcW w:w="205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-1.94</w:t>
            </w: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-0.06</w:t>
            </w:r>
          </w:p>
        </w:tc>
        <w:tc>
          <w:tcPr>
            <w:tcW w:w="15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-10.39, 6.51</w:t>
            </w:r>
          </w:p>
        </w:tc>
        <w:tc>
          <w:tcPr>
            <w:tcW w:w="128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0.648</w:t>
            </w:r>
          </w:p>
        </w:tc>
      </w:tr>
    </w:tbl>
    <w:p>
      <w:pPr>
        <w:keepNext w:val="0"/>
        <w:keepLines w:val="0"/>
        <w:pageBreakBefore w:val="0"/>
        <w:widowControl w:val="0"/>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All the models were adjusted for </w:t>
      </w:r>
      <w:r>
        <w:rPr>
          <w:rFonts w:hint="default" w:ascii="Times New Roman" w:hAnsi="Times New Roman" w:cs="Times New Roman"/>
          <w:sz w:val="24"/>
          <w:szCs w:val="24"/>
        </w:rPr>
        <w:t>sex, BMI, smoking status, smoking index, educational level, asthma, tuberculosis, chronic bronchitis, annual household income, smokers living at home, parental history of respiratory disease, occupation exposure &gt; 6 months, indoor exposure to biomass for cooking or heating.</w:t>
      </w:r>
      <w:r>
        <w:rPr>
          <w:rFonts w:hint="default" w:ascii="Times New Roman" w:hAnsi="Times New Roman" w:eastAsia="宋体" w:cs="Times New Roman"/>
          <w:sz w:val="24"/>
          <w:szCs w:val="24"/>
        </w:rPr>
        <w:t>All the variables of age in these models mean per 10 years unit increase.</w:t>
      </w:r>
    </w:p>
    <w:p>
      <w:pPr>
        <w:keepNext w:val="0"/>
        <w:keepLines w:val="0"/>
        <w:pageBreakBefore w:val="0"/>
        <w:widowControl w:val="0"/>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Abbreviations: </w:t>
      </w:r>
      <w:r>
        <w:rPr>
          <w:rFonts w:hint="default" w:ascii="Times New Roman" w:hAnsi="Times New Roman" w:cs="Times New Roman"/>
          <w:sz w:val="24"/>
          <w:szCs w:val="24"/>
        </w:rPr>
        <w:t xml:space="preserve">CI =confidence interval; </w:t>
      </w:r>
      <w:r>
        <w:rPr>
          <w:rFonts w:hint="default" w:ascii="Times New Roman" w:hAnsi="Times New Roman" w:eastAsia="宋体" w:cs="Times New Roman"/>
          <w:sz w:val="24"/>
          <w:szCs w:val="24"/>
        </w:rPr>
        <w:t>β = estimate; definitions of other abbreviations see Table 1.</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e-Table 4. Multi-adjusted contributions of age to the extent of SAD among CT-defined SAD subjects from subjects with airflow limitation (n = 468).</w:t>
      </w:r>
    </w:p>
    <w:tbl>
      <w:tblPr>
        <w:tblStyle w:val="5"/>
        <w:tblW w:w="9756" w:type="dxa"/>
        <w:tblInd w:w="-1013"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144"/>
        <w:gridCol w:w="2088"/>
        <w:gridCol w:w="1776"/>
        <w:gridCol w:w="1512"/>
        <w:gridCol w:w="1236"/>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144"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Outcomes for SAD markers</w:t>
            </w:r>
          </w:p>
        </w:tc>
        <w:tc>
          <w:tcPr>
            <w:tcW w:w="2088"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Unstandardized β</w:t>
            </w:r>
          </w:p>
        </w:tc>
        <w:tc>
          <w:tcPr>
            <w:tcW w:w="1776"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Standardized β</w:t>
            </w:r>
          </w:p>
        </w:tc>
        <w:tc>
          <w:tcPr>
            <w:tcW w:w="1512"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95%CI</w:t>
            </w:r>
          </w:p>
        </w:tc>
        <w:tc>
          <w:tcPr>
            <w:tcW w:w="1236"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P value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144"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CT</w:t>
            </w:r>
          </w:p>
        </w:tc>
        <w:tc>
          <w:tcPr>
            <w:tcW w:w="2088"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776"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512"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236"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144"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LAA</w:t>
            </w:r>
            <w:r>
              <w:rPr>
                <w:rFonts w:hint="default" w:ascii="Times New Roman" w:hAnsi="Times New Roman" w:cs="Times New Roman"/>
                <w:sz w:val="24"/>
                <w:szCs w:val="24"/>
                <w:vertAlign w:val="subscript"/>
              </w:rPr>
              <w:t>−950</w:t>
            </w:r>
            <w:r>
              <w:rPr>
                <w:rFonts w:hint="default" w:ascii="Times New Roman" w:hAnsi="Times New Roman" w:cs="Times New Roman"/>
                <w:sz w:val="24"/>
                <w:szCs w:val="24"/>
              </w:rPr>
              <w:t>, %</w:t>
            </w:r>
          </w:p>
        </w:tc>
        <w:tc>
          <w:tcPr>
            <w:tcW w:w="208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0.68</w:t>
            </w:r>
          </w:p>
        </w:tc>
        <w:tc>
          <w:tcPr>
            <w:tcW w:w="17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0.05</w:t>
            </w: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-0.51,1.88</w:t>
            </w: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sz w:val="24"/>
                <w:szCs w:val="24"/>
              </w:rPr>
              <w:t>0.263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144"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LAA</w:t>
            </w:r>
            <w:r>
              <w:rPr>
                <w:rFonts w:hint="default" w:ascii="Times New Roman" w:hAnsi="Times New Roman" w:cs="Times New Roman"/>
                <w:sz w:val="24"/>
                <w:szCs w:val="24"/>
                <w:vertAlign w:val="subscript"/>
              </w:rPr>
              <w:t>−856</w:t>
            </w:r>
            <w:r>
              <w:rPr>
                <w:rFonts w:hint="default" w:ascii="Times New Roman" w:hAnsi="Times New Roman" w:cs="Times New Roman"/>
                <w:sz w:val="24"/>
                <w:szCs w:val="24"/>
              </w:rPr>
              <w:t>,</w:t>
            </w:r>
            <w:r>
              <w:rPr>
                <w:rFonts w:hint="default" w:ascii="Times New Roman" w:hAnsi="Times New Roman" w:cs="Times New Roman"/>
                <w:sz w:val="24"/>
                <w:szCs w:val="24"/>
                <w:vertAlign w:val="subscript"/>
              </w:rPr>
              <w:t xml:space="preserve"> </w:t>
            </w:r>
            <w:r>
              <w:rPr>
                <w:rFonts w:hint="default" w:ascii="Times New Roman" w:hAnsi="Times New Roman" w:cs="Times New Roman"/>
                <w:sz w:val="24"/>
                <w:szCs w:val="24"/>
              </w:rPr>
              <w:t>%</w:t>
            </w:r>
          </w:p>
        </w:tc>
        <w:tc>
          <w:tcPr>
            <w:tcW w:w="208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3.42</w:t>
            </w:r>
          </w:p>
        </w:tc>
        <w:tc>
          <w:tcPr>
            <w:tcW w:w="17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0.13</w:t>
            </w: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0.96,5.89</w:t>
            </w: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144"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RV, L </w:t>
            </w:r>
          </w:p>
        </w:tc>
        <w:tc>
          <w:tcPr>
            <w:tcW w:w="208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-0.05</w:t>
            </w:r>
          </w:p>
        </w:tc>
        <w:tc>
          <w:tcPr>
            <w:tcW w:w="17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-0.03</w:t>
            </w: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-0.19,0.10</w:t>
            </w: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0.519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144"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TLC, L</w:t>
            </w:r>
          </w:p>
        </w:tc>
        <w:tc>
          <w:tcPr>
            <w:tcW w:w="208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-0.32</w:t>
            </w:r>
          </w:p>
        </w:tc>
        <w:tc>
          <w:tcPr>
            <w:tcW w:w="17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-0.19</w:t>
            </w: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-0.47,-0.17</w:t>
            </w: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14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IOS</w:t>
            </w:r>
          </w:p>
        </w:tc>
        <w:tc>
          <w:tcPr>
            <w:tcW w:w="208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7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144"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R5, Ka/L/s</w:t>
            </w:r>
            <w:r>
              <w:rPr>
                <w:rFonts w:hint="default" w:ascii="Times New Roman" w:hAnsi="Times New Roman" w:cs="Times New Roman"/>
                <w:sz w:val="24"/>
                <w:szCs w:val="24"/>
                <w:vertAlign w:val="superscript"/>
              </w:rPr>
              <w:t xml:space="preserve"> </w:t>
            </w:r>
            <w:r>
              <w:rPr>
                <w:rFonts w:hint="default" w:ascii="Times New Roman" w:hAnsi="Times New Roman" w:cs="Times New Roman"/>
                <w:sz w:val="24"/>
                <w:szCs w:val="24"/>
              </w:rPr>
              <w:t xml:space="preserve"> </w:t>
            </w:r>
          </w:p>
        </w:tc>
        <w:tc>
          <w:tcPr>
            <w:tcW w:w="208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0.02</w:t>
            </w:r>
          </w:p>
        </w:tc>
        <w:tc>
          <w:tcPr>
            <w:tcW w:w="17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0.07</w:t>
            </w: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-0.01,0.03</w:t>
            </w: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0.136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144"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R20, Ka/L/s</w:t>
            </w:r>
            <w:r>
              <w:rPr>
                <w:rFonts w:hint="default" w:ascii="Times New Roman" w:hAnsi="Times New Roman" w:cs="Times New Roman"/>
                <w:sz w:val="24"/>
                <w:szCs w:val="24"/>
                <w:vertAlign w:val="superscript"/>
              </w:rPr>
              <w:t xml:space="preserve"> </w:t>
            </w:r>
          </w:p>
        </w:tc>
        <w:tc>
          <w:tcPr>
            <w:tcW w:w="208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w:t>
            </w:r>
          </w:p>
        </w:tc>
        <w:tc>
          <w:tcPr>
            <w:tcW w:w="17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-0.04</w:t>
            </w: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-0.01,0.01</w:t>
            </w: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0.395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144"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R5-R20, Ka/L/s</w:t>
            </w:r>
            <w:r>
              <w:rPr>
                <w:rFonts w:hint="default" w:ascii="Times New Roman" w:hAnsi="Times New Roman" w:cs="Times New Roman"/>
                <w:sz w:val="24"/>
                <w:szCs w:val="24"/>
                <w:vertAlign w:val="superscript"/>
              </w:rPr>
              <w:t xml:space="preserve"> </w:t>
            </w:r>
          </w:p>
        </w:tc>
        <w:tc>
          <w:tcPr>
            <w:tcW w:w="208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0.02</w:t>
            </w:r>
          </w:p>
        </w:tc>
        <w:tc>
          <w:tcPr>
            <w:tcW w:w="17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0.12</w:t>
            </w: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0.00,0.03</w:t>
            </w: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144"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X5, Ka/L/s</w:t>
            </w:r>
            <w:r>
              <w:rPr>
                <w:rFonts w:hint="default" w:ascii="Times New Roman" w:hAnsi="Times New Roman" w:cs="Times New Roman"/>
                <w:sz w:val="24"/>
                <w:szCs w:val="24"/>
                <w:vertAlign w:val="superscript"/>
              </w:rPr>
              <w:t xml:space="preserve"> </w:t>
            </w:r>
            <w:r>
              <w:rPr>
                <w:rFonts w:hint="default" w:ascii="Times New Roman" w:hAnsi="Times New Roman" w:cs="Times New Roman"/>
                <w:sz w:val="24"/>
                <w:szCs w:val="24"/>
              </w:rPr>
              <w:t xml:space="preserve"> </w:t>
            </w:r>
          </w:p>
        </w:tc>
        <w:tc>
          <w:tcPr>
            <w:tcW w:w="208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-0.02</w:t>
            </w:r>
          </w:p>
        </w:tc>
        <w:tc>
          <w:tcPr>
            <w:tcW w:w="17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-0.12</w:t>
            </w: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-0.04,-0.00</w:t>
            </w: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144"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AX, Ka/L</w:t>
            </w:r>
            <w:r>
              <w:rPr>
                <w:rFonts w:hint="default" w:ascii="Times New Roman" w:hAnsi="Times New Roman" w:cs="Times New Roman"/>
                <w:sz w:val="24"/>
                <w:szCs w:val="24"/>
                <w:vertAlign w:val="superscript"/>
              </w:rPr>
              <w:t xml:space="preserve"> </w:t>
            </w:r>
          </w:p>
        </w:tc>
        <w:tc>
          <w:tcPr>
            <w:tcW w:w="208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0.29</w:t>
            </w:r>
          </w:p>
        </w:tc>
        <w:tc>
          <w:tcPr>
            <w:tcW w:w="17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0.14</w:t>
            </w: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0.09,0.49</w:t>
            </w: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144"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Fres, Hz</w:t>
            </w:r>
          </w:p>
        </w:tc>
        <w:tc>
          <w:tcPr>
            <w:tcW w:w="208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1.64</w:t>
            </w:r>
          </w:p>
        </w:tc>
        <w:tc>
          <w:tcPr>
            <w:tcW w:w="17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0.16</w:t>
            </w: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0.62,2.67</w:t>
            </w: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14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postbronchodilator</w:t>
            </w:r>
          </w:p>
        </w:tc>
        <w:tc>
          <w:tcPr>
            <w:tcW w:w="208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7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144"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MMEF, %predicted</w:t>
            </w:r>
          </w:p>
        </w:tc>
        <w:tc>
          <w:tcPr>
            <w:tcW w:w="208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-2.08</w:t>
            </w:r>
          </w:p>
        </w:tc>
        <w:tc>
          <w:tcPr>
            <w:tcW w:w="17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-0.12</w:t>
            </w: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-3.78,-0.39</w:t>
            </w: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144"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FEF</w:t>
            </w:r>
            <w:r>
              <w:rPr>
                <w:rFonts w:hint="default" w:ascii="Times New Roman" w:hAnsi="Times New Roman" w:cs="Times New Roman"/>
                <w:sz w:val="24"/>
                <w:szCs w:val="24"/>
                <w:vertAlign w:val="subscript"/>
              </w:rPr>
              <w:t>50</w:t>
            </w:r>
            <w:r>
              <w:rPr>
                <w:rFonts w:hint="default" w:ascii="Times New Roman" w:hAnsi="Times New Roman" w:cs="Times New Roman"/>
                <w:sz w:val="24"/>
                <w:szCs w:val="24"/>
              </w:rPr>
              <w:t>, %predicted</w:t>
            </w:r>
          </w:p>
        </w:tc>
        <w:tc>
          <w:tcPr>
            <w:tcW w:w="208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-2.86</w:t>
            </w:r>
          </w:p>
        </w:tc>
        <w:tc>
          <w:tcPr>
            <w:tcW w:w="17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-0.15</w:t>
            </w: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-4.76,-0.96</w:t>
            </w: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144"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FEF</w:t>
            </w:r>
            <w:r>
              <w:rPr>
                <w:rFonts w:hint="default" w:ascii="Times New Roman" w:hAnsi="Times New Roman" w:cs="Times New Roman"/>
                <w:sz w:val="24"/>
                <w:szCs w:val="24"/>
                <w:vertAlign w:val="subscript"/>
              </w:rPr>
              <w:t>75</w:t>
            </w:r>
            <w:r>
              <w:rPr>
                <w:rFonts w:hint="default" w:ascii="Times New Roman" w:hAnsi="Times New Roman" w:cs="Times New Roman"/>
                <w:sz w:val="24"/>
                <w:szCs w:val="24"/>
              </w:rPr>
              <w:t>, %predicted</w:t>
            </w:r>
          </w:p>
        </w:tc>
        <w:tc>
          <w:tcPr>
            <w:tcW w:w="208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0.19</w:t>
            </w:r>
          </w:p>
        </w:tc>
        <w:tc>
          <w:tcPr>
            <w:tcW w:w="17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w:t>
            </w: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-1.37,1.75</w:t>
            </w: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0.813</w:t>
            </w:r>
          </w:p>
        </w:tc>
      </w:tr>
    </w:tbl>
    <w:p>
      <w:pPr>
        <w:keepNext w:val="0"/>
        <w:keepLines w:val="0"/>
        <w:pageBreakBefore w:val="0"/>
        <w:widowControl w:val="0"/>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Note: All the models were adjusted for </w:t>
      </w:r>
      <w:r>
        <w:rPr>
          <w:rFonts w:hint="default" w:ascii="Times New Roman" w:hAnsi="Times New Roman" w:cs="Times New Roman"/>
          <w:sz w:val="24"/>
          <w:szCs w:val="24"/>
        </w:rPr>
        <w:t>sex, BMI, smoking status, smoking index, educational level, asthma, tuberculosis, chronic bronchitis, annual household income, smokers living at home, parental history of respiratory disease, occupation exposure &gt; 6 months, indoor exposure to biomass for cooking or heating.</w:t>
      </w:r>
      <w:r>
        <w:rPr>
          <w:rFonts w:hint="default" w:ascii="Times New Roman" w:hAnsi="Times New Roman" w:eastAsia="宋体" w:cs="Times New Roman"/>
          <w:sz w:val="24"/>
          <w:szCs w:val="24"/>
        </w:rPr>
        <w:t>All the variables of age in these models mean per 10 years unit increase.</w:t>
      </w:r>
    </w:p>
    <w:p>
      <w:pPr>
        <w:keepNext w:val="0"/>
        <w:keepLines w:val="0"/>
        <w:pageBreakBefore w:val="0"/>
        <w:widowControl w:val="0"/>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Abbreviations: </w:t>
      </w:r>
      <w:r>
        <w:rPr>
          <w:rFonts w:hint="default" w:ascii="Times New Roman" w:hAnsi="Times New Roman" w:cs="Times New Roman"/>
          <w:sz w:val="24"/>
          <w:szCs w:val="24"/>
        </w:rPr>
        <w:t xml:space="preserve">CI =confidence interval; </w:t>
      </w:r>
      <w:r>
        <w:rPr>
          <w:rFonts w:hint="default" w:ascii="Times New Roman" w:hAnsi="Times New Roman" w:eastAsia="宋体" w:cs="Times New Roman"/>
          <w:sz w:val="24"/>
          <w:szCs w:val="24"/>
        </w:rPr>
        <w:t>β = estimate; definitions of other abbreviations see Table 1.</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e-Table 5. Multi-adjusted contributions of age to the extent of SAD among IOS-defined SAD subjects from subjects without airflow limitation (n = 207).</w:t>
      </w:r>
    </w:p>
    <w:tbl>
      <w:tblPr>
        <w:tblStyle w:val="5"/>
        <w:tblW w:w="9624" w:type="dxa"/>
        <w:tblInd w:w="-977"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048"/>
        <w:gridCol w:w="2076"/>
        <w:gridCol w:w="1824"/>
        <w:gridCol w:w="1548"/>
        <w:gridCol w:w="112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48"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Outcomes for SAD markers</w:t>
            </w:r>
          </w:p>
        </w:tc>
        <w:tc>
          <w:tcPr>
            <w:tcW w:w="2076"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Unstandardized β</w:t>
            </w:r>
          </w:p>
        </w:tc>
        <w:tc>
          <w:tcPr>
            <w:tcW w:w="1824"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Standardized β</w:t>
            </w:r>
          </w:p>
        </w:tc>
        <w:tc>
          <w:tcPr>
            <w:tcW w:w="1548"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95%CI</w:t>
            </w:r>
          </w:p>
        </w:tc>
        <w:tc>
          <w:tcPr>
            <w:tcW w:w="1128"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P value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48"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CT</w:t>
            </w:r>
          </w:p>
        </w:tc>
        <w:tc>
          <w:tcPr>
            <w:tcW w:w="2076"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824"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548"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128"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48"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LAA</w:t>
            </w:r>
            <w:r>
              <w:rPr>
                <w:rFonts w:hint="default" w:ascii="Times New Roman" w:hAnsi="Times New Roman" w:cs="Times New Roman"/>
                <w:sz w:val="24"/>
                <w:szCs w:val="24"/>
                <w:vertAlign w:val="subscript"/>
              </w:rPr>
              <w:t>−950</w:t>
            </w:r>
            <w:r>
              <w:rPr>
                <w:rFonts w:hint="default" w:ascii="Times New Roman" w:hAnsi="Times New Roman" w:cs="Times New Roman"/>
                <w:sz w:val="24"/>
                <w:szCs w:val="24"/>
              </w:rPr>
              <w:t>, %</w:t>
            </w:r>
          </w:p>
        </w:tc>
        <w:tc>
          <w:tcPr>
            <w:tcW w:w="20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0.12</w:t>
            </w:r>
          </w:p>
        </w:tc>
        <w:tc>
          <w:tcPr>
            <w:tcW w:w="182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0.13</w:t>
            </w:r>
          </w:p>
        </w:tc>
        <w:tc>
          <w:tcPr>
            <w:tcW w:w="154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-0.00,0.25</w:t>
            </w:r>
          </w:p>
        </w:tc>
        <w:tc>
          <w:tcPr>
            <w:tcW w:w="112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sz w:val="24"/>
                <w:szCs w:val="24"/>
              </w:rPr>
              <w:t>0.056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48"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LAA</w:t>
            </w:r>
            <w:r>
              <w:rPr>
                <w:rFonts w:hint="default" w:ascii="Times New Roman" w:hAnsi="Times New Roman" w:cs="Times New Roman"/>
                <w:sz w:val="24"/>
                <w:szCs w:val="24"/>
                <w:vertAlign w:val="subscript"/>
              </w:rPr>
              <w:t>−856</w:t>
            </w:r>
            <w:r>
              <w:rPr>
                <w:rFonts w:hint="default" w:ascii="Times New Roman" w:hAnsi="Times New Roman" w:cs="Times New Roman"/>
                <w:sz w:val="24"/>
                <w:szCs w:val="24"/>
              </w:rPr>
              <w:t>,</w:t>
            </w:r>
            <w:r>
              <w:rPr>
                <w:rFonts w:hint="default" w:ascii="Times New Roman" w:hAnsi="Times New Roman" w:cs="Times New Roman"/>
                <w:sz w:val="24"/>
                <w:szCs w:val="24"/>
                <w:vertAlign w:val="subscript"/>
              </w:rPr>
              <w:t xml:space="preserve"> </w:t>
            </w:r>
            <w:r>
              <w:rPr>
                <w:rFonts w:hint="default" w:ascii="Times New Roman" w:hAnsi="Times New Roman" w:cs="Times New Roman"/>
                <w:sz w:val="24"/>
                <w:szCs w:val="24"/>
              </w:rPr>
              <w:t>%</w:t>
            </w:r>
          </w:p>
        </w:tc>
        <w:tc>
          <w:tcPr>
            <w:tcW w:w="20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3.08</w:t>
            </w:r>
          </w:p>
        </w:tc>
        <w:tc>
          <w:tcPr>
            <w:tcW w:w="182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0.38</w:t>
            </w:r>
          </w:p>
        </w:tc>
        <w:tc>
          <w:tcPr>
            <w:tcW w:w="154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1.97,4.19</w:t>
            </w:r>
          </w:p>
        </w:tc>
        <w:tc>
          <w:tcPr>
            <w:tcW w:w="112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48"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RV, L </w:t>
            </w:r>
          </w:p>
        </w:tc>
        <w:tc>
          <w:tcPr>
            <w:tcW w:w="20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0.09</w:t>
            </w:r>
          </w:p>
        </w:tc>
        <w:tc>
          <w:tcPr>
            <w:tcW w:w="182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0.15</w:t>
            </w:r>
          </w:p>
        </w:tc>
        <w:tc>
          <w:tcPr>
            <w:tcW w:w="154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0.01,0.18</w:t>
            </w:r>
          </w:p>
        </w:tc>
        <w:tc>
          <w:tcPr>
            <w:tcW w:w="112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0.022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48"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TLC, L</w:t>
            </w:r>
          </w:p>
        </w:tc>
        <w:tc>
          <w:tcPr>
            <w:tcW w:w="20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-0.12</w:t>
            </w:r>
          </w:p>
        </w:tc>
        <w:tc>
          <w:tcPr>
            <w:tcW w:w="182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-0.10</w:t>
            </w:r>
          </w:p>
        </w:tc>
        <w:tc>
          <w:tcPr>
            <w:tcW w:w="154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-0.25,0.01</w:t>
            </w:r>
          </w:p>
        </w:tc>
        <w:tc>
          <w:tcPr>
            <w:tcW w:w="112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0.074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4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IOS</w:t>
            </w:r>
          </w:p>
        </w:tc>
        <w:tc>
          <w:tcPr>
            <w:tcW w:w="20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82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54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12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3048"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R5, Ka/L/s </w:t>
            </w:r>
          </w:p>
        </w:tc>
        <w:tc>
          <w:tcPr>
            <w:tcW w:w="20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w:t>
            </w:r>
          </w:p>
        </w:tc>
        <w:tc>
          <w:tcPr>
            <w:tcW w:w="182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w:t>
            </w:r>
          </w:p>
        </w:tc>
        <w:tc>
          <w:tcPr>
            <w:tcW w:w="154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-0.01,0.01</w:t>
            </w:r>
          </w:p>
        </w:tc>
        <w:tc>
          <w:tcPr>
            <w:tcW w:w="112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0.982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48"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R20, Ka/L/s</w:t>
            </w:r>
            <w:r>
              <w:rPr>
                <w:rFonts w:hint="default" w:ascii="Times New Roman" w:hAnsi="Times New Roman" w:cs="Times New Roman"/>
                <w:sz w:val="24"/>
                <w:szCs w:val="24"/>
                <w:vertAlign w:val="superscript"/>
              </w:rPr>
              <w:t xml:space="preserve"> </w:t>
            </w:r>
          </w:p>
        </w:tc>
        <w:tc>
          <w:tcPr>
            <w:tcW w:w="20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w:t>
            </w:r>
          </w:p>
        </w:tc>
        <w:tc>
          <w:tcPr>
            <w:tcW w:w="182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-0.04</w:t>
            </w:r>
          </w:p>
        </w:tc>
        <w:tc>
          <w:tcPr>
            <w:tcW w:w="154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-0.01,0.01</w:t>
            </w:r>
          </w:p>
        </w:tc>
        <w:tc>
          <w:tcPr>
            <w:tcW w:w="112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0.605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48"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R5-R20, Ka/L/s</w:t>
            </w:r>
            <w:r>
              <w:rPr>
                <w:rFonts w:hint="default" w:ascii="Times New Roman" w:hAnsi="Times New Roman" w:cs="Times New Roman"/>
                <w:sz w:val="24"/>
                <w:szCs w:val="24"/>
                <w:vertAlign w:val="superscript"/>
              </w:rPr>
              <w:t xml:space="preserve"> </w:t>
            </w:r>
          </w:p>
        </w:tc>
        <w:tc>
          <w:tcPr>
            <w:tcW w:w="20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w:t>
            </w:r>
          </w:p>
        </w:tc>
        <w:tc>
          <w:tcPr>
            <w:tcW w:w="182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0.06</w:t>
            </w:r>
          </w:p>
        </w:tc>
        <w:tc>
          <w:tcPr>
            <w:tcW w:w="154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-0.01,0.01</w:t>
            </w:r>
          </w:p>
        </w:tc>
        <w:tc>
          <w:tcPr>
            <w:tcW w:w="112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0.406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48"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X5, Ka/L/s </w:t>
            </w:r>
          </w:p>
        </w:tc>
        <w:tc>
          <w:tcPr>
            <w:tcW w:w="20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w:t>
            </w:r>
          </w:p>
        </w:tc>
        <w:tc>
          <w:tcPr>
            <w:tcW w:w="182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-0.20</w:t>
            </w:r>
          </w:p>
        </w:tc>
        <w:tc>
          <w:tcPr>
            <w:tcW w:w="154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-0.02,-0.00</w:t>
            </w:r>
          </w:p>
        </w:tc>
        <w:tc>
          <w:tcPr>
            <w:tcW w:w="112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48"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AX, Ka/L</w:t>
            </w:r>
            <w:r>
              <w:rPr>
                <w:rFonts w:hint="default" w:ascii="Times New Roman" w:hAnsi="Times New Roman" w:cs="Times New Roman"/>
                <w:sz w:val="24"/>
                <w:szCs w:val="24"/>
                <w:vertAlign w:val="superscript"/>
              </w:rPr>
              <w:t xml:space="preserve"> </w:t>
            </w:r>
          </w:p>
        </w:tc>
        <w:tc>
          <w:tcPr>
            <w:tcW w:w="20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0.08</w:t>
            </w:r>
          </w:p>
        </w:tc>
        <w:tc>
          <w:tcPr>
            <w:tcW w:w="182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0.17</w:t>
            </w:r>
          </w:p>
        </w:tc>
        <w:tc>
          <w:tcPr>
            <w:tcW w:w="154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0.01,0.15</w:t>
            </w:r>
          </w:p>
        </w:tc>
        <w:tc>
          <w:tcPr>
            <w:tcW w:w="112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0.022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48"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Fres, Hz</w:t>
            </w:r>
          </w:p>
        </w:tc>
        <w:tc>
          <w:tcPr>
            <w:tcW w:w="20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0.48</w:t>
            </w:r>
          </w:p>
        </w:tc>
        <w:tc>
          <w:tcPr>
            <w:tcW w:w="182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0.15</w:t>
            </w:r>
          </w:p>
        </w:tc>
        <w:tc>
          <w:tcPr>
            <w:tcW w:w="154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0.00,0.97</w:t>
            </w:r>
          </w:p>
        </w:tc>
        <w:tc>
          <w:tcPr>
            <w:tcW w:w="112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0.050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4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postbronchodilator</w:t>
            </w:r>
          </w:p>
        </w:tc>
        <w:tc>
          <w:tcPr>
            <w:tcW w:w="20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82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54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12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48"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MMEF, %predicted</w:t>
            </w:r>
          </w:p>
        </w:tc>
        <w:tc>
          <w:tcPr>
            <w:tcW w:w="20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-2.82</w:t>
            </w:r>
          </w:p>
        </w:tc>
        <w:tc>
          <w:tcPr>
            <w:tcW w:w="182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-0.12</w:t>
            </w:r>
          </w:p>
        </w:tc>
        <w:tc>
          <w:tcPr>
            <w:tcW w:w="154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-6.13,0.50</w:t>
            </w:r>
          </w:p>
        </w:tc>
        <w:tc>
          <w:tcPr>
            <w:tcW w:w="112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0.095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48"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FEF</w:t>
            </w:r>
            <w:r>
              <w:rPr>
                <w:rFonts w:hint="default" w:ascii="Times New Roman" w:hAnsi="Times New Roman" w:cs="Times New Roman"/>
                <w:sz w:val="24"/>
                <w:szCs w:val="24"/>
                <w:vertAlign w:val="subscript"/>
              </w:rPr>
              <w:t>50</w:t>
            </w:r>
            <w:r>
              <w:rPr>
                <w:rFonts w:hint="default" w:ascii="Times New Roman" w:hAnsi="Times New Roman" w:cs="Times New Roman"/>
                <w:sz w:val="24"/>
                <w:szCs w:val="24"/>
              </w:rPr>
              <w:t>, %predicted</w:t>
            </w:r>
          </w:p>
        </w:tc>
        <w:tc>
          <w:tcPr>
            <w:tcW w:w="20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-3.08</w:t>
            </w:r>
          </w:p>
        </w:tc>
        <w:tc>
          <w:tcPr>
            <w:tcW w:w="182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-0.12</w:t>
            </w:r>
          </w:p>
        </w:tc>
        <w:tc>
          <w:tcPr>
            <w:tcW w:w="154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-6.65,0.49</w:t>
            </w:r>
          </w:p>
        </w:tc>
        <w:tc>
          <w:tcPr>
            <w:tcW w:w="112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0.090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48"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FEF</w:t>
            </w:r>
            <w:r>
              <w:rPr>
                <w:rFonts w:hint="default" w:ascii="Times New Roman" w:hAnsi="Times New Roman" w:cs="Times New Roman"/>
                <w:sz w:val="24"/>
                <w:szCs w:val="24"/>
                <w:vertAlign w:val="subscript"/>
              </w:rPr>
              <w:t>75</w:t>
            </w:r>
            <w:r>
              <w:rPr>
                <w:rFonts w:hint="default" w:ascii="Times New Roman" w:hAnsi="Times New Roman" w:cs="Times New Roman"/>
                <w:sz w:val="24"/>
                <w:szCs w:val="24"/>
              </w:rPr>
              <w:t>, %predicted</w:t>
            </w:r>
          </w:p>
        </w:tc>
        <w:tc>
          <w:tcPr>
            <w:tcW w:w="20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-1.39</w:t>
            </w:r>
          </w:p>
        </w:tc>
        <w:tc>
          <w:tcPr>
            <w:tcW w:w="182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-0.05</w:t>
            </w:r>
          </w:p>
        </w:tc>
        <w:tc>
          <w:tcPr>
            <w:tcW w:w="154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-5.88,3.11</w:t>
            </w:r>
          </w:p>
        </w:tc>
        <w:tc>
          <w:tcPr>
            <w:tcW w:w="112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0.543</w:t>
            </w:r>
          </w:p>
        </w:tc>
      </w:tr>
    </w:tbl>
    <w:p>
      <w:pPr>
        <w:keepNext w:val="0"/>
        <w:keepLines w:val="0"/>
        <w:pageBreakBefore w:val="0"/>
        <w:widowControl w:val="0"/>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Note: </w:t>
      </w:r>
      <w:r>
        <w:rPr>
          <w:rFonts w:hint="default" w:ascii="Times New Roman" w:hAnsi="Times New Roman" w:cs="Times New Roman"/>
          <w:sz w:val="24"/>
          <w:szCs w:val="24"/>
        </w:rPr>
        <w:t xml:space="preserve">All these </w:t>
      </w:r>
      <w:r>
        <w:rPr>
          <w:rFonts w:hint="default" w:ascii="Times New Roman" w:hAnsi="Times New Roman" w:eastAsia="宋体" w:cs="Times New Roman"/>
          <w:sz w:val="24"/>
          <w:szCs w:val="24"/>
        </w:rPr>
        <w:t xml:space="preserve">models were all adjusted for </w:t>
      </w:r>
      <w:r>
        <w:rPr>
          <w:rFonts w:hint="default" w:ascii="Times New Roman" w:hAnsi="Times New Roman" w:cs="Times New Roman"/>
          <w:sz w:val="24"/>
          <w:szCs w:val="24"/>
        </w:rPr>
        <w:t xml:space="preserve">sex, BMI, smoking status, smoking index, educational level, asthma, tuberculosis, chronic bronchitis, annual household income, smokers living at home, parental history of respiratory disease, occupation exposure &gt; 6 months, indoor exposure to biomass for cooking or heating. </w:t>
      </w:r>
      <w:r>
        <w:rPr>
          <w:rFonts w:hint="default" w:ascii="Times New Roman" w:hAnsi="Times New Roman" w:eastAsia="宋体" w:cs="Times New Roman"/>
          <w:sz w:val="24"/>
          <w:szCs w:val="24"/>
        </w:rPr>
        <w:t xml:space="preserve">All the variables of age in these models indicate per 10 years increase. Abbreviations: </w:t>
      </w:r>
      <w:r>
        <w:rPr>
          <w:rFonts w:hint="default" w:ascii="Times New Roman" w:hAnsi="Times New Roman" w:cs="Times New Roman"/>
          <w:sz w:val="24"/>
          <w:szCs w:val="24"/>
        </w:rPr>
        <w:t xml:space="preserve">CI =confidence interval; </w:t>
      </w:r>
      <w:r>
        <w:rPr>
          <w:rFonts w:hint="default" w:ascii="Times New Roman" w:hAnsi="Times New Roman" w:eastAsia="宋体" w:cs="Times New Roman"/>
          <w:sz w:val="24"/>
          <w:szCs w:val="24"/>
        </w:rPr>
        <w:t>β = estimate; definitions of other abbreviations see Table 1.</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e-Table 6. Multi-adjusted contributions of age to the extent of SAD among IOS-defined SAD subjects from subjects with airflow limitation (n = 396).</w:t>
      </w:r>
    </w:p>
    <w:tbl>
      <w:tblPr>
        <w:tblStyle w:val="5"/>
        <w:tblW w:w="9648" w:type="dxa"/>
        <w:tblInd w:w="-1001"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976"/>
        <w:gridCol w:w="2112"/>
        <w:gridCol w:w="1860"/>
        <w:gridCol w:w="1608"/>
        <w:gridCol w:w="1092"/>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76"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Outcomes for SAD markers</w:t>
            </w:r>
          </w:p>
        </w:tc>
        <w:tc>
          <w:tcPr>
            <w:tcW w:w="2112"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Unstandardized β</w:t>
            </w:r>
          </w:p>
        </w:tc>
        <w:tc>
          <w:tcPr>
            <w:tcW w:w="1860"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Standardized β</w:t>
            </w:r>
          </w:p>
        </w:tc>
        <w:tc>
          <w:tcPr>
            <w:tcW w:w="1608"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95%CI</w:t>
            </w:r>
          </w:p>
        </w:tc>
        <w:tc>
          <w:tcPr>
            <w:tcW w:w="1092"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P value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76"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CT</w:t>
            </w:r>
          </w:p>
        </w:tc>
        <w:tc>
          <w:tcPr>
            <w:tcW w:w="2112"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860"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608"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092"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7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LAA</w:t>
            </w:r>
            <w:r>
              <w:rPr>
                <w:rFonts w:hint="default" w:ascii="Times New Roman" w:hAnsi="Times New Roman" w:cs="Times New Roman"/>
                <w:sz w:val="24"/>
                <w:szCs w:val="24"/>
                <w:vertAlign w:val="subscript"/>
              </w:rPr>
              <w:t>−950</w:t>
            </w:r>
            <w:r>
              <w:rPr>
                <w:rFonts w:hint="default" w:ascii="Times New Roman" w:hAnsi="Times New Roman" w:cs="Times New Roman"/>
                <w:sz w:val="24"/>
                <w:szCs w:val="24"/>
              </w:rPr>
              <w:t>, %</w:t>
            </w:r>
          </w:p>
        </w:tc>
        <w:tc>
          <w:tcPr>
            <w:tcW w:w="21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0.50</w:t>
            </w:r>
          </w:p>
        </w:tc>
        <w:tc>
          <w:tcPr>
            <w:tcW w:w="18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0.04</w:t>
            </w:r>
          </w:p>
        </w:tc>
        <w:tc>
          <w:tcPr>
            <w:tcW w:w="160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-0.63,1.63</w:t>
            </w:r>
          </w:p>
        </w:tc>
        <w:tc>
          <w:tcPr>
            <w:tcW w:w="109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sz w:val="24"/>
                <w:szCs w:val="24"/>
              </w:rPr>
              <w:t>0.385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7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LAA</w:t>
            </w:r>
            <w:r>
              <w:rPr>
                <w:rFonts w:hint="default" w:ascii="Times New Roman" w:hAnsi="Times New Roman" w:cs="Times New Roman"/>
                <w:sz w:val="24"/>
                <w:szCs w:val="24"/>
                <w:vertAlign w:val="subscript"/>
              </w:rPr>
              <w:t>−856</w:t>
            </w:r>
            <w:r>
              <w:rPr>
                <w:rFonts w:hint="default" w:ascii="Times New Roman" w:hAnsi="Times New Roman" w:cs="Times New Roman"/>
                <w:sz w:val="24"/>
                <w:szCs w:val="24"/>
              </w:rPr>
              <w:t>,</w:t>
            </w:r>
            <w:r>
              <w:rPr>
                <w:rFonts w:hint="default" w:ascii="Times New Roman" w:hAnsi="Times New Roman" w:cs="Times New Roman"/>
                <w:sz w:val="24"/>
                <w:szCs w:val="24"/>
                <w:vertAlign w:val="subscript"/>
              </w:rPr>
              <w:t xml:space="preserve"> </w:t>
            </w:r>
            <w:r>
              <w:rPr>
                <w:rFonts w:hint="default" w:ascii="Times New Roman" w:hAnsi="Times New Roman" w:cs="Times New Roman"/>
                <w:sz w:val="24"/>
                <w:szCs w:val="24"/>
              </w:rPr>
              <w:t>%</w:t>
            </w:r>
          </w:p>
        </w:tc>
        <w:tc>
          <w:tcPr>
            <w:tcW w:w="21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6.21</w:t>
            </w:r>
          </w:p>
        </w:tc>
        <w:tc>
          <w:tcPr>
            <w:tcW w:w="18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0.21</w:t>
            </w:r>
          </w:p>
        </w:tc>
        <w:tc>
          <w:tcPr>
            <w:tcW w:w="160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4.32,8.10</w:t>
            </w:r>
          </w:p>
        </w:tc>
        <w:tc>
          <w:tcPr>
            <w:tcW w:w="109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7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RV, L </w:t>
            </w:r>
          </w:p>
        </w:tc>
        <w:tc>
          <w:tcPr>
            <w:tcW w:w="21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0.02</w:t>
            </w:r>
          </w:p>
        </w:tc>
        <w:tc>
          <w:tcPr>
            <w:tcW w:w="18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0.02</w:t>
            </w:r>
          </w:p>
        </w:tc>
        <w:tc>
          <w:tcPr>
            <w:tcW w:w="160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-0.12,0.17</w:t>
            </w:r>
          </w:p>
        </w:tc>
        <w:tc>
          <w:tcPr>
            <w:tcW w:w="109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0.758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7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TLC, L</w:t>
            </w:r>
          </w:p>
        </w:tc>
        <w:tc>
          <w:tcPr>
            <w:tcW w:w="21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-0.32</w:t>
            </w:r>
          </w:p>
        </w:tc>
        <w:tc>
          <w:tcPr>
            <w:tcW w:w="18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-0.20</w:t>
            </w:r>
          </w:p>
        </w:tc>
        <w:tc>
          <w:tcPr>
            <w:tcW w:w="160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-0.47,-0.16</w:t>
            </w:r>
          </w:p>
        </w:tc>
        <w:tc>
          <w:tcPr>
            <w:tcW w:w="109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IOS</w:t>
            </w:r>
          </w:p>
        </w:tc>
        <w:tc>
          <w:tcPr>
            <w:tcW w:w="21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8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60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09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7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R5, Ka/L/s </w:t>
            </w:r>
          </w:p>
        </w:tc>
        <w:tc>
          <w:tcPr>
            <w:tcW w:w="21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w:t>
            </w:r>
          </w:p>
        </w:tc>
        <w:tc>
          <w:tcPr>
            <w:tcW w:w="18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-0.02</w:t>
            </w:r>
          </w:p>
        </w:tc>
        <w:tc>
          <w:tcPr>
            <w:tcW w:w="160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-0.02,0.01</w:t>
            </w:r>
          </w:p>
        </w:tc>
        <w:tc>
          <w:tcPr>
            <w:tcW w:w="109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0.668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7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R20, Ka/L/s</w:t>
            </w:r>
            <w:r>
              <w:rPr>
                <w:rFonts w:hint="default" w:ascii="Times New Roman" w:hAnsi="Times New Roman" w:cs="Times New Roman"/>
                <w:sz w:val="24"/>
                <w:szCs w:val="24"/>
                <w:vertAlign w:val="superscript"/>
              </w:rPr>
              <w:t xml:space="preserve"> </w:t>
            </w:r>
          </w:p>
        </w:tc>
        <w:tc>
          <w:tcPr>
            <w:tcW w:w="21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w:t>
            </w:r>
          </w:p>
        </w:tc>
        <w:tc>
          <w:tcPr>
            <w:tcW w:w="18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-0.05</w:t>
            </w:r>
          </w:p>
        </w:tc>
        <w:tc>
          <w:tcPr>
            <w:tcW w:w="160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-0.01,0.00</w:t>
            </w:r>
          </w:p>
        </w:tc>
        <w:tc>
          <w:tcPr>
            <w:tcW w:w="109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0.287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7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R5-R20, Ka/L/s</w:t>
            </w:r>
            <w:r>
              <w:rPr>
                <w:rFonts w:hint="default" w:ascii="Times New Roman" w:hAnsi="Times New Roman" w:cs="Times New Roman"/>
                <w:sz w:val="24"/>
                <w:szCs w:val="24"/>
                <w:vertAlign w:val="superscript"/>
              </w:rPr>
              <w:t xml:space="preserve"> </w:t>
            </w:r>
          </w:p>
        </w:tc>
        <w:tc>
          <w:tcPr>
            <w:tcW w:w="21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w:t>
            </w:r>
          </w:p>
        </w:tc>
        <w:tc>
          <w:tcPr>
            <w:tcW w:w="18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w:t>
            </w:r>
          </w:p>
        </w:tc>
        <w:tc>
          <w:tcPr>
            <w:tcW w:w="160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-0.01,0.01</w:t>
            </w:r>
          </w:p>
        </w:tc>
        <w:tc>
          <w:tcPr>
            <w:tcW w:w="109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0.843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7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X5, Ka/L/s</w:t>
            </w:r>
            <w:r>
              <w:rPr>
                <w:rFonts w:hint="default" w:ascii="Times New Roman" w:hAnsi="Times New Roman" w:cs="Times New Roman"/>
                <w:sz w:val="24"/>
                <w:szCs w:val="24"/>
                <w:vertAlign w:val="superscript"/>
              </w:rPr>
              <w:t xml:space="preserve"> </w:t>
            </w:r>
            <w:r>
              <w:rPr>
                <w:rFonts w:hint="default" w:ascii="Times New Roman" w:hAnsi="Times New Roman" w:cs="Times New Roman"/>
                <w:sz w:val="24"/>
                <w:szCs w:val="24"/>
              </w:rPr>
              <w:t xml:space="preserve"> </w:t>
            </w:r>
          </w:p>
        </w:tc>
        <w:tc>
          <w:tcPr>
            <w:tcW w:w="21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w:t>
            </w:r>
          </w:p>
        </w:tc>
        <w:tc>
          <w:tcPr>
            <w:tcW w:w="18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-0.09</w:t>
            </w:r>
          </w:p>
        </w:tc>
        <w:tc>
          <w:tcPr>
            <w:tcW w:w="160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0.12,0.00</w:t>
            </w:r>
          </w:p>
        </w:tc>
        <w:tc>
          <w:tcPr>
            <w:tcW w:w="109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0.117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7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AX, Ka/L</w:t>
            </w:r>
            <w:r>
              <w:rPr>
                <w:rFonts w:hint="default" w:ascii="Times New Roman" w:hAnsi="Times New Roman" w:cs="Times New Roman"/>
                <w:sz w:val="24"/>
                <w:szCs w:val="24"/>
                <w:vertAlign w:val="superscript"/>
              </w:rPr>
              <w:t xml:space="preserve"> </w:t>
            </w:r>
          </w:p>
        </w:tc>
        <w:tc>
          <w:tcPr>
            <w:tcW w:w="21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0.09</w:t>
            </w:r>
          </w:p>
        </w:tc>
        <w:tc>
          <w:tcPr>
            <w:tcW w:w="18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0.05</w:t>
            </w:r>
          </w:p>
        </w:tc>
        <w:tc>
          <w:tcPr>
            <w:tcW w:w="160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-0.10,0.28</w:t>
            </w:r>
          </w:p>
        </w:tc>
        <w:tc>
          <w:tcPr>
            <w:tcW w:w="109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0.334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7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Fres, Hz</w:t>
            </w:r>
          </w:p>
        </w:tc>
        <w:tc>
          <w:tcPr>
            <w:tcW w:w="21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0.27</w:t>
            </w:r>
          </w:p>
        </w:tc>
        <w:tc>
          <w:tcPr>
            <w:tcW w:w="18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0.04</w:t>
            </w:r>
          </w:p>
        </w:tc>
        <w:tc>
          <w:tcPr>
            <w:tcW w:w="160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-0.43,0.98</w:t>
            </w:r>
          </w:p>
        </w:tc>
        <w:tc>
          <w:tcPr>
            <w:tcW w:w="109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0.442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7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postbronchodilator</w:t>
            </w:r>
          </w:p>
        </w:tc>
        <w:tc>
          <w:tcPr>
            <w:tcW w:w="21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8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60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09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7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MMEF, %predicted</w:t>
            </w:r>
          </w:p>
        </w:tc>
        <w:tc>
          <w:tcPr>
            <w:tcW w:w="21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-2.24</w:t>
            </w:r>
          </w:p>
        </w:tc>
        <w:tc>
          <w:tcPr>
            <w:tcW w:w="18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-0.08</w:t>
            </w:r>
          </w:p>
        </w:tc>
        <w:tc>
          <w:tcPr>
            <w:tcW w:w="160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-3.59,-0.89</w:t>
            </w:r>
          </w:p>
        </w:tc>
        <w:tc>
          <w:tcPr>
            <w:tcW w:w="109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7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FEF</w:t>
            </w:r>
            <w:r>
              <w:rPr>
                <w:rFonts w:hint="default" w:ascii="Times New Roman" w:hAnsi="Times New Roman" w:cs="Times New Roman"/>
                <w:sz w:val="24"/>
                <w:szCs w:val="24"/>
                <w:vertAlign w:val="subscript"/>
              </w:rPr>
              <w:t>50</w:t>
            </w:r>
            <w:r>
              <w:rPr>
                <w:rFonts w:hint="default" w:ascii="Times New Roman" w:hAnsi="Times New Roman" w:cs="Times New Roman"/>
                <w:sz w:val="24"/>
                <w:szCs w:val="24"/>
              </w:rPr>
              <w:t>, %predicted</w:t>
            </w:r>
          </w:p>
        </w:tc>
        <w:tc>
          <w:tcPr>
            <w:tcW w:w="21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-2.56</w:t>
            </w:r>
          </w:p>
        </w:tc>
        <w:tc>
          <w:tcPr>
            <w:tcW w:w="18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-0.15</w:t>
            </w:r>
          </w:p>
        </w:tc>
        <w:tc>
          <w:tcPr>
            <w:tcW w:w="160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-4.18,-0.95</w:t>
            </w:r>
          </w:p>
        </w:tc>
        <w:tc>
          <w:tcPr>
            <w:tcW w:w="109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7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FEF</w:t>
            </w:r>
            <w:r>
              <w:rPr>
                <w:rFonts w:hint="default" w:ascii="Times New Roman" w:hAnsi="Times New Roman" w:cs="Times New Roman"/>
                <w:sz w:val="24"/>
                <w:szCs w:val="24"/>
                <w:vertAlign w:val="subscript"/>
              </w:rPr>
              <w:t>75</w:t>
            </w:r>
            <w:r>
              <w:rPr>
                <w:rFonts w:hint="default" w:ascii="Times New Roman" w:hAnsi="Times New Roman" w:cs="Times New Roman"/>
                <w:sz w:val="24"/>
                <w:szCs w:val="24"/>
              </w:rPr>
              <w:t>, %predicted</w:t>
            </w:r>
          </w:p>
        </w:tc>
        <w:tc>
          <w:tcPr>
            <w:tcW w:w="21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-0.57</w:t>
            </w:r>
          </w:p>
        </w:tc>
        <w:tc>
          <w:tcPr>
            <w:tcW w:w="186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-0.05</w:t>
            </w:r>
          </w:p>
        </w:tc>
        <w:tc>
          <w:tcPr>
            <w:tcW w:w="160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-1.79,0.64</w:t>
            </w:r>
          </w:p>
        </w:tc>
        <w:tc>
          <w:tcPr>
            <w:tcW w:w="109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0.354</w:t>
            </w:r>
          </w:p>
        </w:tc>
      </w:tr>
    </w:tbl>
    <w:p>
      <w:pPr>
        <w:keepNext w:val="0"/>
        <w:keepLines w:val="0"/>
        <w:pageBreakBefore w:val="0"/>
        <w:widowControl w:val="0"/>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Note: </w:t>
      </w:r>
      <w:r>
        <w:rPr>
          <w:rFonts w:hint="default" w:ascii="Times New Roman" w:hAnsi="Times New Roman" w:cs="Times New Roman"/>
          <w:sz w:val="24"/>
          <w:szCs w:val="24"/>
        </w:rPr>
        <w:t xml:space="preserve">All these </w:t>
      </w:r>
      <w:r>
        <w:rPr>
          <w:rFonts w:hint="default" w:ascii="Times New Roman" w:hAnsi="Times New Roman" w:eastAsia="宋体" w:cs="Times New Roman"/>
          <w:sz w:val="24"/>
          <w:szCs w:val="24"/>
        </w:rPr>
        <w:t xml:space="preserve">models were all adjusted for </w:t>
      </w:r>
      <w:r>
        <w:rPr>
          <w:rFonts w:hint="default" w:ascii="Times New Roman" w:hAnsi="Times New Roman" w:cs="Times New Roman"/>
          <w:sz w:val="24"/>
          <w:szCs w:val="24"/>
        </w:rPr>
        <w:t xml:space="preserve">sex, BMI, smoking status, smoking index, educational level, asthma, tuberculosis, chronic bronchitis, annual household income, smokers living at home, parental history of respiratory disease, occupation exposure &gt; 6 months, indoor exposure to biomass for cooking or heating. </w:t>
      </w:r>
      <w:r>
        <w:rPr>
          <w:rFonts w:hint="default" w:ascii="Times New Roman" w:hAnsi="Times New Roman" w:eastAsia="宋体" w:cs="Times New Roman"/>
          <w:sz w:val="24"/>
          <w:szCs w:val="24"/>
        </w:rPr>
        <w:t xml:space="preserve">All the variables of age in these models indicate per 10 years increase. Abbreviations: </w:t>
      </w:r>
      <w:r>
        <w:rPr>
          <w:rFonts w:hint="default" w:ascii="Times New Roman" w:hAnsi="Times New Roman" w:cs="Times New Roman"/>
          <w:sz w:val="24"/>
          <w:szCs w:val="24"/>
        </w:rPr>
        <w:t xml:space="preserve">CI =confidence interval; </w:t>
      </w:r>
      <w:r>
        <w:rPr>
          <w:rFonts w:hint="default" w:ascii="Times New Roman" w:hAnsi="Times New Roman" w:eastAsia="宋体" w:cs="Times New Roman"/>
          <w:sz w:val="24"/>
          <w:szCs w:val="24"/>
        </w:rPr>
        <w:t>β = estimate; definitions of other abbreviations see Table 1.</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e-Table 7. Multi-adjusted contributions of age to the extent of SAD among spirometry-defined SAD subjects from subjects without airflow limitation (n = 542).</w:t>
      </w:r>
    </w:p>
    <w:tbl>
      <w:tblPr>
        <w:tblStyle w:val="5"/>
        <w:tblW w:w="9828" w:type="dxa"/>
        <w:tblInd w:w="-953"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096"/>
        <w:gridCol w:w="2064"/>
        <w:gridCol w:w="1812"/>
        <w:gridCol w:w="1512"/>
        <w:gridCol w:w="1344"/>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6"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Outcomes for SAD markers</w:t>
            </w:r>
          </w:p>
        </w:tc>
        <w:tc>
          <w:tcPr>
            <w:tcW w:w="2064"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Unstandardized β</w:t>
            </w:r>
          </w:p>
        </w:tc>
        <w:tc>
          <w:tcPr>
            <w:tcW w:w="1812"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Standardized β</w:t>
            </w:r>
          </w:p>
        </w:tc>
        <w:tc>
          <w:tcPr>
            <w:tcW w:w="1512"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95%CI</w:t>
            </w:r>
          </w:p>
        </w:tc>
        <w:tc>
          <w:tcPr>
            <w:tcW w:w="1344"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P value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6"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CT</w:t>
            </w:r>
          </w:p>
        </w:tc>
        <w:tc>
          <w:tcPr>
            <w:tcW w:w="2064"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812"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512"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344"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LAA</w:t>
            </w:r>
            <w:r>
              <w:rPr>
                <w:rFonts w:hint="default" w:ascii="Times New Roman" w:hAnsi="Times New Roman" w:cs="Times New Roman"/>
                <w:sz w:val="24"/>
                <w:szCs w:val="24"/>
                <w:vertAlign w:val="subscript"/>
              </w:rPr>
              <w:t>−950</w:t>
            </w:r>
            <w:r>
              <w:rPr>
                <w:rFonts w:hint="default" w:ascii="Times New Roman" w:hAnsi="Times New Roman" w:cs="Times New Roman"/>
                <w:sz w:val="24"/>
                <w:szCs w:val="24"/>
              </w:rPr>
              <w:t>, %</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0.36</w:t>
            </w:r>
          </w:p>
        </w:tc>
        <w:tc>
          <w:tcPr>
            <w:tcW w:w="18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0.19</w:t>
            </w: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0.21,0.52</w:t>
            </w:r>
          </w:p>
        </w:tc>
        <w:tc>
          <w:tcPr>
            <w:tcW w:w="134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LAA</w:t>
            </w:r>
            <w:r>
              <w:rPr>
                <w:rFonts w:hint="default" w:ascii="Times New Roman" w:hAnsi="Times New Roman" w:cs="Times New Roman"/>
                <w:sz w:val="24"/>
                <w:szCs w:val="24"/>
                <w:vertAlign w:val="subscript"/>
              </w:rPr>
              <w:t>−856</w:t>
            </w:r>
            <w:r>
              <w:rPr>
                <w:rFonts w:hint="default" w:ascii="Times New Roman" w:hAnsi="Times New Roman" w:cs="Times New Roman"/>
                <w:sz w:val="24"/>
                <w:szCs w:val="24"/>
              </w:rPr>
              <w:t>,</w:t>
            </w:r>
            <w:r>
              <w:rPr>
                <w:rFonts w:hint="default" w:ascii="Times New Roman" w:hAnsi="Times New Roman" w:cs="Times New Roman"/>
                <w:sz w:val="24"/>
                <w:szCs w:val="24"/>
                <w:vertAlign w:val="subscript"/>
              </w:rPr>
              <w:t xml:space="preserve"> </w:t>
            </w:r>
            <w:r>
              <w:rPr>
                <w:rFonts w:hint="default" w:ascii="Times New Roman" w:hAnsi="Times New Roman" w:cs="Times New Roman"/>
                <w:sz w:val="24"/>
                <w:szCs w:val="24"/>
              </w:rPr>
              <w:t>%</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3.34</w:t>
            </w:r>
          </w:p>
        </w:tc>
        <w:tc>
          <w:tcPr>
            <w:tcW w:w="18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0.24</w:t>
            </w: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2.16,4.53</w:t>
            </w:r>
          </w:p>
        </w:tc>
        <w:tc>
          <w:tcPr>
            <w:tcW w:w="134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RV, L </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0.08</w:t>
            </w:r>
          </w:p>
        </w:tc>
        <w:tc>
          <w:tcPr>
            <w:tcW w:w="18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0.09</w:t>
            </w: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0.01,0.14</w:t>
            </w:r>
          </w:p>
        </w:tc>
        <w:tc>
          <w:tcPr>
            <w:tcW w:w="134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0.021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TLC, L</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-0.13</w:t>
            </w:r>
          </w:p>
        </w:tc>
        <w:tc>
          <w:tcPr>
            <w:tcW w:w="18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-0.10</w:t>
            </w: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-0.21,-0.05</w:t>
            </w:r>
          </w:p>
        </w:tc>
        <w:tc>
          <w:tcPr>
            <w:tcW w:w="134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IOS</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8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34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R5, Ka/L/s</w:t>
            </w:r>
            <w:r>
              <w:rPr>
                <w:rFonts w:hint="default" w:ascii="Times New Roman" w:hAnsi="Times New Roman" w:cs="Times New Roman"/>
                <w:sz w:val="24"/>
                <w:szCs w:val="24"/>
                <w:vertAlign w:val="superscript"/>
              </w:rPr>
              <w:t xml:space="preserve"> </w:t>
            </w:r>
            <w:r>
              <w:rPr>
                <w:rFonts w:hint="default" w:ascii="Times New Roman" w:hAnsi="Times New Roman" w:cs="Times New Roman"/>
                <w:sz w:val="24"/>
                <w:szCs w:val="24"/>
              </w:rPr>
              <w:t xml:space="preserve"> </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w:t>
            </w:r>
          </w:p>
        </w:tc>
        <w:tc>
          <w:tcPr>
            <w:tcW w:w="18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0.04</w:t>
            </w: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-0.00,0.01</w:t>
            </w:r>
          </w:p>
        </w:tc>
        <w:tc>
          <w:tcPr>
            <w:tcW w:w="134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0.263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R20, Ka/L/s</w:t>
            </w:r>
            <w:r>
              <w:rPr>
                <w:rFonts w:hint="default" w:ascii="Times New Roman" w:hAnsi="Times New Roman" w:cs="Times New Roman"/>
                <w:sz w:val="24"/>
                <w:szCs w:val="24"/>
                <w:vertAlign w:val="superscript"/>
              </w:rPr>
              <w:t xml:space="preserve"> </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w:t>
            </w:r>
          </w:p>
        </w:tc>
        <w:tc>
          <w:tcPr>
            <w:tcW w:w="18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w:t>
            </w: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-0.01,0.01</w:t>
            </w:r>
          </w:p>
        </w:tc>
        <w:tc>
          <w:tcPr>
            <w:tcW w:w="134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0.962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R5-R20, Ka/L/s</w:t>
            </w:r>
            <w:r>
              <w:rPr>
                <w:rFonts w:hint="default" w:ascii="Times New Roman" w:hAnsi="Times New Roman" w:cs="Times New Roman"/>
                <w:sz w:val="24"/>
                <w:szCs w:val="24"/>
                <w:vertAlign w:val="superscript"/>
              </w:rPr>
              <w:t xml:space="preserve"> </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w:t>
            </w:r>
          </w:p>
        </w:tc>
        <w:tc>
          <w:tcPr>
            <w:tcW w:w="18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0.09</w:t>
            </w: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0.00,0.01</w:t>
            </w:r>
          </w:p>
        </w:tc>
        <w:tc>
          <w:tcPr>
            <w:tcW w:w="134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0.043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X5, Ka/L/s</w:t>
            </w:r>
            <w:r>
              <w:rPr>
                <w:rFonts w:hint="default" w:ascii="Times New Roman" w:hAnsi="Times New Roman" w:cs="Times New Roman"/>
                <w:sz w:val="24"/>
                <w:szCs w:val="24"/>
                <w:vertAlign w:val="superscript"/>
              </w:rPr>
              <w:t xml:space="preserve"> </w:t>
            </w:r>
            <w:r>
              <w:rPr>
                <w:rFonts w:hint="default" w:ascii="Times New Roman" w:hAnsi="Times New Roman" w:cs="Times New Roman"/>
                <w:sz w:val="24"/>
                <w:szCs w:val="24"/>
              </w:rPr>
              <w:t xml:space="preserve"> </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w:t>
            </w:r>
          </w:p>
        </w:tc>
        <w:tc>
          <w:tcPr>
            <w:tcW w:w="18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-0.14</w:t>
            </w: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-0.01,-0.00</w:t>
            </w:r>
          </w:p>
        </w:tc>
        <w:tc>
          <w:tcPr>
            <w:tcW w:w="134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AX, Ka/L</w:t>
            </w:r>
            <w:r>
              <w:rPr>
                <w:rFonts w:hint="default" w:ascii="Times New Roman" w:hAnsi="Times New Roman" w:cs="Times New Roman"/>
                <w:sz w:val="24"/>
                <w:szCs w:val="24"/>
                <w:vertAlign w:val="superscript"/>
              </w:rPr>
              <w:t xml:space="preserve"> </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0.07</w:t>
            </w:r>
          </w:p>
        </w:tc>
        <w:tc>
          <w:tcPr>
            <w:tcW w:w="18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0.14</w:t>
            </w: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0.03,0.11</w:t>
            </w:r>
          </w:p>
        </w:tc>
        <w:tc>
          <w:tcPr>
            <w:tcW w:w="134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Fres, Hz</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0.75</w:t>
            </w:r>
          </w:p>
        </w:tc>
        <w:tc>
          <w:tcPr>
            <w:tcW w:w="18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0.15</w:t>
            </w: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0.34,1.17</w:t>
            </w:r>
          </w:p>
        </w:tc>
        <w:tc>
          <w:tcPr>
            <w:tcW w:w="134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postbronchodilator</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8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34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MMEF, %predicted</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-2.14</w:t>
            </w:r>
          </w:p>
        </w:tc>
        <w:tc>
          <w:tcPr>
            <w:tcW w:w="18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-0.17</w:t>
            </w: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-3.25,-1.03</w:t>
            </w:r>
          </w:p>
        </w:tc>
        <w:tc>
          <w:tcPr>
            <w:tcW w:w="134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FEF</w:t>
            </w:r>
            <w:r>
              <w:rPr>
                <w:rFonts w:hint="default" w:ascii="Times New Roman" w:hAnsi="Times New Roman" w:cs="Times New Roman"/>
                <w:sz w:val="24"/>
                <w:szCs w:val="24"/>
                <w:vertAlign w:val="subscript"/>
              </w:rPr>
              <w:t>50</w:t>
            </w:r>
            <w:r>
              <w:rPr>
                <w:rFonts w:hint="default" w:ascii="Times New Roman" w:hAnsi="Times New Roman" w:cs="Times New Roman"/>
                <w:sz w:val="24"/>
                <w:szCs w:val="24"/>
              </w:rPr>
              <w:t>, %predicted</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-2.69</w:t>
            </w:r>
          </w:p>
        </w:tc>
        <w:tc>
          <w:tcPr>
            <w:tcW w:w="18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-0.17</w:t>
            </w: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-4.08,-1.29</w:t>
            </w:r>
          </w:p>
        </w:tc>
        <w:tc>
          <w:tcPr>
            <w:tcW w:w="134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FEF</w:t>
            </w:r>
            <w:r>
              <w:rPr>
                <w:rFonts w:hint="default" w:ascii="Times New Roman" w:hAnsi="Times New Roman" w:cs="Times New Roman"/>
                <w:sz w:val="24"/>
                <w:szCs w:val="24"/>
                <w:vertAlign w:val="subscript"/>
              </w:rPr>
              <w:t>75</w:t>
            </w:r>
            <w:r>
              <w:rPr>
                <w:rFonts w:hint="default" w:ascii="Times New Roman" w:hAnsi="Times New Roman" w:cs="Times New Roman"/>
                <w:sz w:val="24"/>
                <w:szCs w:val="24"/>
              </w:rPr>
              <w:t>, %predicted</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-0.35</w:t>
            </w:r>
          </w:p>
        </w:tc>
        <w:tc>
          <w:tcPr>
            <w:tcW w:w="18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-0.02</w:t>
            </w:r>
          </w:p>
        </w:tc>
        <w:tc>
          <w:tcPr>
            <w:tcW w:w="151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-1.64,0.94</w:t>
            </w:r>
          </w:p>
        </w:tc>
        <w:tc>
          <w:tcPr>
            <w:tcW w:w="134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0.592</w:t>
            </w:r>
          </w:p>
        </w:tc>
      </w:tr>
    </w:tbl>
    <w:p>
      <w:pPr>
        <w:keepNext w:val="0"/>
        <w:keepLines w:val="0"/>
        <w:pageBreakBefore w:val="0"/>
        <w:widowControl w:val="0"/>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Note: </w:t>
      </w:r>
      <w:r>
        <w:rPr>
          <w:rFonts w:hint="default" w:ascii="Times New Roman" w:hAnsi="Times New Roman" w:cs="Times New Roman"/>
          <w:sz w:val="24"/>
          <w:szCs w:val="24"/>
        </w:rPr>
        <w:t xml:space="preserve">All these </w:t>
      </w:r>
      <w:r>
        <w:rPr>
          <w:rFonts w:hint="default" w:ascii="Times New Roman" w:hAnsi="Times New Roman" w:eastAsia="宋体" w:cs="Times New Roman"/>
          <w:sz w:val="24"/>
          <w:szCs w:val="24"/>
        </w:rPr>
        <w:t xml:space="preserve">models were all adjusted for </w:t>
      </w:r>
      <w:r>
        <w:rPr>
          <w:rFonts w:hint="default" w:ascii="Times New Roman" w:hAnsi="Times New Roman" w:cs="Times New Roman"/>
          <w:sz w:val="24"/>
          <w:szCs w:val="24"/>
        </w:rPr>
        <w:t xml:space="preserve">sex, BMI, smoking status, smoking index, educational level, asthma, tuberculosis, chronic bronchitis, annual household income, smokers living at home, parental history of respiratory disease, occupation exposure &gt; 6 months, indoor exposure to biomass for cooking or heating. </w:t>
      </w:r>
      <w:r>
        <w:rPr>
          <w:rFonts w:hint="default" w:ascii="Times New Roman" w:hAnsi="Times New Roman" w:eastAsia="宋体" w:cs="Times New Roman"/>
          <w:sz w:val="24"/>
          <w:szCs w:val="24"/>
        </w:rPr>
        <w:t xml:space="preserve">All the variables of age in these models indicate per 10 years increase. Abbreviations: </w:t>
      </w:r>
      <w:r>
        <w:rPr>
          <w:rFonts w:hint="default" w:ascii="Times New Roman" w:hAnsi="Times New Roman" w:cs="Times New Roman"/>
          <w:sz w:val="24"/>
          <w:szCs w:val="24"/>
        </w:rPr>
        <w:t xml:space="preserve">CI =confidence interval; </w:t>
      </w:r>
      <w:r>
        <w:rPr>
          <w:rFonts w:hint="default" w:ascii="Times New Roman" w:hAnsi="Times New Roman" w:eastAsia="宋体" w:cs="Times New Roman"/>
          <w:sz w:val="24"/>
          <w:szCs w:val="24"/>
        </w:rPr>
        <w:t>β = estimate; definitions of other abbreviations see Table 1.</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e-Table 8. Multi-adjusted contributions of age to the extent of SAD among spirometry-defined SAD subjects from subjects with airflow limitation (n = 830).</w:t>
      </w:r>
    </w:p>
    <w:tbl>
      <w:tblPr>
        <w:tblStyle w:val="5"/>
        <w:tblW w:w="9660" w:type="dxa"/>
        <w:tblInd w:w="-965"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216"/>
        <w:gridCol w:w="2064"/>
        <w:gridCol w:w="1764"/>
        <w:gridCol w:w="1380"/>
        <w:gridCol w:w="1236"/>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16"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Outcomes for SAD markers</w:t>
            </w:r>
          </w:p>
        </w:tc>
        <w:tc>
          <w:tcPr>
            <w:tcW w:w="2064"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Unstandardized β</w:t>
            </w:r>
          </w:p>
        </w:tc>
        <w:tc>
          <w:tcPr>
            <w:tcW w:w="1764"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Standardized β</w:t>
            </w:r>
          </w:p>
        </w:tc>
        <w:tc>
          <w:tcPr>
            <w:tcW w:w="1380"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95%CI</w:t>
            </w:r>
          </w:p>
        </w:tc>
        <w:tc>
          <w:tcPr>
            <w:tcW w:w="1236"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P value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16"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CT</w:t>
            </w:r>
          </w:p>
        </w:tc>
        <w:tc>
          <w:tcPr>
            <w:tcW w:w="2064"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764"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380"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236" w:type="dxa"/>
            <w:tcBorders>
              <w:top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1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LAA</w:t>
            </w:r>
            <w:r>
              <w:rPr>
                <w:rFonts w:hint="default" w:ascii="Times New Roman" w:hAnsi="Times New Roman" w:cs="Times New Roman"/>
                <w:sz w:val="24"/>
                <w:szCs w:val="24"/>
                <w:vertAlign w:val="subscript"/>
              </w:rPr>
              <w:t>−950</w:t>
            </w:r>
            <w:r>
              <w:rPr>
                <w:rFonts w:hint="default" w:ascii="Times New Roman" w:hAnsi="Times New Roman" w:cs="Times New Roman"/>
                <w:sz w:val="24"/>
                <w:szCs w:val="24"/>
              </w:rPr>
              <w:t>, %</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1.03</w:t>
            </w: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0.10</w:t>
            </w:r>
          </w:p>
        </w:tc>
        <w:tc>
          <w:tcPr>
            <w:tcW w:w="138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0.36,1.70</w:t>
            </w: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1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LAA</w:t>
            </w:r>
            <w:r>
              <w:rPr>
                <w:rFonts w:hint="default" w:ascii="Times New Roman" w:hAnsi="Times New Roman" w:cs="Times New Roman"/>
                <w:sz w:val="24"/>
                <w:szCs w:val="24"/>
                <w:vertAlign w:val="subscript"/>
              </w:rPr>
              <w:t>−856</w:t>
            </w:r>
            <w:r>
              <w:rPr>
                <w:rFonts w:hint="default" w:ascii="Times New Roman" w:hAnsi="Times New Roman" w:cs="Times New Roman"/>
                <w:sz w:val="24"/>
                <w:szCs w:val="24"/>
              </w:rPr>
              <w:t>,</w:t>
            </w:r>
            <w:r>
              <w:rPr>
                <w:rFonts w:hint="default" w:ascii="Times New Roman" w:hAnsi="Times New Roman" w:cs="Times New Roman"/>
                <w:sz w:val="24"/>
                <w:szCs w:val="24"/>
                <w:vertAlign w:val="subscript"/>
              </w:rPr>
              <w:t xml:space="preserve"> </w:t>
            </w:r>
            <w:r>
              <w:rPr>
                <w:rFonts w:hint="default" w:ascii="Times New Roman" w:hAnsi="Times New Roman" w:cs="Times New Roman"/>
                <w:sz w:val="24"/>
                <w:szCs w:val="24"/>
              </w:rPr>
              <w:t>%</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6.51</w:t>
            </w: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0.22</w:t>
            </w:r>
          </w:p>
        </w:tc>
        <w:tc>
          <w:tcPr>
            <w:tcW w:w="138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4.57,8.45</w:t>
            </w: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1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RV, L </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0.09</w:t>
            </w: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0.06</w:t>
            </w:r>
          </w:p>
        </w:tc>
        <w:tc>
          <w:tcPr>
            <w:tcW w:w="138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-0.01,0.18</w:t>
            </w: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0.088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1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TLC, L</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-0.31</w:t>
            </w: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-0.20</w:t>
            </w:r>
          </w:p>
        </w:tc>
        <w:tc>
          <w:tcPr>
            <w:tcW w:w="138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-0.41,-0.20</w:t>
            </w: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1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IOS</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38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1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R5, Ka/L/s </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w:t>
            </w: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0.06</w:t>
            </w:r>
          </w:p>
        </w:tc>
        <w:tc>
          <w:tcPr>
            <w:tcW w:w="138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-0.00,0.02</w:t>
            </w: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0.112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1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R20, Ka/L/s</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w:t>
            </w: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-0.05</w:t>
            </w:r>
          </w:p>
        </w:tc>
        <w:tc>
          <w:tcPr>
            <w:tcW w:w="138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-0.01,0.00</w:t>
            </w: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0.120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1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R5-R20, Ka/L/s</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0.02</w:t>
            </w: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0.12</w:t>
            </w:r>
          </w:p>
        </w:tc>
        <w:tc>
          <w:tcPr>
            <w:tcW w:w="138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0.01,0.02</w:t>
            </w: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1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X5, Ka/L/s </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-0.02</w:t>
            </w: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-0.14</w:t>
            </w:r>
          </w:p>
        </w:tc>
        <w:tc>
          <w:tcPr>
            <w:tcW w:w="138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-0.03,-0.01</w:t>
            </w: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1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AX, Ka/L</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0.21</w:t>
            </w: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0.13</w:t>
            </w:r>
          </w:p>
        </w:tc>
        <w:tc>
          <w:tcPr>
            <w:tcW w:w="138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0.09,0.33</w:t>
            </w: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1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Fres, Hz</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1.59</w:t>
            </w: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0.17</w:t>
            </w:r>
          </w:p>
        </w:tc>
        <w:tc>
          <w:tcPr>
            <w:tcW w:w="138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0.92,2.25</w:t>
            </w: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1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postbronchodilator</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38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1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MMEF, %predicted</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-3.04</w:t>
            </w: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-0.18</w:t>
            </w:r>
          </w:p>
        </w:tc>
        <w:tc>
          <w:tcPr>
            <w:tcW w:w="138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-4.23,-1.84</w:t>
            </w: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1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FEF</w:t>
            </w:r>
            <w:r>
              <w:rPr>
                <w:rFonts w:hint="default" w:ascii="Times New Roman" w:hAnsi="Times New Roman" w:cs="Times New Roman"/>
                <w:sz w:val="24"/>
                <w:szCs w:val="24"/>
                <w:vertAlign w:val="subscript"/>
              </w:rPr>
              <w:t>50</w:t>
            </w:r>
            <w:r>
              <w:rPr>
                <w:rFonts w:hint="default" w:ascii="Times New Roman" w:hAnsi="Times New Roman" w:cs="Times New Roman"/>
                <w:sz w:val="24"/>
                <w:szCs w:val="24"/>
              </w:rPr>
              <w:t>, %predicted</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-4.20</w:t>
            </w: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-0.20</w:t>
            </w:r>
          </w:p>
        </w:tc>
        <w:tc>
          <w:tcPr>
            <w:tcW w:w="138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-5.62,-2.78</w:t>
            </w: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16" w:type="dxa"/>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FEF</w:t>
            </w:r>
            <w:r>
              <w:rPr>
                <w:rFonts w:hint="default" w:ascii="Times New Roman" w:hAnsi="Times New Roman" w:cs="Times New Roman"/>
                <w:sz w:val="24"/>
                <w:szCs w:val="24"/>
                <w:vertAlign w:val="subscript"/>
              </w:rPr>
              <w:t>75</w:t>
            </w:r>
            <w:r>
              <w:rPr>
                <w:rFonts w:hint="default" w:ascii="Times New Roman" w:hAnsi="Times New Roman" w:cs="Times New Roman"/>
                <w:sz w:val="24"/>
                <w:szCs w:val="24"/>
              </w:rPr>
              <w:t>, %predicted</w:t>
            </w:r>
          </w:p>
        </w:tc>
        <w:tc>
          <w:tcPr>
            <w:tcW w:w="20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-0.65</w:t>
            </w:r>
          </w:p>
        </w:tc>
        <w:tc>
          <w:tcPr>
            <w:tcW w:w="17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-0.05</w:t>
            </w:r>
          </w:p>
        </w:tc>
        <w:tc>
          <w:tcPr>
            <w:tcW w:w="138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-1.68,0.39</w:t>
            </w:r>
          </w:p>
        </w:tc>
        <w:tc>
          <w:tcPr>
            <w:tcW w:w="1236"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0.218</w:t>
            </w:r>
          </w:p>
        </w:tc>
      </w:tr>
    </w:tbl>
    <w:p>
      <w:pPr>
        <w:keepNext w:val="0"/>
        <w:keepLines w:val="0"/>
        <w:pageBreakBefore w:val="0"/>
        <w:widowControl w:val="0"/>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Note: </w:t>
      </w:r>
      <w:r>
        <w:rPr>
          <w:rFonts w:hint="default" w:ascii="Times New Roman" w:hAnsi="Times New Roman" w:cs="Times New Roman"/>
          <w:sz w:val="24"/>
          <w:szCs w:val="24"/>
        </w:rPr>
        <w:t xml:space="preserve">All these </w:t>
      </w:r>
      <w:r>
        <w:rPr>
          <w:rFonts w:hint="default" w:ascii="Times New Roman" w:hAnsi="Times New Roman" w:eastAsia="宋体" w:cs="Times New Roman"/>
          <w:sz w:val="24"/>
          <w:szCs w:val="24"/>
        </w:rPr>
        <w:t xml:space="preserve">models were all adjusted for </w:t>
      </w:r>
      <w:r>
        <w:rPr>
          <w:rFonts w:hint="default" w:ascii="Times New Roman" w:hAnsi="Times New Roman" w:cs="Times New Roman"/>
          <w:sz w:val="24"/>
          <w:szCs w:val="24"/>
        </w:rPr>
        <w:t xml:space="preserve">sex, BMI, smoking status, smoking index, educational level, asthma, tuberculosis, chronic bronchitis, annual household income, smokers living at home, parental history of respiratory disease, occupation exposure &gt; 6 months, indoor exposure to biomass for cooking or heating. </w:t>
      </w:r>
      <w:r>
        <w:rPr>
          <w:rFonts w:hint="default" w:ascii="Times New Roman" w:hAnsi="Times New Roman" w:eastAsia="宋体" w:cs="Times New Roman"/>
          <w:sz w:val="24"/>
          <w:szCs w:val="24"/>
        </w:rPr>
        <w:t xml:space="preserve">All the variables of age in these models indicate per 10 years increase. Abbreviations: </w:t>
      </w:r>
      <w:r>
        <w:rPr>
          <w:rFonts w:hint="default" w:ascii="Times New Roman" w:hAnsi="Times New Roman" w:cs="Times New Roman"/>
          <w:sz w:val="24"/>
          <w:szCs w:val="24"/>
        </w:rPr>
        <w:t xml:space="preserve">CI =confidence interval; </w:t>
      </w:r>
      <w:r>
        <w:rPr>
          <w:rFonts w:hint="default" w:ascii="Times New Roman" w:hAnsi="Times New Roman" w:eastAsia="宋体" w:cs="Times New Roman"/>
          <w:sz w:val="24"/>
          <w:szCs w:val="24"/>
        </w:rPr>
        <w:t>β = estimate; definitions of other abbreviations see Table 1.</w:t>
      </w:r>
    </w:p>
    <w:p>
      <w:pPr>
        <w:rPr>
          <w:rFonts w:ascii="Times New Roman" w:hAnsi="Times New Roman" w:eastAsia="宋体" w:cs="Times New Roman"/>
          <w:sz w:val="24"/>
        </w:rPr>
      </w:pPr>
    </w:p>
    <w:p>
      <w:pPr>
        <w:rPr>
          <w:rFonts w:ascii="Times New Roman" w:hAnsi="Times New Roman" w:eastAsia="宋体" w:cs="Times New Roman"/>
          <w:b/>
          <w:bCs/>
          <w:sz w:val="28"/>
          <w:szCs w:val="28"/>
        </w:rPr>
      </w:pPr>
      <w:r>
        <w:rPr>
          <w:rFonts w:hint="eastAsia" w:ascii="Times New Roman" w:hAnsi="Times New Roman" w:eastAsia="宋体" w:cs="Times New Roman"/>
          <w:b/>
          <w:bCs/>
          <w:sz w:val="28"/>
          <w:szCs w:val="28"/>
        </w:rPr>
        <w:t>Supplemental figures</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szCs w:val="24"/>
        </w:rPr>
      </w:pPr>
      <w:r>
        <w:rPr>
          <w:rFonts w:hint="eastAsia" w:ascii="Times New Roman" w:hAnsi="Times New Roman" w:eastAsia="宋体" w:cs="Times New Roman"/>
          <w:sz w:val="24"/>
          <w:szCs w:val="24"/>
        </w:rPr>
        <w:t>e-Figure 1. Flow diagram for stratification of 1859 subjects by airflow limitation and definitional methods.</w:t>
      </w:r>
      <w:bookmarkStart w:id="7" w:name="_GoBack"/>
      <w:bookmarkEnd w:id="7"/>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szCs w:val="24"/>
        </w:rPr>
      </w:pPr>
      <w:r>
        <w:rPr>
          <w:rFonts w:hint="eastAsia" w:ascii="Times New Roman" w:hAnsi="Times New Roman" w:eastAsia="宋体" w:cs="Times New Roman"/>
          <w:sz w:val="24"/>
          <w:szCs w:val="24"/>
        </w:rPr>
        <w:drawing>
          <wp:inline distT="0" distB="0" distL="114300" distR="114300">
            <wp:extent cx="5266690" cy="3950335"/>
            <wp:effectExtent l="0" t="0" r="6350" b="12065"/>
            <wp:docPr id="3" name="图片 3" descr="e-Figure 1.Flow diagram for stratification of 1858 subjects by airflow limitation and definitional meth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Figure 1.Flow diagram for stratification of 1858 subjects by airflow limitation and definitional methods"/>
                    <pic:cNvPicPr>
                      <a:picLocks noChangeAspect="1"/>
                    </pic:cNvPicPr>
                  </pic:nvPicPr>
                  <pic:blipFill>
                    <a:blip r:embed="rId4"/>
                    <a:stretch>
                      <a:fillRect/>
                    </a:stretch>
                  </pic:blipFill>
                  <pic:spPr>
                    <a:xfrm>
                      <a:off x="0" y="0"/>
                      <a:ext cx="5266690" cy="395033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76" w:lineRule="auto"/>
        <w:textAlignment w:val="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Note: </w:t>
      </w:r>
      <w:r>
        <w:rPr>
          <w:rFonts w:ascii="Times New Roman" w:hAnsi="Times New Roman" w:eastAsia="宋体" w:cs="Times New Roman"/>
          <w:sz w:val="24"/>
          <w:szCs w:val="24"/>
        </w:rPr>
        <w:t>SAD = small airway dysfunction</w:t>
      </w:r>
      <w:r>
        <w:rPr>
          <w:rFonts w:hint="eastAsia" w:ascii="Times New Roman" w:hAnsi="Times New Roman" w:eastAsia="宋体" w:cs="Times New Roman"/>
          <w:sz w:val="24"/>
          <w:szCs w:val="24"/>
        </w:rPr>
        <w:t>, CT = computed tomography, IOS = impulse oscillometry</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szCs w:val="24"/>
        </w:rPr>
      </w:pPr>
      <w:r>
        <w:rPr>
          <w:rFonts w:hint="eastAsia" w:ascii="Times New Roman" w:hAnsi="Times New Roman" w:eastAsia="宋体" w:cs="Times New Roman"/>
          <w:sz w:val="24"/>
          <w:szCs w:val="24"/>
        </w:rPr>
        <w:t>e-</w:t>
      </w:r>
      <w:r>
        <w:rPr>
          <w:rFonts w:ascii="Times New Roman" w:hAnsi="Times New Roman" w:eastAsia="宋体" w:cs="Times New Roman"/>
          <w:sz w:val="24"/>
          <w:szCs w:val="24"/>
        </w:rPr>
        <w:t xml:space="preserve">Figure 2. </w:t>
      </w:r>
      <w:r>
        <w:rPr>
          <w:rFonts w:hint="eastAsia" w:ascii="Times New Roman" w:hAnsi="Times New Roman" w:eastAsia="宋体" w:cs="Times New Roman"/>
          <w:sz w:val="24"/>
          <w:szCs w:val="24"/>
        </w:rPr>
        <w:t>Distribution of small airway abnormality indicated by markers from CT, IOS and spirometry over age stratification in subjects with and without airflow limitation.</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szCs w:val="24"/>
        </w:rPr>
      </w:pPr>
      <w:r>
        <w:rPr>
          <w:rFonts w:hint="eastAsia" w:ascii="Times New Roman" w:hAnsi="Times New Roman" w:eastAsia="宋体" w:cs="Times New Roman"/>
          <w:sz w:val="24"/>
          <w:szCs w:val="24"/>
        </w:rPr>
        <w:drawing>
          <wp:inline distT="0" distB="0" distL="114300" distR="114300">
            <wp:extent cx="5269865" cy="3242945"/>
            <wp:effectExtent l="0" t="0" r="3175" b="3175"/>
            <wp:docPr id="2" name="图片 2" descr="e-Figure 2.distribution of SAD markers over age in subjects with and without airflow limit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Figure 2.distribution of SAD markers over age in subjects with and without airflow limitation"/>
                    <pic:cNvPicPr>
                      <a:picLocks noChangeAspect="1"/>
                    </pic:cNvPicPr>
                  </pic:nvPicPr>
                  <pic:blipFill>
                    <a:blip r:embed="rId5"/>
                    <a:stretch>
                      <a:fillRect/>
                    </a:stretch>
                  </pic:blipFill>
                  <pic:spPr>
                    <a:xfrm>
                      <a:off x="0" y="0"/>
                      <a:ext cx="5269865" cy="324294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76" w:lineRule="auto"/>
        <w:textAlignment w:val="auto"/>
        <w:rPr>
          <w:rFonts w:ascii="Times New Roman" w:hAnsi="Times New Roman" w:eastAsia="宋体" w:cs="Times New Roman"/>
          <w:sz w:val="24"/>
          <w:szCs w:val="24"/>
        </w:rPr>
      </w:pPr>
      <w:r>
        <w:rPr>
          <w:rFonts w:ascii="Times New Roman" w:hAnsi="Times New Roman" w:eastAsia="宋体" w:cs="Times New Roman"/>
          <w:sz w:val="24"/>
          <w:szCs w:val="24"/>
        </w:rPr>
        <w:t>Note:</w:t>
      </w:r>
      <w:r>
        <w:rPr>
          <w:rFonts w:hint="eastAsia" w:ascii="Times New Roman" w:hAnsi="Times New Roman" w:eastAsia="宋体" w:cs="Times New Roman"/>
          <w:sz w:val="24"/>
          <w:szCs w:val="24"/>
        </w:rPr>
        <w:t xml:space="preserve"> </w:t>
      </w:r>
      <w:r>
        <w:rPr>
          <w:rFonts w:hint="eastAsia" w:ascii="Times New Roman" w:hAnsi="Times New Roman" w:cs="Times New Roman"/>
          <w:sz w:val="24"/>
          <w:szCs w:val="24"/>
        </w:rPr>
        <w:t>Abbreviations: LAA-</w:t>
      </w:r>
      <w:r>
        <w:rPr>
          <w:rFonts w:hint="eastAsia" w:ascii="Times New Roman" w:hAnsi="Times New Roman" w:cs="Times New Roman"/>
          <w:sz w:val="24"/>
          <w:szCs w:val="24"/>
          <w:vertAlign w:val="subscript"/>
        </w:rPr>
        <w:t xml:space="preserve">856 </w:t>
      </w:r>
      <w:r>
        <w:rPr>
          <w:rFonts w:hint="eastAsia" w:ascii="Times New Roman" w:hAnsi="Times New Roman" w:cs="Times New Roman"/>
          <w:sz w:val="24"/>
          <w:szCs w:val="24"/>
        </w:rPr>
        <w:t xml:space="preserve">= low-attenuation area of the lung with attenuation values below -856 Hounsfield units on full-expiration CT; R5-R20 = the difference from resistance at 5 Hz to resistance at 20 Hz; </w:t>
      </w:r>
      <w:r>
        <w:rPr>
          <w:rFonts w:ascii="Times New Roman" w:hAnsi="Times New Roman" w:cs="Times New Roman"/>
          <w:sz w:val="24"/>
          <w:szCs w:val="24"/>
        </w:rPr>
        <w:t>MMEF, %predicted</w:t>
      </w:r>
      <w:r>
        <w:rPr>
          <w:rFonts w:hint="eastAsia" w:ascii="Times New Roman" w:hAnsi="Times New Roman" w:cs="Times New Roman"/>
          <w:sz w:val="24"/>
          <w:szCs w:val="24"/>
        </w:rPr>
        <w:t xml:space="preserve"> = maximal mid-expiratory flow of percent predicted; </w:t>
      </w:r>
      <w:r>
        <w:rPr>
          <w:rFonts w:ascii="Times New Roman" w:hAnsi="Times New Roman" w:cs="Times New Roman"/>
          <w:sz w:val="24"/>
          <w:szCs w:val="24"/>
        </w:rPr>
        <w:t>FEF</w:t>
      </w:r>
      <w:r>
        <w:rPr>
          <w:rFonts w:ascii="Times New Roman" w:hAnsi="Times New Roman" w:cs="Times New Roman"/>
          <w:sz w:val="24"/>
          <w:szCs w:val="24"/>
          <w:vertAlign w:val="subscript"/>
        </w:rPr>
        <w:t>50</w:t>
      </w:r>
      <w:r>
        <w:rPr>
          <w:rFonts w:ascii="Times New Roman" w:hAnsi="Times New Roman" w:cs="Times New Roman"/>
          <w:sz w:val="24"/>
          <w:szCs w:val="24"/>
        </w:rPr>
        <w:t>, %predicted</w:t>
      </w:r>
      <w:r>
        <w:rPr>
          <w:rFonts w:hint="eastAsia" w:ascii="Times New Roman" w:hAnsi="Times New Roman" w:cs="Times New Roman"/>
          <w:sz w:val="24"/>
          <w:szCs w:val="24"/>
        </w:rPr>
        <w:t xml:space="preserve"> and </w:t>
      </w:r>
      <w:r>
        <w:rPr>
          <w:rFonts w:ascii="Times New Roman" w:hAnsi="Times New Roman" w:cs="Times New Roman"/>
          <w:sz w:val="24"/>
          <w:szCs w:val="24"/>
        </w:rPr>
        <w:t>FEF</w:t>
      </w:r>
      <w:r>
        <w:rPr>
          <w:rFonts w:ascii="Times New Roman" w:hAnsi="Times New Roman" w:cs="Times New Roman"/>
          <w:sz w:val="24"/>
          <w:szCs w:val="24"/>
          <w:vertAlign w:val="subscript"/>
        </w:rPr>
        <w:t>75</w:t>
      </w:r>
      <w:r>
        <w:rPr>
          <w:rFonts w:ascii="Times New Roman" w:hAnsi="Times New Roman" w:cs="Times New Roman"/>
          <w:sz w:val="24"/>
          <w:szCs w:val="24"/>
        </w:rPr>
        <w:t>, %predicted</w:t>
      </w:r>
      <w:r>
        <w:rPr>
          <w:rFonts w:hint="eastAsia" w:ascii="Times New Roman" w:hAnsi="Times New Roman" w:cs="Times New Roman"/>
          <w:sz w:val="24"/>
          <w:szCs w:val="24"/>
        </w:rPr>
        <w:t xml:space="preserve"> = forced expiratory flow at 50 and 75 of </w:t>
      </w:r>
      <w:r>
        <w:rPr>
          <w:rFonts w:hint="eastAsia" w:ascii="Times New Roman" w:hAnsi="Times New Roman" w:eastAsia="宋体" w:cs="Times New Roman"/>
          <w:sz w:val="24"/>
          <w:szCs w:val="24"/>
        </w:rPr>
        <w:t>forced vital capacity</w:t>
      </w:r>
      <w:r>
        <w:rPr>
          <w:rFonts w:hint="eastAsia" w:ascii="Times New Roman" w:hAnsi="Times New Roman" w:cs="Times New Roman"/>
          <w:sz w:val="24"/>
          <w:szCs w:val="24"/>
        </w:rPr>
        <w:t xml:space="preserve"> of percent predicted.</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2"/>
  </w:compat>
  <w:rsids>
    <w:rsidRoot w:val="1D4D6E3F"/>
    <w:rsid w:val="00395F8D"/>
    <w:rsid w:val="00430F53"/>
    <w:rsid w:val="00451F31"/>
    <w:rsid w:val="00487C25"/>
    <w:rsid w:val="007A0AC0"/>
    <w:rsid w:val="00E41C87"/>
    <w:rsid w:val="01807B4B"/>
    <w:rsid w:val="02350999"/>
    <w:rsid w:val="09E23485"/>
    <w:rsid w:val="0A8D2E4A"/>
    <w:rsid w:val="0B5414E0"/>
    <w:rsid w:val="0CE11622"/>
    <w:rsid w:val="0D2E1801"/>
    <w:rsid w:val="0E863615"/>
    <w:rsid w:val="13062C37"/>
    <w:rsid w:val="194C153D"/>
    <w:rsid w:val="1D4D6E3F"/>
    <w:rsid w:val="1DCD0EF6"/>
    <w:rsid w:val="1F9F7872"/>
    <w:rsid w:val="225F0685"/>
    <w:rsid w:val="25DB319C"/>
    <w:rsid w:val="28D71754"/>
    <w:rsid w:val="33ED20AB"/>
    <w:rsid w:val="36B51ED9"/>
    <w:rsid w:val="401A5150"/>
    <w:rsid w:val="428E2B7C"/>
    <w:rsid w:val="4321096B"/>
    <w:rsid w:val="452A0524"/>
    <w:rsid w:val="453D1BCE"/>
    <w:rsid w:val="45945B62"/>
    <w:rsid w:val="459F79F0"/>
    <w:rsid w:val="48196B92"/>
    <w:rsid w:val="495D7165"/>
    <w:rsid w:val="4E523DC6"/>
    <w:rsid w:val="4ED65852"/>
    <w:rsid w:val="4F2002A2"/>
    <w:rsid w:val="521506DB"/>
    <w:rsid w:val="526A57FA"/>
    <w:rsid w:val="57C83C7F"/>
    <w:rsid w:val="5D383EF8"/>
    <w:rsid w:val="5E5C612D"/>
    <w:rsid w:val="63234922"/>
    <w:rsid w:val="63787400"/>
    <w:rsid w:val="66A15E69"/>
    <w:rsid w:val="6BBF3347"/>
    <w:rsid w:val="6F8946A0"/>
    <w:rsid w:val="70BE4E87"/>
    <w:rsid w:val="712F220B"/>
    <w:rsid w:val="7192442D"/>
    <w:rsid w:val="72253D54"/>
    <w:rsid w:val="74AD3913"/>
    <w:rsid w:val="76BE7656"/>
    <w:rsid w:val="78857AA4"/>
    <w:rsid w:val="7A567316"/>
    <w:rsid w:val="7D350703"/>
    <w:rsid w:val="7F8B4E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 w:type="character" w:customStyle="1" w:styleId="8">
    <w:name w:val="页眉 字符"/>
    <w:basedOn w:val="6"/>
    <w:link w:val="3"/>
    <w:qFormat/>
    <w:uiPriority w:val="0"/>
    <w:rPr>
      <w:rFonts w:asciiTheme="minorHAnsi" w:hAnsiTheme="minorHAnsi" w:eastAsiaTheme="minorEastAsia" w:cstheme="minorBidi"/>
      <w:kern w:val="2"/>
      <w:sz w:val="18"/>
      <w:szCs w:val="18"/>
    </w:rPr>
  </w:style>
  <w:style w:type="character" w:customStyle="1" w:styleId="9">
    <w:name w:val="页脚 字符"/>
    <w:basedOn w:val="6"/>
    <w:link w:val="2"/>
    <w:qFormat/>
    <w:uiPriority w:val="0"/>
    <w:rPr>
      <w:rFonts w:asciiTheme="minorHAnsi" w:hAnsiTheme="minorHAnsi" w:eastAsiaTheme="minorEastAsia" w:cstheme="minorBidi"/>
      <w:kern w:val="2"/>
      <w:sz w:val="18"/>
      <w:szCs w:val="18"/>
    </w:rPr>
  </w:style>
  <w:style w:type="character" w:customStyle="1" w:styleId="10">
    <w:name w:val="未处理的提及1"/>
    <w:basedOn w:val="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2007</Words>
  <Characters>11446</Characters>
  <Lines>95</Lines>
  <Paragraphs>26</Paragraphs>
  <TotalTime>66</TotalTime>
  <ScaleCrop>false</ScaleCrop>
  <LinksUpToDate>false</LinksUpToDate>
  <CharactersWithSpaces>13427</CharactersWithSpaces>
  <Application>WPS Office_11.1.0.11622_F1E327BC-269C-435d-A152-05C5408002CA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2022-03-05T07:32:00Z</dcterms:created>
  <dc:creator>戴翠琼</dc:creator>
  <cp:lastModifiedBy>戴翠琼</cp:lastModifiedBy>
  <dcterms:modified xsi:type="dcterms:W3CDTF">2022-04-27T06:17:27Z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2052-11.1.0.11622</vt:lpwstr>
  </property>
  <property fmtid="{D5CDD505-2E9C-101B-9397-08002B2CF9AE}" pid="3" name="ICV">
    <vt:lpwstr>DD45A9965A8F41989675253028DC4D4E</vt:lpwstr>
  </property>
</Properties>
</file>