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912"/>
        <w:tblW w:w="0" w:type="auto"/>
        <w:tblLook w:val="04A0" w:firstRow="1" w:lastRow="0" w:firstColumn="1" w:lastColumn="0" w:noHBand="0" w:noVBand="1"/>
      </w:tblPr>
      <w:tblGrid>
        <w:gridCol w:w="2972"/>
        <w:gridCol w:w="1418"/>
        <w:gridCol w:w="1559"/>
        <w:gridCol w:w="1559"/>
        <w:gridCol w:w="1508"/>
      </w:tblGrid>
      <w:tr w:rsidR="00187FB9" w14:paraId="59B99849" w14:textId="77777777" w:rsidTr="00187FB9">
        <w:tc>
          <w:tcPr>
            <w:tcW w:w="2972" w:type="dxa"/>
          </w:tcPr>
          <w:p w14:paraId="514028CF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256A5D00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Control</w:t>
            </w:r>
          </w:p>
        </w:tc>
        <w:tc>
          <w:tcPr>
            <w:tcW w:w="1559" w:type="dxa"/>
          </w:tcPr>
          <w:p w14:paraId="7C7E8DA2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OSE</w:t>
            </w:r>
          </w:p>
        </w:tc>
        <w:tc>
          <w:tcPr>
            <w:tcW w:w="1559" w:type="dxa"/>
          </w:tcPr>
          <w:p w14:paraId="1E0C6861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CS</w:t>
            </w:r>
          </w:p>
        </w:tc>
        <w:tc>
          <w:tcPr>
            <w:tcW w:w="1508" w:type="dxa"/>
          </w:tcPr>
          <w:p w14:paraId="5D0D13B3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OSE+CS</w:t>
            </w:r>
          </w:p>
        </w:tc>
      </w:tr>
      <w:tr w:rsidR="00187FB9" w14:paraId="4F754A28" w14:textId="77777777" w:rsidTr="00187FB9">
        <w:tc>
          <w:tcPr>
            <w:tcW w:w="2972" w:type="dxa"/>
          </w:tcPr>
          <w:p w14:paraId="401415B1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GSH</w:t>
            </w:r>
          </w:p>
          <w:p w14:paraId="5D90F3BA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(</w:t>
            </w:r>
            <w:proofErr w:type="spellStart"/>
            <w:r w:rsidRPr="004961DF">
              <w:t>μm</w:t>
            </w:r>
            <w:proofErr w:type="spellEnd"/>
            <w:r w:rsidRPr="004961DF">
              <w:t xml:space="preserve"> of GSH/mg protein)</w:t>
            </w:r>
          </w:p>
        </w:tc>
        <w:tc>
          <w:tcPr>
            <w:tcW w:w="1418" w:type="dxa"/>
          </w:tcPr>
          <w:p w14:paraId="1CE30AE7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3.474 ± 0.645</w:t>
            </w:r>
          </w:p>
        </w:tc>
        <w:tc>
          <w:tcPr>
            <w:tcW w:w="1559" w:type="dxa"/>
          </w:tcPr>
          <w:p w14:paraId="4D25FBB6" w14:textId="77777777" w:rsidR="00187FB9" w:rsidRDefault="00187FB9" w:rsidP="00187FB9">
            <w:pPr>
              <w:spacing w:after="160" w:line="259" w:lineRule="auto"/>
              <w:jc w:val="both"/>
            </w:pPr>
            <w:r w:rsidRPr="004961DF">
              <w:t>3.304 ± 0.659</w:t>
            </w:r>
          </w:p>
          <w:p w14:paraId="45364D02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a</w:t>
            </w:r>
            <w:r w:rsidRPr="004961DF">
              <w:rPr>
                <w:vertAlign w:val="subscript"/>
              </w:rPr>
              <w:t>3</w:t>
            </w:r>
          </w:p>
          <w:p w14:paraId="4F35220A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4467AB14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1.646 ± 0.229</w:t>
            </w:r>
          </w:p>
          <w:p w14:paraId="581B091D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>3,</w:t>
            </w:r>
            <w:r w:rsidRPr="004961DF">
              <w:t xml:space="preserve"> b</w:t>
            </w:r>
            <w:r w:rsidRPr="004961DF">
              <w:rPr>
                <w:vertAlign w:val="subscript"/>
              </w:rPr>
              <w:t>3</w:t>
            </w:r>
          </w:p>
        </w:tc>
        <w:tc>
          <w:tcPr>
            <w:tcW w:w="1508" w:type="dxa"/>
          </w:tcPr>
          <w:p w14:paraId="20397820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2.553 ± 0.623</w:t>
            </w:r>
          </w:p>
          <w:p w14:paraId="57C22E41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 xml:space="preserve">3, </w:t>
            </w:r>
            <w:r w:rsidRPr="004961DF">
              <w:t>b</w:t>
            </w:r>
            <w:r w:rsidRPr="004961DF">
              <w:rPr>
                <w:vertAlign w:val="subscript"/>
              </w:rPr>
              <w:t>3,</w:t>
            </w:r>
            <w:r w:rsidRPr="004961DF">
              <w:t>c</w:t>
            </w:r>
            <w:r w:rsidRPr="004961DF">
              <w:rPr>
                <w:vertAlign w:val="subscript"/>
              </w:rPr>
              <w:t>3</w:t>
            </w:r>
          </w:p>
        </w:tc>
      </w:tr>
      <w:tr w:rsidR="00187FB9" w14:paraId="7854BF03" w14:textId="77777777" w:rsidTr="00187FB9">
        <w:tc>
          <w:tcPr>
            <w:tcW w:w="2972" w:type="dxa"/>
          </w:tcPr>
          <w:p w14:paraId="61AAB280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LPO</w:t>
            </w:r>
          </w:p>
          <w:p w14:paraId="6C8ECDC3" w14:textId="18469D59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 xml:space="preserve">(nm of MDA-TBA </w:t>
            </w:r>
            <w:proofErr w:type="spellStart"/>
            <w:r w:rsidRPr="004961DF">
              <w:t>chromof</w:t>
            </w:r>
            <w:r w:rsidR="00022700">
              <w:t>phore</w:t>
            </w:r>
            <w:proofErr w:type="spellEnd"/>
            <w:r w:rsidRPr="004961DF">
              <w:t xml:space="preserve"> formed/mg protein/min)</w:t>
            </w:r>
          </w:p>
        </w:tc>
        <w:tc>
          <w:tcPr>
            <w:tcW w:w="1418" w:type="dxa"/>
          </w:tcPr>
          <w:p w14:paraId="3D7895F2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2.014 ± 0.132</w:t>
            </w:r>
          </w:p>
        </w:tc>
        <w:tc>
          <w:tcPr>
            <w:tcW w:w="1559" w:type="dxa"/>
          </w:tcPr>
          <w:p w14:paraId="561D322A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2.286 ± 0.147</w:t>
            </w:r>
          </w:p>
          <w:p w14:paraId="391A5983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>3</w:t>
            </w:r>
          </w:p>
        </w:tc>
        <w:tc>
          <w:tcPr>
            <w:tcW w:w="1559" w:type="dxa"/>
          </w:tcPr>
          <w:p w14:paraId="42E8D1C7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3.506 ± 0.102</w:t>
            </w:r>
          </w:p>
          <w:p w14:paraId="78C49B4D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>3,</w:t>
            </w:r>
            <w:r w:rsidRPr="004961DF">
              <w:t xml:space="preserve"> b</w:t>
            </w:r>
            <w:r w:rsidRPr="004961DF">
              <w:rPr>
                <w:vertAlign w:val="subscript"/>
              </w:rPr>
              <w:t>3</w:t>
            </w:r>
          </w:p>
        </w:tc>
        <w:tc>
          <w:tcPr>
            <w:tcW w:w="1508" w:type="dxa"/>
          </w:tcPr>
          <w:p w14:paraId="2986DB46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2.707 ± 0.261</w:t>
            </w:r>
          </w:p>
          <w:p w14:paraId="3596E179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 xml:space="preserve">3, </w:t>
            </w:r>
            <w:r w:rsidRPr="004961DF">
              <w:t>c</w:t>
            </w:r>
            <w:r w:rsidRPr="004961DF">
              <w:rPr>
                <w:vertAlign w:val="subscript"/>
              </w:rPr>
              <w:t>3</w:t>
            </w:r>
          </w:p>
        </w:tc>
      </w:tr>
      <w:tr w:rsidR="00187FB9" w14:paraId="1E4CA8AB" w14:textId="77777777" w:rsidTr="00187FB9">
        <w:tc>
          <w:tcPr>
            <w:tcW w:w="2972" w:type="dxa"/>
          </w:tcPr>
          <w:p w14:paraId="6630D10C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ROS</w:t>
            </w:r>
          </w:p>
          <w:p w14:paraId="79D0960B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(Relative fluorescent intensity of DCF)</w:t>
            </w:r>
          </w:p>
        </w:tc>
        <w:tc>
          <w:tcPr>
            <w:tcW w:w="1418" w:type="dxa"/>
          </w:tcPr>
          <w:p w14:paraId="52191849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1.185 ± 0.021</w:t>
            </w:r>
          </w:p>
        </w:tc>
        <w:tc>
          <w:tcPr>
            <w:tcW w:w="1559" w:type="dxa"/>
          </w:tcPr>
          <w:p w14:paraId="27C57EC4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1.227 ± 0.031</w:t>
            </w:r>
          </w:p>
        </w:tc>
        <w:tc>
          <w:tcPr>
            <w:tcW w:w="1559" w:type="dxa"/>
          </w:tcPr>
          <w:p w14:paraId="5E9CDB4D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28.083 ± 1.401</w:t>
            </w:r>
          </w:p>
          <w:p w14:paraId="4295F85B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>3,</w:t>
            </w:r>
            <w:r w:rsidRPr="004961DF">
              <w:t xml:space="preserve"> b</w:t>
            </w:r>
            <w:r w:rsidRPr="004961DF">
              <w:rPr>
                <w:vertAlign w:val="subscript"/>
              </w:rPr>
              <w:t>3</w:t>
            </w:r>
          </w:p>
        </w:tc>
        <w:tc>
          <w:tcPr>
            <w:tcW w:w="1508" w:type="dxa"/>
          </w:tcPr>
          <w:p w14:paraId="0E659DAB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8.088 ± 1.104</w:t>
            </w:r>
          </w:p>
          <w:p w14:paraId="6B5E5E18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>3,</w:t>
            </w:r>
            <w:r w:rsidRPr="004961DF">
              <w:t xml:space="preserve"> b</w:t>
            </w:r>
            <w:r w:rsidRPr="004961DF">
              <w:rPr>
                <w:vertAlign w:val="subscript"/>
              </w:rPr>
              <w:t xml:space="preserve">3, </w:t>
            </w:r>
            <w:r w:rsidRPr="004961DF">
              <w:t>c</w:t>
            </w:r>
            <w:r w:rsidRPr="004961DF">
              <w:rPr>
                <w:vertAlign w:val="subscript"/>
              </w:rPr>
              <w:t>3</w:t>
            </w:r>
          </w:p>
        </w:tc>
      </w:tr>
      <w:tr w:rsidR="00187FB9" w14:paraId="08FAC09F" w14:textId="77777777" w:rsidTr="00187FB9">
        <w:tc>
          <w:tcPr>
            <w:tcW w:w="2972" w:type="dxa"/>
          </w:tcPr>
          <w:p w14:paraId="7DEF7BF6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LDH</w:t>
            </w:r>
          </w:p>
          <w:p w14:paraId="67739662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(</w:t>
            </w:r>
            <w:proofErr w:type="spellStart"/>
            <w:r w:rsidRPr="004961DF">
              <w:t>μm</w:t>
            </w:r>
            <w:proofErr w:type="spellEnd"/>
            <w:r w:rsidRPr="004961DF">
              <w:t xml:space="preserve"> of NADH oxidised/min/mg protein)</w:t>
            </w:r>
          </w:p>
        </w:tc>
        <w:tc>
          <w:tcPr>
            <w:tcW w:w="1418" w:type="dxa"/>
          </w:tcPr>
          <w:p w14:paraId="585D1DEB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0.188 ± 0.024</w:t>
            </w:r>
          </w:p>
        </w:tc>
        <w:tc>
          <w:tcPr>
            <w:tcW w:w="1559" w:type="dxa"/>
          </w:tcPr>
          <w:p w14:paraId="0751A4EE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0.194 ± 0.034</w:t>
            </w:r>
          </w:p>
        </w:tc>
        <w:tc>
          <w:tcPr>
            <w:tcW w:w="1559" w:type="dxa"/>
          </w:tcPr>
          <w:p w14:paraId="6230E8CB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0.241 ± 0.030</w:t>
            </w:r>
          </w:p>
          <w:p w14:paraId="095FA5A4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a</w:t>
            </w:r>
            <w:r w:rsidRPr="004961DF">
              <w:rPr>
                <w:vertAlign w:val="subscript"/>
              </w:rPr>
              <w:t>1,</w:t>
            </w:r>
            <w:r w:rsidRPr="004961DF">
              <w:t xml:space="preserve"> b</w:t>
            </w:r>
            <w:r w:rsidRPr="004961DF">
              <w:rPr>
                <w:vertAlign w:val="subscript"/>
              </w:rPr>
              <w:t>1</w:t>
            </w:r>
          </w:p>
        </w:tc>
        <w:tc>
          <w:tcPr>
            <w:tcW w:w="1508" w:type="dxa"/>
          </w:tcPr>
          <w:p w14:paraId="35623BA7" w14:textId="77777777" w:rsidR="00187FB9" w:rsidRPr="004961DF" w:rsidRDefault="00187FB9" w:rsidP="00187FB9">
            <w:pPr>
              <w:spacing w:after="160" w:line="259" w:lineRule="auto"/>
              <w:jc w:val="both"/>
            </w:pPr>
            <w:r w:rsidRPr="004961DF">
              <w:t>0.206 ± 0.018</w:t>
            </w:r>
          </w:p>
          <w:p w14:paraId="14973C8E" w14:textId="77777777" w:rsidR="00187FB9" w:rsidRDefault="00187FB9" w:rsidP="00187FB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961DF">
              <w:t>c</w:t>
            </w:r>
            <w:r w:rsidRPr="004961DF">
              <w:rPr>
                <w:vertAlign w:val="subscript"/>
              </w:rPr>
              <w:t>2</w:t>
            </w:r>
          </w:p>
        </w:tc>
      </w:tr>
    </w:tbl>
    <w:p w14:paraId="526F3354" w14:textId="1154F87F" w:rsidR="00187FB9" w:rsidRPr="00187FB9" w:rsidRDefault="00187FB9" w:rsidP="00187FB9">
      <w:pPr>
        <w:spacing w:line="360" w:lineRule="auto"/>
        <w:jc w:val="both"/>
        <w:rPr>
          <w:rFonts w:ascii="Times New Roman" w:hAnsi="Times New Roman" w:cs="Times New Roman"/>
          <w:b/>
          <w:iCs/>
          <w:sz w:val="20"/>
          <w:szCs w:val="20"/>
          <w:lang w:val="en-IN"/>
        </w:rPr>
      </w:pPr>
      <w:r w:rsidRPr="00187FB9">
        <w:rPr>
          <w:rFonts w:ascii="Times New Roman" w:hAnsi="Times New Roman" w:cs="Times New Roman"/>
          <w:b/>
          <w:iCs/>
          <w:sz w:val="20"/>
          <w:szCs w:val="20"/>
          <w:lang w:val="en-IN"/>
        </w:rPr>
        <w:t>Raw data pertaining to the levels of GSH, LPO, ROS and LDH</w:t>
      </w:r>
    </w:p>
    <w:p w14:paraId="19080E92" w14:textId="77777777" w:rsidR="00187FB9" w:rsidRDefault="00187FB9" w:rsidP="00187FB9">
      <w:pPr>
        <w:spacing w:line="360" w:lineRule="auto"/>
        <w:jc w:val="both"/>
        <w:rPr>
          <w:rFonts w:ascii="Times New Roman" w:hAnsi="Times New Roman" w:cs="Times New Roman"/>
          <w:bCs/>
          <w:iCs/>
          <w:sz w:val="20"/>
          <w:szCs w:val="20"/>
          <w:lang w:val="en-IN"/>
        </w:rPr>
      </w:pPr>
    </w:p>
    <w:p w14:paraId="29821623" w14:textId="0F10F808" w:rsidR="00187FB9" w:rsidRPr="008E49BA" w:rsidRDefault="00187FB9" w:rsidP="00187FB9">
      <w:pPr>
        <w:spacing w:line="360" w:lineRule="auto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8E49BA">
        <w:rPr>
          <w:rFonts w:ascii="Times New Roman" w:hAnsi="Times New Roman" w:cs="Times New Roman"/>
          <w:bCs/>
          <w:iCs/>
          <w:sz w:val="20"/>
          <w:szCs w:val="20"/>
          <w:lang w:val="en-IN"/>
        </w:rPr>
        <w:t xml:space="preserve">Data is expressed as </w:t>
      </w:r>
      <w:proofErr w:type="spellStart"/>
      <w:r w:rsidRPr="008E49BA">
        <w:rPr>
          <w:rFonts w:ascii="Times New Roman" w:hAnsi="Times New Roman" w:cs="Times New Roman"/>
          <w:bCs/>
          <w:iCs/>
          <w:sz w:val="20"/>
          <w:szCs w:val="20"/>
          <w:lang w:val="en-IN"/>
        </w:rPr>
        <w:t>Mean±SD</w:t>
      </w:r>
      <w:proofErr w:type="spellEnd"/>
      <w:r w:rsidRPr="008E49BA">
        <w:rPr>
          <w:rFonts w:ascii="Times New Roman" w:hAnsi="Times New Roman" w:cs="Times New Roman"/>
          <w:bCs/>
          <w:iCs/>
          <w:sz w:val="20"/>
          <w:szCs w:val="20"/>
          <w:lang w:val="en-IN"/>
        </w:rPr>
        <w:t xml:space="preserve"> (n=5). Data is </w:t>
      </w:r>
      <w:proofErr w:type="spellStart"/>
      <w:r w:rsidRPr="008E49BA">
        <w:rPr>
          <w:rFonts w:ascii="Times New Roman" w:hAnsi="Times New Roman" w:cs="Times New Roman"/>
          <w:bCs/>
          <w:iCs/>
          <w:sz w:val="20"/>
          <w:szCs w:val="20"/>
          <w:lang w:val="en-IN"/>
        </w:rPr>
        <w:t>analyzed</w:t>
      </w:r>
      <w:proofErr w:type="spellEnd"/>
      <w:r w:rsidRPr="008E49BA">
        <w:rPr>
          <w:rFonts w:ascii="Times New Roman" w:hAnsi="Times New Roman" w:cs="Times New Roman"/>
          <w:bCs/>
          <w:iCs/>
          <w:sz w:val="20"/>
          <w:szCs w:val="20"/>
          <w:lang w:val="en-IN"/>
        </w:rPr>
        <w:t xml:space="preserve"> using one-way ANOVA followed by post hoc test. 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perscript"/>
          <w:lang w:val="en-US"/>
        </w:rPr>
        <w:t>a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bscript"/>
          <w:lang w:val="en-US"/>
        </w:rPr>
        <w:t>3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>p≤0.001,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perscript"/>
          <w:lang w:val="en-US"/>
        </w:rPr>
        <w:t xml:space="preserve"> a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bscript"/>
          <w:lang w:val="en-US"/>
        </w:rPr>
        <w:t>1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p≤0.05  significant with respect to control group; 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perscript"/>
          <w:lang w:val="en-US"/>
        </w:rPr>
        <w:t>b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bscript"/>
          <w:lang w:val="en-US"/>
        </w:rPr>
        <w:t>3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>p ≤0.001,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perscript"/>
          <w:lang w:val="en-US"/>
        </w:rPr>
        <w:t xml:space="preserve"> b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bscript"/>
          <w:lang w:val="en-US"/>
        </w:rPr>
        <w:t>1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p≤0.05 significant with respect to </w:t>
      </w:r>
      <w:proofErr w:type="spellStart"/>
      <w:r w:rsidRPr="008E49BA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Ocimum</w:t>
      </w:r>
      <w:proofErr w:type="spellEnd"/>
      <w:r w:rsidRPr="008E49BA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sanctum 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group; 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perscript"/>
          <w:lang w:val="en-US"/>
        </w:rPr>
        <w:t>c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bscript"/>
          <w:lang w:val="en-US"/>
        </w:rPr>
        <w:t>3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p≤0.001, 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perscript"/>
          <w:lang w:val="en-US"/>
        </w:rPr>
        <w:t>c</w:t>
      </w:r>
      <w:r w:rsidRPr="008E49BA">
        <w:rPr>
          <w:rFonts w:ascii="Times New Roman" w:hAnsi="Times New Roman" w:cs="Times New Roman"/>
          <w:bCs/>
          <w:iCs/>
          <w:sz w:val="20"/>
          <w:szCs w:val="20"/>
          <w:vertAlign w:val="subscript"/>
          <w:lang w:val="en-US"/>
        </w:rPr>
        <w:t>2</w:t>
      </w:r>
      <w:r w:rsidRPr="008E49BA">
        <w:rPr>
          <w:rFonts w:ascii="Times New Roman" w:hAnsi="Times New Roman" w:cs="Times New Roman"/>
          <w:bCs/>
          <w:iCs/>
          <w:sz w:val="20"/>
          <w:szCs w:val="20"/>
          <w:lang w:val="en-US"/>
        </w:rPr>
        <w:t>p≤0.01 significant with respect to cigarette smoke group.</w:t>
      </w:r>
    </w:p>
    <w:p w14:paraId="3B9A6540" w14:textId="77777777" w:rsidR="00491AAB" w:rsidRDefault="00491AAB"/>
    <w:sectPr w:rsidR="00491A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73A"/>
    <w:rsid w:val="00022700"/>
    <w:rsid w:val="00187FB9"/>
    <w:rsid w:val="002A673A"/>
    <w:rsid w:val="0049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A3C93"/>
  <w15:chartTrackingRefBased/>
  <w15:docId w15:val="{19CEB090-A86A-4585-A248-1CDBB404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FB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FB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Pc</dc:creator>
  <cp:keywords/>
  <dc:description/>
  <cp:lastModifiedBy>Dell Pc</cp:lastModifiedBy>
  <cp:revision>3</cp:revision>
  <dcterms:created xsi:type="dcterms:W3CDTF">2022-05-04T05:19:00Z</dcterms:created>
  <dcterms:modified xsi:type="dcterms:W3CDTF">2022-05-04T05:21:00Z</dcterms:modified>
</cp:coreProperties>
</file>