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Table S1. Dual use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traditional cigarettes among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all participants (</w:t>
      </w:r>
      <w:r>
        <w:rPr>
          <w:rFonts w:ascii="Times New Roman" w:hAnsi="Times New Roman" w:cs="Times New Roman"/>
          <w:i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n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= 6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573), NHANES 2015–2018, 18–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years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</w:p>
    <w:tbl>
      <w:tblPr>
        <w:tblStyle w:val="5"/>
        <w:tblW w:w="8452" w:type="dxa"/>
        <w:tblInd w:w="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0"/>
        <w:gridCol w:w="2250"/>
        <w:gridCol w:w="2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Number</w:t>
            </w:r>
          </w:p>
        </w:tc>
        <w:tc>
          <w:tcPr>
            <w:tcW w:w="23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Weighted percentage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single" w:color="auto" w:sz="4" w:space="0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Dual 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-cigarette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- traditional cigarette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use</w:t>
            </w:r>
          </w:p>
        </w:tc>
        <w:tc>
          <w:tcPr>
            <w:tcW w:w="225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36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Neither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4999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76.41%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E-cigarette only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228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3.62%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only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1092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15.96%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Dual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252 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4.01%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Dual traditional cigarette - marijuana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use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Neither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4073      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60.84%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only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726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19.19%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Marijuana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only user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1154</w:t>
            </w:r>
          </w:p>
        </w:tc>
        <w:tc>
          <w:tcPr>
            <w:tcW w:w="2362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10.70%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0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spacing w:after="0" w:line="240" w:lineRule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Dual use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r</w:t>
            </w:r>
          </w:p>
        </w:tc>
        <w:tc>
          <w:tcPr>
            <w:tcW w:w="225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618</w:t>
            </w:r>
          </w:p>
        </w:tc>
        <w:tc>
          <w:tcPr>
            <w:tcW w:w="236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9.27%</w:t>
            </w:r>
          </w:p>
        </w:tc>
      </w:tr>
    </w:tbl>
    <w:p>
      <w:pPr>
        <w:rPr>
          <w:rFonts w:ascii="Times New Roman" w:hAnsi="Times New Roman" w:cs="Times New Roman"/>
          <w:color w:val="FF0000"/>
          <w:sz w:val="20"/>
          <w:szCs w:val="20"/>
        </w:rPr>
      </w:pPr>
    </w:p>
    <w:p>
      <w:pPr>
        <w:rPr>
          <w:rFonts w:ascii="Times New Roman" w:hAnsi="Times New Roman" w:cs="Times New Roman"/>
          <w:color w:val="FF0000"/>
          <w:sz w:val="20"/>
          <w:szCs w:val="20"/>
        </w:rPr>
      </w:pPr>
    </w:p>
    <w:p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br w:type="page"/>
      </w:r>
    </w:p>
    <w:p>
      <w:pP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S2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Dual use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traditional cigarettes stratified by sleep duration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, NHANES 2015–2018, 18–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years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</w:p>
    <w:tbl>
      <w:tblPr>
        <w:tblStyle w:val="5"/>
        <w:tblW w:w="10309" w:type="dxa"/>
        <w:tblInd w:w="-7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4"/>
        <w:gridCol w:w="1808"/>
        <w:gridCol w:w="1875"/>
        <w:gridCol w:w="1695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614" w:type="dxa"/>
            <w:tcBorders>
              <w:top w:val="single" w:color="auto" w:sz="4" w:space="0"/>
              <w:bottom w:val="nil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leep duration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Short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&lt;7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n=1,186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8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Normal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hint="default" w:ascii="Times New Roman" w:hAnsi="Times New Roman" w:eastAsia="等线" w:cs="Times New Roman"/>
                <w:sz w:val="20"/>
                <w:szCs w:val="20"/>
              </w:rPr>
              <w:t>–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667)</w:t>
            </w:r>
          </w:p>
        </w:tc>
        <w:tc>
          <w:tcPr>
            <w:tcW w:w="16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Long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&gt;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720)</w:t>
            </w:r>
          </w:p>
        </w:tc>
        <w:tc>
          <w:tcPr>
            <w:tcW w:w="131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single" w:color="auto" w:sz="4" w:space="0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Dual 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-cigarette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- traditional cigarette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use</w:t>
            </w:r>
          </w:p>
        </w:tc>
        <w:tc>
          <w:tcPr>
            <w:tcW w:w="180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31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Neither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807 (66.23%)        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3692 (79.73%)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500 (66.51%)   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E-cigarette only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51 (4.49%)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140 (3.22%)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37 (5.47%)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only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273 (23.69%)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678 (13.64%)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141 (21.69%)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Dual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55 (5.59%)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155 (3.41%)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42 (6.33%) 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Dual traditional cigarette - marijuana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use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Neither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673 (52.55%)   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2996 (63.71%)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404 (51.40%) 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only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161 (14.33%)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 xml:space="preserve">479 (9.71%) 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133 (20.58%) 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nil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Marijuana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only user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185 (18.17%)</w:t>
            </w:r>
          </w:p>
        </w:tc>
        <w:tc>
          <w:tcPr>
            <w:tcW w:w="1875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836 (19.24%)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86 (12.52%)</w:t>
            </w:r>
          </w:p>
        </w:tc>
        <w:tc>
          <w:tcPr>
            <w:tcW w:w="1317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4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Dual user</w:t>
            </w:r>
          </w:p>
        </w:tc>
        <w:tc>
          <w:tcPr>
            <w:tcW w:w="180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167 (14.95%)  </w:t>
            </w:r>
          </w:p>
        </w:tc>
        <w:tc>
          <w:tcPr>
            <w:tcW w:w="187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354 (7.34%)</w:t>
            </w:r>
          </w:p>
        </w:tc>
        <w:tc>
          <w:tcPr>
            <w:tcW w:w="169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97 (15.50%) </w:t>
            </w:r>
          </w:p>
        </w:tc>
        <w:tc>
          <w:tcPr>
            <w:tcW w:w="131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0.05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0.01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0.001.</w:t>
      </w:r>
    </w:p>
    <w:p>
      <w:pPr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r>
        <w:rPr>
          <w:rFonts w:ascii="Times New Roman" w:hAnsi="Times New Roman" w:cs="Times New Roman"/>
          <w:sz w:val="16"/>
          <w:szCs w:val="16"/>
        </w:rPr>
        <w:t xml:space="preserve">Values are presented as numbers (%) or mean (mean ± standard deviation). </w:t>
      </w:r>
      <w:r>
        <w:rPr>
          <w:rFonts w:ascii="Times New Roman" w:hAnsi="Times New Roman" w:eastAsia="等线" w:cs="Times New Roman"/>
          <w:sz w:val="16"/>
          <w:szCs w:val="16"/>
        </w:rPr>
        <w:t xml:space="preserve">The </w:t>
      </w:r>
      <w:r>
        <w:rPr>
          <w:rFonts w:ascii="Times New Roman" w:hAnsi="Times New Roman" w:cs="Times New Roman"/>
          <w:sz w:val="16"/>
          <w:szCs w:val="16"/>
        </w:rPr>
        <w:t>numbers may vary because of missing data.</w:t>
      </w:r>
    </w:p>
    <w:p>
      <w:pPr>
        <w:rPr>
          <w:rFonts w:ascii="Times New Roman" w:hAnsi="Times New Roman" w:cs="Times New Roman"/>
          <w:color w:val="FF0000"/>
          <w:sz w:val="20"/>
          <w:szCs w:val="20"/>
        </w:rPr>
      </w:pPr>
    </w:p>
    <w:p>
      <w:pP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Table S3.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Association between sleep duration and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dual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use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cigarette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and traditional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cigarette , NHANES 2015</w:t>
      </w:r>
      <w:r>
        <w:rPr>
          <w:rFonts w:ascii="Times New Roman" w:hAnsi="Times New Roman" w:eastAsia="等线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–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2018, 18</w:t>
      </w:r>
      <w:r>
        <w:rPr>
          <w:rFonts w:ascii="Times New Roman" w:hAnsi="Times New Roman" w:eastAsia="等线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–</w:t>
      </w:r>
      <w:r>
        <w:rPr>
          <w:rFonts w:hint="eastAsia" w:ascii="Times New Roman" w:hAnsi="Times New Roman" w:eastAsia="等线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years (Univariable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).</w:t>
      </w:r>
    </w:p>
    <w:tbl>
      <w:tblPr>
        <w:tblStyle w:val="5"/>
        <w:tblpPr w:leftFromText="180" w:rightFromText="180" w:vertAnchor="text" w:horzAnchor="page" w:tblpX="420" w:tblpY="310"/>
        <w:tblOverlap w:val="never"/>
        <w:tblW w:w="115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2"/>
        <w:gridCol w:w="1691"/>
        <w:gridCol w:w="1132"/>
        <w:gridCol w:w="1602"/>
        <w:gridCol w:w="1677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152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7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leep duration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vMerge w:val="continue"/>
            <w:tcBorders>
              <w:top w:val="nil"/>
              <w:bottom w:val="nil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Short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&lt;7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)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n=1,186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6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Normal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hint="default" w:ascii="Times New Roman" w:hAnsi="Times New Roman" w:eastAsia="等线" w:cs="Times New Roman"/>
                <w:sz w:val="20"/>
                <w:szCs w:val="20"/>
              </w:rPr>
              <w:t>–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667)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Long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&gt;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tcBorders>
              <w:top w:val="nil"/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6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Dual e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-cigarette and cigarette use</w:t>
            </w:r>
          </w:p>
        </w:tc>
        <w:tc>
          <w:tcPr>
            <w:tcW w:w="1691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1677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4152" w:type="dxa"/>
            <w:vAlign w:val="top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E-cigarette only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vs. neither</w:t>
            </w:r>
          </w:p>
        </w:tc>
        <w:tc>
          <w:tcPr>
            <w:tcW w:w="1691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2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79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2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60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2.06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17, 3.60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vAlign w:val="top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Traditional c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igarette only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vs. neither</w:t>
            </w:r>
          </w:p>
        </w:tc>
        <w:tc>
          <w:tcPr>
            <w:tcW w:w="169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11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71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2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  <w:tc>
          <w:tcPr>
            <w:tcW w:w="160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88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0.00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vAlign w:val="top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Dual user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vs. neither</w:t>
            </w:r>
          </w:p>
        </w:tc>
        <w:tc>
          <w:tcPr>
            <w:tcW w:w="169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2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  <w:tc>
          <w:tcPr>
            <w:tcW w:w="160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2.13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3.16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vAlign w:val="top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Traditional c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igarette only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vs. e- cigarette only</w:t>
            </w:r>
          </w:p>
        </w:tc>
        <w:tc>
          <w:tcPr>
            <w:tcW w:w="169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 (0.55, 3.08)</w:t>
            </w:r>
          </w:p>
        </w:tc>
        <w:tc>
          <w:tcPr>
            <w:tcW w:w="1132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60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0.89 (0.41, 1.92)</w:t>
            </w:r>
          </w:p>
        </w:tc>
        <w:tc>
          <w:tcPr>
            <w:tcW w:w="127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0.77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4152" w:type="dxa"/>
            <w:vAlign w:val="top"/>
          </w:tcPr>
          <w:p>
            <w:pPr>
              <w:pStyle w:val="3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Dual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vs. e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-cigarette only</w:t>
            </w:r>
          </w:p>
        </w:tc>
        <w:tc>
          <w:tcPr>
            <w:tcW w:w="169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1.24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(0.60, 2.58)</w:t>
            </w:r>
          </w:p>
        </w:tc>
        <w:tc>
          <w:tcPr>
            <w:tcW w:w="1132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60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1.01 (0.57, 1.80)</w:t>
            </w:r>
          </w:p>
        </w:tc>
        <w:tc>
          <w:tcPr>
            <w:tcW w:w="1275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2" w:type="dxa"/>
            <w:tcBorders>
              <w:bottom w:val="single" w:color="auto" w:sz="4" w:space="0"/>
            </w:tcBorders>
            <w:vAlign w:val="top"/>
          </w:tcPr>
          <w:p>
            <w:pPr>
              <w:pStyle w:val="3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 Dual vs. traditional c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igarette only</w:t>
            </w:r>
          </w:p>
        </w:tc>
        <w:tc>
          <w:tcPr>
            <w:tcW w:w="1691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0.9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 (0.54, 1.66)</w:t>
            </w:r>
          </w:p>
        </w:tc>
        <w:tc>
          <w:tcPr>
            <w:tcW w:w="1132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0.85</w:t>
            </w:r>
          </w:p>
        </w:tc>
        <w:tc>
          <w:tcPr>
            <w:tcW w:w="1602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677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1.13 (0.61, 2.11)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0.69</w:t>
            </w:r>
          </w:p>
        </w:tc>
      </w:tr>
    </w:tbl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hint="default" w:ascii="Times New Roman" w:hAnsi="Times New Roman" w:cs="Times New Roman"/>
          <w:sz w:val="16"/>
          <w:szCs w:val="16"/>
        </w:rPr>
      </w:pPr>
      <w:r>
        <w:rPr>
          <w:rFonts w:hint="default"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0.05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0.01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0.001. </w:t>
      </w:r>
      <w:r>
        <w:rPr>
          <w:rStyle w:val="7"/>
          <w:rFonts w:ascii="Times New Roman" w:hAnsi="Times New Roman" w:cs="Times New Roman"/>
        </w:rPr>
        <w:t>Ref: Reference. OR: Odds ratio. CI: Confidence interval.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. Association between sleep duration and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dual use of marijuana and traditional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cigarette, NHANES 2015</w:t>
      </w:r>
      <w:r>
        <w:rPr>
          <w:rFonts w:ascii="Times New Roman" w:hAnsi="Times New Roman" w:eastAsia="等线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–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2018, 18</w:t>
      </w:r>
      <w:r>
        <w:rPr>
          <w:rFonts w:ascii="Times New Roman" w:hAnsi="Times New Roman" w:eastAsia="等线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–</w:t>
      </w:r>
      <w:r>
        <w:rPr>
          <w:rFonts w:hint="eastAsia" w:ascii="Times New Roman" w:hAnsi="Times New Roman" w:eastAsia="等线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years (Univariable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).</w:t>
      </w:r>
    </w:p>
    <w:tbl>
      <w:tblPr>
        <w:tblStyle w:val="5"/>
        <w:tblW w:w="11414" w:type="dxa"/>
        <w:tblInd w:w="-1361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9"/>
        <w:gridCol w:w="1977"/>
        <w:gridCol w:w="1119"/>
        <w:gridCol w:w="1588"/>
        <w:gridCol w:w="1732"/>
        <w:gridCol w:w="100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989" w:type="dxa"/>
            <w:vMerge w:val="restart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leep duration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vMerge w:val="continue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9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Short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&lt;7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)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n=1,186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5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Normal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hint="default" w:ascii="Times New Roman" w:hAnsi="Times New Roman" w:eastAsia="等线" w:cs="Times New Roman"/>
                <w:sz w:val="20"/>
                <w:szCs w:val="20"/>
              </w:rPr>
              <w:t>–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667)</w:t>
            </w:r>
          </w:p>
        </w:tc>
        <w:tc>
          <w:tcPr>
            <w:tcW w:w="274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Long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&gt;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720)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5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0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Marijuana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and cigarette use</w:t>
            </w:r>
          </w:p>
        </w:tc>
        <w:tc>
          <w:tcPr>
            <w:tcW w:w="1977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1732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3989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Marijuana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vs.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either</w:t>
            </w:r>
          </w:p>
        </w:tc>
        <w:tc>
          <w:tcPr>
            <w:tcW w:w="1977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11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79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3.3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9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58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1.37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3.60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09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0.0090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either </w:t>
            </w:r>
          </w:p>
        </w:tc>
        <w:tc>
          <w:tcPr>
            <w:tcW w:w="19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1.84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71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2.6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9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  <w:tc>
          <w:tcPr>
            <w:tcW w:w="158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59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09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0.035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Dual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either</w:t>
            </w:r>
          </w:p>
        </w:tc>
        <w:tc>
          <w:tcPr>
            <w:tcW w:w="19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43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9" w:type="dxa"/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  <w:tc>
          <w:tcPr>
            <w:tcW w:w="158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2.56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3.16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09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tcBorders>
              <w:bottom w:val="nil"/>
            </w:tcBorders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vs. marijuana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only </w:t>
            </w:r>
          </w:p>
        </w:tc>
        <w:tc>
          <w:tcPr>
            <w:tcW w:w="1977" w:type="dxa"/>
            <w:tcBorders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 (1.16, 2.34)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             </w:t>
            </w:r>
          </w:p>
        </w:tc>
        <w:tc>
          <w:tcPr>
            <w:tcW w:w="1119" w:type="dxa"/>
            <w:tcBorders>
              <w:bottom w:val="nil"/>
            </w:tcBorders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0.005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88" w:type="dxa"/>
            <w:tcBorders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tcBorders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1.17 (0.79, 1.75)             </w:t>
            </w:r>
          </w:p>
        </w:tc>
        <w:tc>
          <w:tcPr>
            <w:tcW w:w="1009" w:type="dxa"/>
            <w:tcBorders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Dual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marijuana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(1.51, 3.21)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***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1.86 (1.24, 2.79)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0.0025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9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Dual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Traditional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 </w:t>
            </w:r>
          </w:p>
        </w:tc>
        <w:tc>
          <w:tcPr>
            <w:tcW w:w="197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1.3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 (0.91, 1.97)</w:t>
            </w:r>
          </w:p>
        </w:tc>
        <w:tc>
          <w:tcPr>
            <w:tcW w:w="111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8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1.59 (1.16, 2.18)</w:t>
            </w:r>
          </w:p>
        </w:tc>
        <w:tc>
          <w:tcPr>
            <w:tcW w:w="100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0.0041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**</w:t>
            </w:r>
          </w:p>
        </w:tc>
      </w:tr>
    </w:tbl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hint="default" w:ascii="Times New Roman" w:hAnsi="Times New Roman" w:cs="Times New Roman"/>
          <w:sz w:val="16"/>
          <w:szCs w:val="16"/>
        </w:rPr>
      </w:pPr>
      <w:r>
        <w:rPr>
          <w:rFonts w:hint="default"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0.05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0.01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0.001. </w:t>
      </w:r>
      <w:r>
        <w:rPr>
          <w:rStyle w:val="7"/>
          <w:rFonts w:ascii="Times New Roman" w:hAnsi="Times New Roman" w:cs="Times New Roman"/>
        </w:rPr>
        <w:t>Ref: Reference. OR: Odds ratio. CI: Confidence interval.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S5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. Association between sleep duration and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dual use of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cigarette and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traditional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cigarette, NHANES 2015–2018, 18–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years (multivariable)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</w:p>
    <w:tbl>
      <w:tblPr>
        <w:tblStyle w:val="5"/>
        <w:tblW w:w="10821" w:type="dxa"/>
        <w:tblInd w:w="-132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8"/>
        <w:gridCol w:w="1694"/>
        <w:gridCol w:w="842"/>
        <w:gridCol w:w="1664"/>
        <w:gridCol w:w="1554"/>
        <w:gridCol w:w="98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4078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3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leep duration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  <w:vMerge w:val="continue"/>
            <w:tcBorders>
              <w:top w:val="nil"/>
              <w:bottom w:val="nil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Short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&lt;7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)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n=1,186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6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Normal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hint="default" w:ascii="Times New Roman" w:hAnsi="Times New Roman" w:eastAsia="等线" w:cs="Times New Roman"/>
                <w:sz w:val="20"/>
                <w:szCs w:val="20"/>
              </w:rPr>
              <w:t>–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667)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Long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&gt;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720)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  <w:tcBorders>
              <w:top w:val="nil"/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8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6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9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  <w:tcBorders>
              <w:top w:val="single" w:color="auto" w:sz="4" w:space="0"/>
            </w:tcBorders>
          </w:tcPr>
          <w:p>
            <w:pPr>
              <w:pStyle w:val="3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Dual e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-cigarette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traditional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cigarette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use</w:t>
            </w:r>
          </w:p>
        </w:tc>
        <w:tc>
          <w:tcPr>
            <w:tcW w:w="1694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Ref.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E-cigarette only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vs. neither</w:t>
            </w:r>
          </w:p>
        </w:tc>
        <w:tc>
          <w:tcPr>
            <w:tcW w:w="169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31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71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5.48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66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88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Traditional c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igarette only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vs. neither</w:t>
            </w:r>
          </w:p>
        </w:tc>
        <w:tc>
          <w:tcPr>
            <w:tcW w:w="169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2.35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0.01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6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98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 (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1.00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2.71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0.047</w:t>
            </w:r>
            <w:r>
              <w:rPr>
                <w:rFonts w:hint="eastAsia" w:cs="Times New Roman" w:eastAsiaTheme="minorEastAsia"/>
                <w:sz w:val="20"/>
                <w:szCs w:val="20"/>
                <w:vertAlign w:val="superscript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</w:tcPr>
          <w:p>
            <w:pPr>
              <w:pStyle w:val="3"/>
              <w:ind w:firstLine="200" w:firstLineChars="100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Dual user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vs. neither</w:t>
            </w:r>
          </w:p>
        </w:tc>
        <w:tc>
          <w:tcPr>
            <w:tcW w:w="169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1.62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3.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84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0.10</w:t>
            </w:r>
          </w:p>
        </w:tc>
        <w:tc>
          <w:tcPr>
            <w:tcW w:w="166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63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92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41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</w:tcPr>
          <w:p>
            <w:pPr>
              <w:pStyle w:val="3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Traditional c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igarette only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vs. e- cigarette only</w:t>
            </w:r>
          </w:p>
        </w:tc>
        <w:tc>
          <w:tcPr>
            <w:tcW w:w="1694" w:type="dxa"/>
            <w:vAlign w:val="center"/>
          </w:tcPr>
          <w:p>
            <w:pPr>
              <w:pStyle w:val="3"/>
              <w:jc w:val="center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0.92 (0.52, 1.64)             </w:t>
            </w:r>
          </w:p>
        </w:tc>
        <w:tc>
          <w:tcPr>
            <w:tcW w:w="84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0.7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 xml:space="preserve">        </w:t>
            </w:r>
          </w:p>
        </w:tc>
        <w:tc>
          <w:tcPr>
            <w:tcW w:w="166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0.97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(0.68, 1.58)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 xml:space="preserve">         </w:t>
            </w:r>
          </w:p>
        </w:tc>
        <w:tc>
          <w:tcPr>
            <w:tcW w:w="989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</w:tcPr>
          <w:p>
            <w:pPr>
              <w:pStyle w:val="3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Dual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vs. e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-cigarette only</w:t>
            </w:r>
          </w:p>
        </w:tc>
        <w:tc>
          <w:tcPr>
            <w:tcW w:w="1694" w:type="dxa"/>
            <w:vAlign w:val="center"/>
          </w:tcPr>
          <w:p>
            <w:pPr>
              <w:pStyle w:val="3"/>
              <w:jc w:val="center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1.04 (0.67, 1.40)              </w:t>
            </w:r>
          </w:p>
        </w:tc>
        <w:tc>
          <w:tcPr>
            <w:tcW w:w="84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 xml:space="preserve">0.86        </w:t>
            </w:r>
          </w:p>
        </w:tc>
        <w:tc>
          <w:tcPr>
            <w:tcW w:w="166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0.92 (0.56, 1.51)</w:t>
            </w:r>
          </w:p>
        </w:tc>
        <w:tc>
          <w:tcPr>
            <w:tcW w:w="989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0.7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8" w:type="dxa"/>
          </w:tcPr>
          <w:p>
            <w:pPr>
              <w:pStyle w:val="3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 Dual vs. traditional c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igarette only</w:t>
            </w:r>
          </w:p>
        </w:tc>
        <w:tc>
          <w:tcPr>
            <w:tcW w:w="1694" w:type="dxa"/>
            <w:vAlign w:val="center"/>
          </w:tcPr>
          <w:p>
            <w:pPr>
              <w:pStyle w:val="3"/>
              <w:jc w:val="center"/>
              <w:rPr>
                <w:rFonts w:hint="default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1.05 (0.55, 2.03)</w:t>
            </w:r>
          </w:p>
        </w:tc>
        <w:tc>
          <w:tcPr>
            <w:tcW w:w="842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0.8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66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0.89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(0.39, 2.55)</w:t>
            </w:r>
          </w:p>
        </w:tc>
        <w:tc>
          <w:tcPr>
            <w:tcW w:w="989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0.78</w:t>
            </w:r>
          </w:p>
        </w:tc>
      </w:tr>
    </w:tbl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0.05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0.01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0.001.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16"/>
          <w:szCs w:val="16"/>
        </w:rPr>
        <w:t xml:space="preserve">The </w:t>
      </w:r>
      <w:r>
        <w:rPr>
          <w:rFonts w:ascii="Times New Roman" w:hAnsi="Times New Roman" w:cs="Times New Roman"/>
          <w:sz w:val="16"/>
          <w:szCs w:val="16"/>
        </w:rPr>
        <w:t xml:space="preserve">model was adjusted for age, sex, race, annual household income,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overweight/obese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marijuana use, </w:t>
      </w:r>
      <w:r>
        <w:rPr>
          <w:rFonts w:ascii="Times New Roman" w:hAnsi="Times New Roman" w:cs="Times New Roman"/>
          <w:sz w:val="16"/>
          <w:szCs w:val="16"/>
        </w:rPr>
        <w:t xml:space="preserve">cotinine level, education level, marital status, occupation,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depression severity</w:t>
      </w:r>
      <w:r>
        <w:rPr>
          <w:rFonts w:ascii="Times New Roman" w:hAnsi="Times New Roman" w:cs="Times New Roman"/>
          <w:sz w:val="16"/>
          <w:szCs w:val="16"/>
        </w:rPr>
        <w:t>, snort or stop breathing</w:t>
      </w:r>
      <w:r>
        <w:rPr>
          <w:rFonts w:ascii="Times New Roman" w:hAnsi="Times New Roman" w:eastAsia="等线" w:cs="Times New Roman"/>
          <w:sz w:val="16"/>
          <w:szCs w:val="16"/>
        </w:rPr>
        <w:t xml:space="preserve">, and chronic diseases. </w:t>
      </w:r>
      <w:r>
        <w:rPr>
          <w:rStyle w:val="7"/>
          <w:rFonts w:ascii="Times New Roman" w:hAnsi="Times New Roman" w:cs="Times New Roman"/>
        </w:rPr>
        <w:t>Ref: Reference. OR: Odds ratio. CI: Confidence interval.</w:t>
      </w:r>
    </w:p>
    <w:p>
      <w:pP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S6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. Association between sleep duration and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dual use of marijuana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traditional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cigarette, NHANES 2015</w:t>
      </w:r>
      <w:r>
        <w:rPr>
          <w:rFonts w:ascii="Times New Roman" w:hAnsi="Times New Roman" w:eastAsia="等线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–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2018, 18</w:t>
      </w:r>
      <w:r>
        <w:rPr>
          <w:rFonts w:ascii="Times New Roman" w:hAnsi="Times New Roman" w:eastAsia="等线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–</w:t>
      </w:r>
      <w:r>
        <w:rPr>
          <w:rFonts w:hint="eastAsia" w:ascii="Times New Roman" w:hAnsi="Times New Roman" w:eastAsia="等线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64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years (multivariable)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</w:p>
    <w:tbl>
      <w:tblPr>
        <w:tblStyle w:val="5"/>
        <w:tblW w:w="10889" w:type="dxa"/>
        <w:tblInd w:w="-1347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2"/>
        <w:gridCol w:w="1712"/>
        <w:gridCol w:w="893"/>
        <w:gridCol w:w="1568"/>
        <w:gridCol w:w="1561"/>
        <w:gridCol w:w="11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Merge w:val="restart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7" w:type="dxa"/>
            <w:gridSpan w:val="5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leep duration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Merge w:val="continue"/>
            <w:tcBorders>
              <w:top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Short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&lt;7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)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n=1,186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5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Normal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hint="default" w:ascii="Times New Roman" w:hAnsi="Times New Roman" w:eastAsia="等线" w:cs="Times New Roman"/>
                <w:sz w:val="20"/>
                <w:szCs w:val="20"/>
              </w:rPr>
              <w:t>–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pStyle w:val="2"/>
              <w:shd w:val="clear" w:color="auto" w:fill="FFFFFF"/>
              <w:wordWrap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  <w:t>667)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Long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&gt;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9 h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720)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8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5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1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tcBorders>
              <w:top w:val="single" w:color="auto" w:sz="4" w:space="0"/>
            </w:tcBorders>
          </w:tcPr>
          <w:p>
            <w:pPr>
              <w:pStyle w:val="3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Dual marijuana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 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traditional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cigarette u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e</w:t>
            </w:r>
          </w:p>
        </w:tc>
        <w:tc>
          <w:tcPr>
            <w:tcW w:w="1712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Ref.</w:t>
            </w: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Marijuana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vs.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either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27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84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1.91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89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0.25</w:t>
            </w:r>
          </w:p>
        </w:tc>
        <w:tc>
          <w:tcPr>
            <w:tcW w:w="1568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95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115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0.080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either 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1.42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0.92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2.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893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68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 (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0.88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2.42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1153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Dual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either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1.80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83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3.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893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568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98 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(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1.21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,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 3.24</w:t>
            </w: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)</w:t>
            </w:r>
          </w:p>
        </w:tc>
        <w:tc>
          <w:tcPr>
            <w:tcW w:w="115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0.0065</w:t>
            </w:r>
            <w:r>
              <w:rPr>
                <w:rFonts w:hint="eastAsia" w:cs="Times New Roman" w:eastAsiaTheme="minorEastAsia"/>
                <w:sz w:val="20"/>
                <w:szCs w:val="20"/>
                <w:vertAlign w:val="superscript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Traditional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vs. marijuana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only 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jc w:val="center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0.96 (0.79, 1.16)             </w:t>
            </w:r>
          </w:p>
        </w:tc>
        <w:tc>
          <w:tcPr>
            <w:tcW w:w="89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 xml:space="preserve">0.68        </w:t>
            </w:r>
          </w:p>
        </w:tc>
        <w:tc>
          <w:tcPr>
            <w:tcW w:w="1568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1.23 (0.63, 1.27)</w:t>
            </w:r>
          </w:p>
        </w:tc>
        <w:tc>
          <w:tcPr>
            <w:tcW w:w="1153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0.1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Dual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marijuana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jc w:val="center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 xml:space="preserve">0.89 (0.90, 1.67)              </w:t>
            </w:r>
          </w:p>
        </w:tc>
        <w:tc>
          <w:tcPr>
            <w:tcW w:w="89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 xml:space="preserve">0.52       </w:t>
            </w:r>
          </w:p>
        </w:tc>
        <w:tc>
          <w:tcPr>
            <w:tcW w:w="1568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1.21 (0.92, 1.59)</w:t>
            </w:r>
          </w:p>
        </w:tc>
        <w:tc>
          <w:tcPr>
            <w:tcW w:w="115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02" w:type="dxa"/>
            <w:vAlign w:val="top"/>
          </w:tcPr>
          <w:p>
            <w:pPr>
              <w:spacing w:after="0" w:line="240" w:lineRule="auto"/>
              <w:ind w:firstLine="200" w:firstLineChars="100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Dual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vs. Traditional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only 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jc w:val="center"/>
              <w:rPr>
                <w:rFonts w:hint="default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1.28 (0.83, 1.99)</w:t>
            </w:r>
          </w:p>
        </w:tc>
        <w:tc>
          <w:tcPr>
            <w:tcW w:w="893" w:type="dxa"/>
            <w:vAlign w:val="center"/>
          </w:tcPr>
          <w:p>
            <w:pPr>
              <w:pStyle w:val="3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0.2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568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1.3</w:t>
            </w:r>
            <w:r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  <w:t>6 (0.79, 2.32)</w:t>
            </w:r>
          </w:p>
        </w:tc>
        <w:tc>
          <w:tcPr>
            <w:tcW w:w="1153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0.26</w:t>
            </w:r>
          </w:p>
        </w:tc>
      </w:tr>
    </w:tbl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0.05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0.01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>***</w:t>
      </w:r>
      <w:r>
        <w:rPr>
          <w:rFonts w:ascii="Times New Roman" w:hAnsi="Times New Roman" w:cs="Times New Roman"/>
          <w:i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&lt; 0.001.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16"/>
          <w:szCs w:val="16"/>
        </w:rPr>
        <w:t xml:space="preserve">The </w:t>
      </w:r>
      <w:r>
        <w:rPr>
          <w:rFonts w:ascii="Times New Roman" w:hAnsi="Times New Roman" w:cs="Times New Roman"/>
          <w:sz w:val="16"/>
          <w:szCs w:val="16"/>
        </w:rPr>
        <w:t xml:space="preserve">model was adjusted for age, sex, race, annual household income,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overweight/obese</w:t>
      </w:r>
      <w:r>
        <w:rPr>
          <w:rFonts w:ascii="Times New Roman" w:hAnsi="Times New Roman" w:cs="Times New Roman"/>
          <w:sz w:val="16"/>
          <w:szCs w:val="16"/>
        </w:rPr>
        <w:t>,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smoking status (e-cigarette), </w:t>
      </w:r>
      <w:r>
        <w:rPr>
          <w:rFonts w:ascii="Times New Roman" w:hAnsi="Times New Roman" w:cs="Times New Roman"/>
          <w:sz w:val="16"/>
          <w:szCs w:val="16"/>
        </w:rPr>
        <w:t xml:space="preserve">cotinine level, education level, marital status, occupation,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depression severity</w:t>
      </w:r>
      <w:r>
        <w:rPr>
          <w:rFonts w:ascii="Times New Roman" w:hAnsi="Times New Roman" w:cs="Times New Roman"/>
          <w:sz w:val="16"/>
          <w:szCs w:val="16"/>
        </w:rPr>
        <w:t>, snort or stop breathing</w:t>
      </w:r>
      <w:r>
        <w:rPr>
          <w:rFonts w:ascii="Times New Roman" w:hAnsi="Times New Roman" w:eastAsia="等线" w:cs="Times New Roman"/>
          <w:sz w:val="16"/>
          <w:szCs w:val="16"/>
        </w:rPr>
        <w:t xml:space="preserve">, and chronic diseases. </w:t>
      </w:r>
      <w:r>
        <w:rPr>
          <w:rStyle w:val="7"/>
          <w:rFonts w:ascii="Times New Roman" w:hAnsi="Times New Roman" w:cs="Times New Roman"/>
        </w:rPr>
        <w:t>Ref: Reference. OR: Odds ratio. CI: Confidence interval.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20276"/>
    <w:rsid w:val="021446DA"/>
    <w:rsid w:val="03141D18"/>
    <w:rsid w:val="03B44E81"/>
    <w:rsid w:val="08F251DA"/>
    <w:rsid w:val="09C226B9"/>
    <w:rsid w:val="0BBF2486"/>
    <w:rsid w:val="0C966FE2"/>
    <w:rsid w:val="0CE8256E"/>
    <w:rsid w:val="0E35588E"/>
    <w:rsid w:val="0E83792A"/>
    <w:rsid w:val="0EFE5444"/>
    <w:rsid w:val="0F4F2089"/>
    <w:rsid w:val="10201C71"/>
    <w:rsid w:val="10DF7CA2"/>
    <w:rsid w:val="11D0732A"/>
    <w:rsid w:val="11F40BFD"/>
    <w:rsid w:val="125735A8"/>
    <w:rsid w:val="13961EAE"/>
    <w:rsid w:val="14A25422"/>
    <w:rsid w:val="16EB406B"/>
    <w:rsid w:val="17A96653"/>
    <w:rsid w:val="1A0B49E8"/>
    <w:rsid w:val="1A19300F"/>
    <w:rsid w:val="1B9158F5"/>
    <w:rsid w:val="1BE51C24"/>
    <w:rsid w:val="1D8A22DE"/>
    <w:rsid w:val="1DB54271"/>
    <w:rsid w:val="1E6D1BDF"/>
    <w:rsid w:val="1F7611F4"/>
    <w:rsid w:val="1F9E0E74"/>
    <w:rsid w:val="1FAB4F33"/>
    <w:rsid w:val="20EF0CA3"/>
    <w:rsid w:val="21E40288"/>
    <w:rsid w:val="221C7C0F"/>
    <w:rsid w:val="22D93553"/>
    <w:rsid w:val="236D3A27"/>
    <w:rsid w:val="25203CCD"/>
    <w:rsid w:val="262B0B7B"/>
    <w:rsid w:val="26D8122A"/>
    <w:rsid w:val="277726B4"/>
    <w:rsid w:val="28A33EF2"/>
    <w:rsid w:val="2AF43C32"/>
    <w:rsid w:val="2BA00569"/>
    <w:rsid w:val="2CAB45AB"/>
    <w:rsid w:val="2E261C16"/>
    <w:rsid w:val="30936733"/>
    <w:rsid w:val="32F04CDF"/>
    <w:rsid w:val="334332AF"/>
    <w:rsid w:val="34401C96"/>
    <w:rsid w:val="3496652F"/>
    <w:rsid w:val="35066A3B"/>
    <w:rsid w:val="350C4344"/>
    <w:rsid w:val="35B651D9"/>
    <w:rsid w:val="35FB0D01"/>
    <w:rsid w:val="3620046B"/>
    <w:rsid w:val="36B335DA"/>
    <w:rsid w:val="37F663D5"/>
    <w:rsid w:val="38090810"/>
    <w:rsid w:val="387B381C"/>
    <w:rsid w:val="38EB5D8C"/>
    <w:rsid w:val="397523E2"/>
    <w:rsid w:val="399051AF"/>
    <w:rsid w:val="3A197EEE"/>
    <w:rsid w:val="3B31034E"/>
    <w:rsid w:val="3B935963"/>
    <w:rsid w:val="3C884E6D"/>
    <w:rsid w:val="3C896926"/>
    <w:rsid w:val="3CE30D44"/>
    <w:rsid w:val="3D231194"/>
    <w:rsid w:val="3D7B3D3F"/>
    <w:rsid w:val="3E00686E"/>
    <w:rsid w:val="3E38233A"/>
    <w:rsid w:val="3FEA7295"/>
    <w:rsid w:val="41BC3135"/>
    <w:rsid w:val="421E223B"/>
    <w:rsid w:val="430F7403"/>
    <w:rsid w:val="46447445"/>
    <w:rsid w:val="47117DD4"/>
    <w:rsid w:val="488048D9"/>
    <w:rsid w:val="4896658D"/>
    <w:rsid w:val="4A3634C7"/>
    <w:rsid w:val="4A8C102A"/>
    <w:rsid w:val="4AC76815"/>
    <w:rsid w:val="4B271F48"/>
    <w:rsid w:val="4C321842"/>
    <w:rsid w:val="4CAF3091"/>
    <w:rsid w:val="4E047438"/>
    <w:rsid w:val="4FE20932"/>
    <w:rsid w:val="4FF4485A"/>
    <w:rsid w:val="50677C55"/>
    <w:rsid w:val="50ED1318"/>
    <w:rsid w:val="514E40A5"/>
    <w:rsid w:val="51627BA7"/>
    <w:rsid w:val="51C33261"/>
    <w:rsid w:val="52156097"/>
    <w:rsid w:val="52350508"/>
    <w:rsid w:val="52982FE9"/>
    <w:rsid w:val="52C84ED8"/>
    <w:rsid w:val="54B73FFB"/>
    <w:rsid w:val="580E4381"/>
    <w:rsid w:val="58421289"/>
    <w:rsid w:val="58FC6705"/>
    <w:rsid w:val="5A673C16"/>
    <w:rsid w:val="60430294"/>
    <w:rsid w:val="6071095D"/>
    <w:rsid w:val="617701F5"/>
    <w:rsid w:val="61E810F3"/>
    <w:rsid w:val="629278F2"/>
    <w:rsid w:val="62F31AFE"/>
    <w:rsid w:val="637C5146"/>
    <w:rsid w:val="645111D2"/>
    <w:rsid w:val="65952168"/>
    <w:rsid w:val="65A810BC"/>
    <w:rsid w:val="65F92062"/>
    <w:rsid w:val="66DA29C9"/>
    <w:rsid w:val="69C46D15"/>
    <w:rsid w:val="6A450888"/>
    <w:rsid w:val="6A7379C8"/>
    <w:rsid w:val="6AD53FDA"/>
    <w:rsid w:val="6C363BF3"/>
    <w:rsid w:val="6C783E95"/>
    <w:rsid w:val="70074E3A"/>
    <w:rsid w:val="704B7D8D"/>
    <w:rsid w:val="70BF74C3"/>
    <w:rsid w:val="71133B58"/>
    <w:rsid w:val="73BD44A6"/>
    <w:rsid w:val="743462E1"/>
    <w:rsid w:val="746F1200"/>
    <w:rsid w:val="74AA4241"/>
    <w:rsid w:val="74DD260E"/>
    <w:rsid w:val="75220276"/>
    <w:rsid w:val="759C7F87"/>
    <w:rsid w:val="76FD0D45"/>
    <w:rsid w:val="78DD4B86"/>
    <w:rsid w:val="7972481F"/>
    <w:rsid w:val="7C68749E"/>
    <w:rsid w:val="7D9048DD"/>
    <w:rsid w:val="7DBB459D"/>
    <w:rsid w:val="7ED90B25"/>
    <w:rsid w:val="7FA4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annotation reference"/>
    <w:basedOn w:val="6"/>
    <w:semiHidden/>
    <w:unhideWhenUsed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859</Words>
  <Characters>4564</Characters>
  <Lines>0</Lines>
  <Paragraphs>0</Paragraphs>
  <TotalTime>1</TotalTime>
  <ScaleCrop>false</ScaleCrop>
  <LinksUpToDate>false</LinksUpToDate>
  <CharactersWithSpaces>5417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2021-12-28T02:36:00Z</dcterms:created>
  <dc:creator>䒕瓏釹*</dc:creator>
  <cp:lastModifiedBy>䒕瓏釹*</cp:lastModifiedBy>
  <dcterms:modified xsi:type="dcterms:W3CDTF">2022-04-27T07:26:39Z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57BE3515A9094F57B8BE49D627ED0B4E</vt:lpwstr>
  </property>
</Properties>
</file>