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146B" w:rsidRDefault="00B04067">
      <w:pPr>
        <w:pStyle w:val="Title"/>
        <w:framePr w:wrap="around"/>
      </w:pPr>
      <w:r>
        <w:t xml:space="preserve">Incompatible insect technique mass rearing infrastructure cost calcualtor for the control of </w:t>
      </w:r>
      <w:r>
        <w:rPr>
          <w:i/>
          <w:iCs/>
        </w:rPr>
        <w:t>Culex quinquefasciatus</w:t>
      </w:r>
      <w:r>
        <w:t xml:space="preserve"> in Hawaiʻi</w:t>
      </w:r>
    </w:p>
    <w:p w:rsidR="00BA146B" w:rsidRDefault="00BA146B">
      <w:pPr>
        <w:pStyle w:val="Author"/>
      </w:pPr>
    </w:p>
    <w:p w:rsidR="00BA146B" w:rsidRDefault="00B04067">
      <w:pPr>
        <w:pStyle w:val="Author"/>
      </w:pPr>
      <w:r>
        <w:rPr>
          <w:b/>
          <w:bCs/>
        </w:rPr>
        <w:t>Adam E. Vorsino</w:t>
      </w:r>
      <w:r>
        <w:rPr>
          <w:b/>
          <w:bCs/>
          <w:vertAlign w:val="superscript"/>
        </w:rPr>
        <w:t>1</w:t>
      </w:r>
      <w:r>
        <w:t xml:space="preserve">*, </w:t>
      </w:r>
      <w:r>
        <w:rPr>
          <w:b/>
          <w:bCs/>
        </w:rPr>
        <w:t>Zhiyong Xi</w:t>
      </w:r>
      <w:r>
        <w:rPr>
          <w:b/>
          <w:bCs/>
          <w:vertAlign w:val="superscript"/>
        </w:rPr>
        <w:t>2</w:t>
      </w:r>
    </w:p>
    <w:p w:rsidR="00BA146B" w:rsidRDefault="00BA146B">
      <w:pPr>
        <w:pStyle w:val="Author"/>
      </w:pPr>
    </w:p>
    <w:p w:rsidR="00BA146B" w:rsidRDefault="00B04067">
      <w:pPr>
        <w:pStyle w:val="Author"/>
      </w:pPr>
      <w:r>
        <w:rPr>
          <w:vertAlign w:val="superscript"/>
        </w:rPr>
        <w:t>1</w:t>
      </w:r>
      <w:r>
        <w:t>Strategic Habitat Conservation Program, Ecological Services, Pacific Islands Fish and Wildlife</w:t>
      </w:r>
      <w:r>
        <w:t xml:space="preserve"> Office, U.S. Fish and Wildlife Service, 300 Ala Moana Blvd Ste. 3-122, Honolulu, Hawaiʻi 96850</w:t>
      </w:r>
    </w:p>
    <w:p w:rsidR="00BA146B" w:rsidRDefault="00BA146B">
      <w:pPr>
        <w:pStyle w:val="Author"/>
      </w:pPr>
    </w:p>
    <w:p w:rsidR="00BA146B" w:rsidRDefault="00B04067">
      <w:pPr>
        <w:pStyle w:val="Author"/>
      </w:pPr>
      <w:r>
        <w:rPr>
          <w:vertAlign w:val="superscript"/>
        </w:rPr>
        <w:t>2</w:t>
      </w:r>
      <w:r>
        <w:t>Department of Microbiology and Molecular Genetics, Michigan State University, 314 Giltner Hall, 293 Farm Lane, East Lansing, Michigan 48824</w:t>
      </w:r>
    </w:p>
    <w:p w:rsidR="00BA146B" w:rsidRDefault="00BA146B">
      <w:pPr>
        <w:pStyle w:val="Author"/>
      </w:pPr>
    </w:p>
    <w:p w:rsidR="00BA146B" w:rsidRDefault="00B04067">
      <w:pPr>
        <w:pStyle w:val="Author"/>
      </w:pPr>
      <w:r>
        <w:t>*Corresponding au</w:t>
      </w:r>
      <w:r>
        <w:t xml:space="preserve">thor: </w:t>
      </w:r>
      <w:hyperlink r:id="rId7">
        <w:r>
          <w:rPr>
            <w:rStyle w:val="Hyperlink"/>
          </w:rPr>
          <w:t>Adam_Vorsino@fws.gov</w:t>
        </w:r>
      </w:hyperlink>
    </w:p>
    <w:p w:rsidR="00BA146B" w:rsidRDefault="00BA146B">
      <w:pPr>
        <w:pStyle w:val="Author"/>
      </w:pPr>
    </w:p>
    <w:p w:rsidR="00BA146B" w:rsidRDefault="00B04067">
      <w:pPr>
        <w:pStyle w:val="Author"/>
      </w:pPr>
      <w:r>
        <w:t xml:space="preserve">AEV: </w:t>
      </w:r>
      <w:hyperlink r:id="rId8">
        <w:r>
          <w:rPr>
            <w:rStyle w:val="Hyperlink"/>
          </w:rPr>
          <w:t>Adam_Vorsino@fws.gov</w:t>
        </w:r>
      </w:hyperlink>
    </w:p>
    <w:p w:rsidR="00BA146B" w:rsidRDefault="00B04067">
      <w:pPr>
        <w:pStyle w:val="Author"/>
      </w:pPr>
      <w:r>
        <w:t xml:space="preserve">ZX: </w:t>
      </w:r>
      <w:hyperlink r:id="rId9">
        <w:r>
          <w:rPr>
            <w:rStyle w:val="Hyperlink"/>
          </w:rPr>
          <w:t>xizy@msu.edu</w:t>
        </w:r>
      </w:hyperlink>
    </w:p>
    <w:p w:rsidR="00BA146B" w:rsidRDefault="00DA423F">
      <w:pPr>
        <w:pStyle w:val="Heading1"/>
      </w:pPr>
      <w:bookmarkStart w:id="0" w:name="Xfac348173c26084c410ec9276f21833797c0f26"/>
      <w:r>
        <w:t>Supplemental Materials Section</w:t>
      </w:r>
      <w:bookmarkStart w:id="1" w:name="_GoBack"/>
      <w:bookmarkEnd w:id="1"/>
      <w:r w:rsidR="00B04067">
        <w:t xml:space="preserve">: </w:t>
      </w:r>
      <w:r w:rsidR="00B04067">
        <w:rPr>
          <w:i/>
          <w:iCs/>
        </w:rPr>
        <w:t>example report</w:t>
      </w:r>
      <w:r w:rsidR="00B04067">
        <w:t>: Re</w:t>
      </w:r>
      <w:r w:rsidR="00B04067">
        <w:t xml:space="preserve">lease cost estimate for control of </w:t>
      </w:r>
      <w:r w:rsidR="00B04067">
        <w:rPr>
          <w:i/>
          <w:iCs/>
        </w:rPr>
        <w:t>A. aegpyti</w:t>
      </w:r>
      <w:r w:rsidR="00B04067">
        <w:t xml:space="preserve"> on the Island of Hawaii</w:t>
      </w:r>
    </w:p>
    <w:p w:rsidR="00BA146B" w:rsidRDefault="00B04067">
      <w:pPr>
        <w:pStyle w:val="Heading1"/>
      </w:pPr>
      <w:bookmarkStart w:id="2" w:name="overview"/>
      <w:bookmarkEnd w:id="0"/>
      <w:r>
        <w:t>Overview</w:t>
      </w:r>
    </w:p>
    <w:p w:rsidR="00BA146B" w:rsidRDefault="00B04067">
      <w:pPr>
        <w:pStyle w:val="FirstParagraph"/>
      </w:pPr>
      <w:r>
        <w:t xml:space="preserve">This report outlines the methods used in the coded analysis (see </w:t>
      </w:r>
      <w:hyperlink r:id="rId10">
        <w:r>
          <w:rPr>
            <w:rStyle w:val="Hyperlink"/>
          </w:rPr>
          <w:t>Supp. Mat. Section 1</w:t>
        </w:r>
      </w:hyperlink>
      <w:r>
        <w:t>) to infer mosquito rearing/infrastructure costs associated with controlling mosquitoes at various densities. The information and criteria regarding rearing needs used in this code was provided by The Xi lab at Michigan State University</w:t>
      </w:r>
      <w:r>
        <w:t xml:space="preserve"> (Dr. Zhiyong Xi </w:t>
      </w:r>
      <w:r>
        <w:rPr>
          <w:i/>
          <w:iCs/>
        </w:rPr>
        <w:t>pers. comm</w:t>
      </w:r>
      <w:r>
        <w:t>). The output of the code is a table of costs for mosquito control using the SIT/IIT approach (see [1]) as applied to an area suggested by the Hawaiʻi Department of Health (HDoH) to be the pimrary area on the Island of Hawaiʻi in</w:t>
      </w:r>
      <w:r>
        <w:t xml:space="preserve"> which </w:t>
      </w:r>
      <w:r>
        <w:rPr>
          <w:i/>
          <w:iCs/>
        </w:rPr>
        <w:t>Aedes aegypti</w:t>
      </w:r>
      <w:r>
        <w:t xml:space="preserve"> occupy. Mosquito densities were calculated based on </w:t>
      </w:r>
      <w:hyperlink r:id="rId11">
        <w:r>
          <w:rPr>
            <w:rStyle w:val="Hyperlink"/>
          </w:rPr>
          <w:t>Biogents Sentinel</w:t>
        </w:r>
      </w:hyperlink>
      <w:r>
        <w:t xml:space="preserve"> (BG) trap collections conducted by the HDoH, and estimates of flight distance. Though initial</w:t>
      </w:r>
      <w:r>
        <w:t xml:space="preserve">ly the calculator described here was developed for </w:t>
      </w:r>
      <w:r>
        <w:rPr>
          <w:i/>
          <w:iCs/>
        </w:rPr>
        <w:t>Culex quinquefasciatus</w:t>
      </w:r>
      <w:r>
        <w:t xml:space="preserve"> infrastructure needs, it is relatively species independent and so has been modified to reflect </w:t>
      </w:r>
      <w:r>
        <w:rPr>
          <w:i/>
          <w:iCs/>
        </w:rPr>
        <w:t>A. aegypti</w:t>
      </w:r>
      <w:r>
        <w:t xml:space="preserve"> infrastructure costs.</w:t>
      </w:r>
    </w:p>
    <w:p w:rsidR="00BA146B" w:rsidRDefault="00B04067">
      <w:pPr>
        <w:pStyle w:val="Heading1"/>
      </w:pPr>
      <w:bookmarkStart w:id="3" w:name="methods"/>
      <w:bookmarkEnd w:id="2"/>
      <w:r>
        <w:t>Methods</w:t>
      </w:r>
    </w:p>
    <w:p w:rsidR="00BA146B" w:rsidRDefault="00B04067">
      <w:pPr>
        <w:pStyle w:val="FirstParagraph"/>
      </w:pPr>
      <w:r>
        <w:t>Along with information provided by Dr. Zhiyong</w:t>
      </w:r>
      <w:r>
        <w:t xml:space="preserve"> Xi for the rearing of approximately 1.5 million Insect Incompatibility Technique (IIT) /Sterile Insect Technique (SIT) derived male mosquitoes [1], Hawaiʻi specific infrastructure, utility and personnel costs were approximated and used in </w:t>
      </w:r>
      <w:r>
        <w:lastRenderedPageBreak/>
        <w:t>this analysis. A</w:t>
      </w:r>
      <w:r>
        <w:t xml:space="preserve">ll compiled information was used here to assess Infrastructure costs associated with developing a Culicid rearing facility at a capacity needed to control estimated </w:t>
      </w:r>
      <w:r>
        <w:rPr>
          <w:i/>
          <w:iCs/>
        </w:rPr>
        <w:t>A. aegypti</w:t>
      </w:r>
      <w:r>
        <w:t xml:space="preserve"> densities for a 1000km</w:t>
      </w:r>
      <w:r>
        <w:rPr>
          <w:vertAlign w:val="superscript"/>
        </w:rPr>
        <w:t>2</w:t>
      </w:r>
      <w:r>
        <w:t xml:space="preserve"> site.</w:t>
      </w:r>
    </w:p>
    <w:p w:rsidR="00BA146B" w:rsidRDefault="00B04067">
      <w:pPr>
        <w:pStyle w:val="BodyText"/>
      </w:pPr>
      <w:r>
        <w:t>Table 1 lists the variables used in the code to it</w:t>
      </w:r>
      <w:r>
        <w:t>emize the infrastructure costs and a description of each variable. Variables to determine infrastructure costs naturally partitioned into three main types: Those associated with ecology of Hawaiʻi and the Culicid (</w:t>
      </w:r>
      <w:r>
        <w:rPr>
          <w:i/>
          <w:iCs/>
        </w:rPr>
        <w:t>Mosquito and Site Information</w:t>
      </w:r>
      <w:r>
        <w:t>), those vari</w:t>
      </w:r>
      <w:r>
        <w:t>ables itemizing the basic infrastructure costs (</w:t>
      </w:r>
      <w:r>
        <w:rPr>
          <w:i/>
          <w:iCs/>
        </w:rPr>
        <w:t>Basic Infrastructure Costs</w:t>
      </w:r>
      <w:r>
        <w:t>), and those variables associated with position and personnel expenditures (</w:t>
      </w:r>
      <w:r>
        <w:rPr>
          <w:i/>
          <w:iCs/>
        </w:rPr>
        <w:t>Position and Personnel Costs</w:t>
      </w:r>
      <w:r>
        <w:t>).</w:t>
      </w:r>
    </w:p>
    <w:p w:rsidR="00BA146B" w:rsidRDefault="00B04067">
      <w:pPr>
        <w:pStyle w:val="BodyText"/>
      </w:pPr>
      <w:r>
        <w:t>::: {custom-style=“Table Caption”}</w:t>
      </w:r>
    </w:p>
    <w:p w:rsidR="00BA146B" w:rsidRDefault="00B04067">
      <w:pPr>
        <w:pStyle w:val="BodyText"/>
      </w:pPr>
      <w:bookmarkStart w:id="4" w:name="Table1"/>
      <w:r>
        <w:rPr>
          <w:b/>
          <w:bCs/>
        </w:rPr>
        <w:t>(#tab:Table1)</w:t>
      </w:r>
      <w:bookmarkEnd w:id="4"/>
      <w:r>
        <w:t>Variable names and descript</w:t>
      </w:r>
      <w:r>
        <w:t>ions used in the R code to derive an estimate of infrastructure and personnel costs.</w:t>
      </w:r>
    </w:p>
    <w:p w:rsidR="00BA146B" w:rsidRDefault="00B04067">
      <w:pPr>
        <w:pStyle w:val="BodyText"/>
      </w:pPr>
      <w:r>
        <w:t>:::</w:t>
      </w:r>
    </w:p>
    <w:tbl>
      <w:tblPr>
        <w:tblW w:w="0" w:type="auto"/>
        <w:jc w:val="center"/>
        <w:tblLayout w:type="fixed"/>
        <w:tblLook w:val="0420" w:firstRow="1" w:lastRow="0" w:firstColumn="0" w:lastColumn="0" w:noHBand="0" w:noVBand="1"/>
      </w:tblPr>
      <w:tblGrid>
        <w:gridCol w:w="1323"/>
        <w:gridCol w:w="7702"/>
      </w:tblGrid>
      <w:tr w:rsidR="00BA146B">
        <w:trPr>
          <w:cantSplit/>
          <w:tblHeader/>
          <w:jc w:val="center"/>
        </w:trPr>
        <w:tc>
          <w:tcPr>
            <w:tcW w:w="1323"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8"/>
                <w:szCs w:val="18"/>
              </w:rPr>
              <w:t>CODED VARIABLE</w:t>
            </w:r>
          </w:p>
        </w:tc>
        <w:tc>
          <w:tcPr>
            <w:tcW w:w="7702"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8"/>
                <w:szCs w:val="18"/>
              </w:rPr>
              <w:t>VARIABLE DESCRIPTION</w:t>
            </w:r>
          </w:p>
        </w:tc>
      </w:tr>
      <w:tr w:rsidR="00BA146B">
        <w:trPr>
          <w:cantSplit/>
          <w:jc w:val="center"/>
        </w:trPr>
        <w:tc>
          <w:tcPr>
            <w:tcW w:w="9025" w:type="dxa"/>
            <w:gridSpan w:val="2"/>
            <w:tcBorders>
              <w:bottom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6"/>
                <w:szCs w:val="16"/>
              </w:rPr>
              <w:t>MOSQUITO AND SITE INFORMATION</w:t>
            </w:r>
          </w:p>
        </w:tc>
      </w:tr>
      <w:tr w:rsidR="00BA146B">
        <w:trPr>
          <w:cantSplit/>
          <w:jc w:val="center"/>
        </w:trPr>
        <w:tc>
          <w:tcPr>
            <w:tcW w:w="1323" w:type="dxa"/>
            <w:tcBorders>
              <w:top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maxRadius</w:t>
            </w:r>
          </w:p>
        </w:tc>
        <w:tc>
          <w:tcPr>
            <w:tcW w:w="7702" w:type="dxa"/>
            <w:tcBorders>
              <w:top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Flight Distance (in meters) of the Culicid.</w:t>
            </w:r>
          </w:p>
        </w:tc>
      </w:tr>
      <w:tr w:rsidR="00BA146B">
        <w:trPr>
          <w:cantSplit/>
          <w:jc w:val="center"/>
        </w:trPr>
        <w:tc>
          <w:tcPr>
            <w:tcW w:w="1323"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MaxCollection</w:t>
            </w:r>
          </w:p>
        </w:tc>
        <w:tc>
          <w:tcPr>
            <w:tcW w:w="7702"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Average or Maximum Collection amount from BG traps of Culicids on the Island of Hawai`r knitr::asis_output("ʻ")`i by the Hawaiʻi Department of Health</w:t>
            </w:r>
          </w:p>
        </w:tc>
      </w:tr>
      <w:tr w:rsidR="00BA146B">
        <w:trPr>
          <w:cantSplit/>
          <w:jc w:val="center"/>
        </w:trPr>
        <w:tc>
          <w:tcPr>
            <w:tcW w:w="1323"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Aedes.Mos.Density.km</w:t>
            </w:r>
          </w:p>
        </w:tc>
        <w:tc>
          <w:tcPr>
            <w:tcW w:w="7702"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 xml:space="preserve">Mosquito Densities (individuals/sqr. km.) were by estimated by dividing the maximum </w:t>
            </w:r>
            <w:r>
              <w:rPr>
                <w:rFonts w:ascii="Arial" w:eastAsia="Arial" w:hAnsi="Arial" w:cs="Arial"/>
                <w:color w:val="000000"/>
                <w:sz w:val="16"/>
                <w:szCs w:val="16"/>
              </w:rPr>
              <w:t xml:space="preserve">number of collected Culicids in BG traps by the collection area.  The flight distance (maxRadius) was used as the radius to determine the area of collection site </w:t>
            </w:r>
            <w:r>
              <w:rPr>
                <w:rFonts w:ascii="Arial" w:eastAsia="Arial" w:hAnsi="Arial" w:cs="Arial"/>
                <w:color w:val="000000"/>
                <w:sz w:val="16"/>
                <w:szCs w:val="16"/>
              </w:rPr>
              <w:br/>
              <w:t xml:space="preserve">                     (i.e. area of a circle).</w:t>
            </w:r>
          </w:p>
        </w:tc>
      </w:tr>
      <w:tr w:rsidR="00BA146B">
        <w:trPr>
          <w:cantSplit/>
          <w:jc w:val="center"/>
        </w:trPr>
        <w:tc>
          <w:tcPr>
            <w:tcW w:w="1323"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Total.Area.ToCntrl.km</w:t>
            </w:r>
          </w:p>
        </w:tc>
        <w:tc>
          <w:tcPr>
            <w:tcW w:w="7702"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Approx. area the Culicid occupies on the Island of Hawaiʻi</w:t>
            </w:r>
          </w:p>
        </w:tc>
      </w:tr>
      <w:tr w:rsidR="00BA146B">
        <w:trPr>
          <w:cantSplit/>
          <w:jc w:val="center"/>
        </w:trPr>
        <w:tc>
          <w:tcPr>
            <w:tcW w:w="1323"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FemalePercent</w:t>
            </w:r>
          </w:p>
        </w:tc>
        <w:tc>
          <w:tcPr>
            <w:tcW w:w="7702"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The female percent of the sex ratio.  A value of 50 indicates an equal sex ratio.</w:t>
            </w:r>
          </w:p>
        </w:tc>
      </w:tr>
      <w:tr w:rsidR="00BA146B">
        <w:trPr>
          <w:cantSplit/>
          <w:jc w:val="center"/>
        </w:trPr>
        <w:tc>
          <w:tcPr>
            <w:tcW w:w="1323" w:type="dxa"/>
            <w:tcBorders>
              <w:bottom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Overflooding_Multiplier</w:t>
            </w:r>
          </w:p>
        </w:tc>
        <w:tc>
          <w:tcPr>
            <w:tcW w:w="7702" w:type="dxa"/>
            <w:tcBorders>
              <w:bottom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Multiplier to derive the overflooding ratio needed for an effective control</w:t>
            </w:r>
            <w:r>
              <w:rPr>
                <w:rFonts w:ascii="Arial" w:eastAsia="Arial" w:hAnsi="Arial" w:cs="Arial"/>
                <w:color w:val="000000"/>
                <w:sz w:val="16"/>
                <w:szCs w:val="16"/>
              </w:rPr>
              <w:t xml:space="preserve"> strategy.  A value of 10 indicates that to suppress the wild-type population a successful program needs 10x the number of SIT/IIT laboratory derived Culicidae.</w:t>
            </w:r>
          </w:p>
        </w:tc>
      </w:tr>
      <w:tr w:rsidR="00BA146B">
        <w:trPr>
          <w:cantSplit/>
          <w:jc w:val="center"/>
        </w:trPr>
        <w:tc>
          <w:tcPr>
            <w:tcW w:w="9025" w:type="dxa"/>
            <w:gridSpan w:val="2"/>
            <w:tcBorders>
              <w:top w:val="single" w:sz="8" w:space="0" w:color="000000"/>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6"/>
                <w:szCs w:val="16"/>
              </w:rPr>
              <w:t>BASIC INFRASTRUCTURE COSTS</w:t>
            </w:r>
          </w:p>
        </w:tc>
      </w:tr>
      <w:tr w:rsidR="00BA146B">
        <w:trPr>
          <w:cantSplit/>
          <w:jc w:val="center"/>
        </w:trPr>
        <w:tc>
          <w:tcPr>
            <w:tcW w:w="1323" w:type="dxa"/>
            <w:tcBorders>
              <w:top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Year1.Only.Items</w:t>
            </w:r>
          </w:p>
        </w:tc>
        <w:tc>
          <w:tcPr>
            <w:tcW w:w="7702" w:type="dxa"/>
            <w:tcBorders>
              <w:top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Infrastructure items needed in year 1 for rearing ≤ 1.5 million IIT/SIT male Culicid, not including personnel</w:t>
            </w:r>
          </w:p>
        </w:tc>
      </w:tr>
      <w:tr w:rsidR="00BA146B">
        <w:trPr>
          <w:cantSplit/>
          <w:jc w:val="center"/>
        </w:trPr>
        <w:tc>
          <w:tcPr>
            <w:tcW w:w="1323"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Year1.Only.Costs</w:t>
            </w:r>
          </w:p>
        </w:tc>
        <w:tc>
          <w:tcPr>
            <w:tcW w:w="7702"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Approx. costs of *Year1.Only.Items* for rearing ≤ 1.5 million IIT/SIT male Culicid</w:t>
            </w:r>
          </w:p>
        </w:tc>
      </w:tr>
      <w:tr w:rsidR="00BA146B">
        <w:trPr>
          <w:cantSplit/>
          <w:jc w:val="center"/>
        </w:trPr>
        <w:tc>
          <w:tcPr>
            <w:tcW w:w="1323"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Electricity</w:t>
            </w:r>
          </w:p>
        </w:tc>
        <w:tc>
          <w:tcPr>
            <w:tcW w:w="7702"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Yearly electricity costs to rear ≤ 1.5 million IIT/SIT males</w:t>
            </w:r>
          </w:p>
        </w:tc>
      </w:tr>
      <w:tr w:rsidR="00BA146B">
        <w:trPr>
          <w:cantSplit/>
          <w:jc w:val="center"/>
        </w:trPr>
        <w:tc>
          <w:tcPr>
            <w:tcW w:w="1323"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lastRenderedPageBreak/>
              <w:t>LaboratorySpace</w:t>
            </w:r>
          </w:p>
        </w:tc>
        <w:tc>
          <w:tcPr>
            <w:tcW w:w="7702"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Cost of a 800 meter squared laboratory space as needed for rearing ≤ 1.5 million IIT/SIT males</w:t>
            </w:r>
          </w:p>
        </w:tc>
      </w:tr>
      <w:tr w:rsidR="00BA146B">
        <w:trPr>
          <w:cantSplit/>
          <w:jc w:val="center"/>
        </w:trPr>
        <w:tc>
          <w:tcPr>
            <w:tcW w:w="1323"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AllOtherYear.Items</w:t>
            </w:r>
          </w:p>
        </w:tc>
        <w:tc>
          <w:tcPr>
            <w:tcW w:w="7702"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Misc PCR/Lab/Feild Supplies for items used in each year of the control application</w:t>
            </w:r>
          </w:p>
        </w:tc>
      </w:tr>
      <w:tr w:rsidR="00BA146B">
        <w:trPr>
          <w:cantSplit/>
          <w:jc w:val="center"/>
        </w:trPr>
        <w:tc>
          <w:tcPr>
            <w:tcW w:w="1323"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AllOtherYear.Costs</w:t>
            </w:r>
          </w:p>
        </w:tc>
        <w:tc>
          <w:tcPr>
            <w:tcW w:w="7702"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Approx. costs of *AllOtherYear.Items* for items used in each year of the control application</w:t>
            </w:r>
          </w:p>
        </w:tc>
      </w:tr>
      <w:tr w:rsidR="00BA146B">
        <w:trPr>
          <w:cantSplit/>
          <w:jc w:val="center"/>
        </w:trPr>
        <w:tc>
          <w:tcPr>
            <w:tcW w:w="9025" w:type="dxa"/>
            <w:gridSpan w:val="2"/>
            <w:tcBorders>
              <w:top w:val="single" w:sz="8" w:space="0" w:color="000000"/>
              <w:bottom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6"/>
                <w:szCs w:val="16"/>
              </w:rPr>
              <w:t>POSITION AND PERSONNEL COSTS</w:t>
            </w:r>
          </w:p>
        </w:tc>
      </w:tr>
      <w:tr w:rsidR="00BA146B">
        <w:trPr>
          <w:cantSplit/>
          <w:jc w:val="center"/>
        </w:trPr>
        <w:tc>
          <w:tcPr>
            <w:tcW w:w="1323" w:type="dxa"/>
            <w:tcBorders>
              <w:top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Personnel.Des</w:t>
            </w:r>
          </w:p>
        </w:tc>
        <w:tc>
          <w:tcPr>
            <w:tcW w:w="7702" w:type="dxa"/>
            <w:tcBorders>
              <w:top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Types of technician positions to be funded</w:t>
            </w:r>
          </w:p>
        </w:tc>
      </w:tr>
      <w:tr w:rsidR="00BA146B">
        <w:trPr>
          <w:cantSplit/>
          <w:jc w:val="center"/>
        </w:trPr>
        <w:tc>
          <w:tcPr>
            <w:tcW w:w="1323"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Wage.Mass.Rearing</w:t>
            </w:r>
          </w:p>
        </w:tc>
        <w:tc>
          <w:tcPr>
            <w:tcW w:w="7702"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Average hourly wage for the Mass Rearing Technician position</w:t>
            </w:r>
          </w:p>
        </w:tc>
      </w:tr>
      <w:tr w:rsidR="00BA146B">
        <w:trPr>
          <w:cantSplit/>
          <w:jc w:val="center"/>
        </w:trPr>
        <w:tc>
          <w:tcPr>
            <w:tcW w:w="1323"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Wage.Quality.Control</w:t>
            </w:r>
          </w:p>
        </w:tc>
        <w:tc>
          <w:tcPr>
            <w:tcW w:w="7702"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Average hourly wage for the Quality Control position</w:t>
            </w:r>
          </w:p>
        </w:tc>
      </w:tr>
      <w:tr w:rsidR="00BA146B">
        <w:trPr>
          <w:cantSplit/>
          <w:jc w:val="center"/>
        </w:trPr>
        <w:tc>
          <w:tcPr>
            <w:tcW w:w="1323"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HoursPerYear</w:t>
            </w:r>
          </w:p>
        </w:tc>
        <w:tc>
          <w:tcPr>
            <w:tcW w:w="7702"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Yearly hours for each position</w:t>
            </w:r>
          </w:p>
        </w:tc>
      </w:tr>
      <w:tr w:rsidR="00BA146B">
        <w:trPr>
          <w:cantSplit/>
          <w:jc w:val="center"/>
        </w:trPr>
        <w:tc>
          <w:tcPr>
            <w:tcW w:w="1323"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Fringe</w:t>
            </w:r>
          </w:p>
        </w:tc>
        <w:tc>
          <w:tcPr>
            <w:tcW w:w="7702"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Percent Fringe costs for full time employees</w:t>
            </w:r>
          </w:p>
        </w:tc>
      </w:tr>
    </w:tbl>
    <w:p w:rsidR="00BA146B" w:rsidRDefault="00B04067">
      <w:pPr>
        <w:pStyle w:val="Heading2"/>
      </w:pPr>
      <w:bookmarkStart w:id="5" w:name="X52515b0e455be29b3537aace35e0260f6bedbac"/>
      <w:r>
        <w:t xml:space="preserve">Biological/Ecological Characteristics of </w:t>
      </w:r>
      <w:r>
        <w:rPr>
          <w:i/>
          <w:iCs/>
        </w:rPr>
        <w:t>A. aegypti</w:t>
      </w:r>
      <w:r>
        <w:t xml:space="preserve"> used for the analysis</w:t>
      </w:r>
    </w:p>
    <w:p w:rsidR="00BA146B" w:rsidRDefault="00B04067">
      <w:pPr>
        <w:pStyle w:val="FirstParagraph"/>
      </w:pPr>
      <w:r>
        <w:t>As noted in Table 1, mosquito densities were estimated using a series of assumptions, these were necessary as the author is not aware of</w:t>
      </w:r>
      <w:r>
        <w:t xml:space="preserve"> any current density estimates for </w:t>
      </w:r>
      <w:r>
        <w:rPr>
          <w:i/>
          <w:iCs/>
        </w:rPr>
        <w:t>A. aegypti</w:t>
      </w:r>
      <w:r>
        <w:t xml:space="preserve"> in Hawaiʻi. The first assumption necessary was that a conservative estimate of density could be calculated using BG trap collections by using known </w:t>
      </w:r>
      <w:r>
        <w:rPr>
          <w:i/>
          <w:iCs/>
        </w:rPr>
        <w:t>A. aegypti</w:t>
      </w:r>
      <w:r>
        <w:t xml:space="preserve"> flight distances in combination with the maximum nu</w:t>
      </w:r>
      <w:r>
        <w:t xml:space="preserve">mber of </w:t>
      </w:r>
      <w:r>
        <w:rPr>
          <w:i/>
          <w:iCs/>
        </w:rPr>
        <w:t>A. aegypti</w:t>
      </w:r>
      <w:r>
        <w:t xml:space="preserve"> collected on the Island of Hawaiʻi by HDoH. Flight distances were sequentially increased from 50 to 400 meters to show how its variance may affect infrastructure costs. The flight distances used fell within those reported by [2], and a l</w:t>
      </w:r>
      <w:r>
        <w:t xml:space="preserve">ifetime flight distance estimated by the World Health Organization [3] for </w:t>
      </w:r>
      <w:r>
        <w:rPr>
          <w:i/>
          <w:iCs/>
        </w:rPr>
        <w:t>A. aegypti</w:t>
      </w:r>
      <w:r>
        <w:t>. These flight distances were used as the radius of collection for a BG trap and from this the area of collection was calculated. To estimate density the maximum number of</w:t>
      </w:r>
      <w:r>
        <w:t xml:space="preserve"> BG trap collections reported in Hawaiʻi (181 </w:t>
      </w:r>
      <w:r>
        <w:rPr>
          <w:i/>
          <w:iCs/>
        </w:rPr>
        <w:t>A. aegypti</w:t>
      </w:r>
      <w:r>
        <w:t xml:space="preserve">, Lincoln Wells, </w:t>
      </w:r>
      <w:r>
        <w:rPr>
          <w:i/>
          <w:iCs/>
        </w:rPr>
        <w:t>pers. comm.</w:t>
      </w:r>
      <w:r>
        <w:t xml:space="preserve"> ) was used as the numerator (with the area of collection as the denominator) for each density estimate. This was then converted into km</w:t>
      </w:r>
      <w:r>
        <w:rPr>
          <w:vertAlign w:val="superscript"/>
        </w:rPr>
        <w:t>2</w:t>
      </w:r>
      <w:r>
        <w:t xml:space="preserve"> and multiplied by 1000 to get the </w:t>
      </w:r>
      <w:r>
        <w:t>total estimated wildtype population under each scenario on the Island of Hawaiʻi. Conducting the analysis in this way allows the user of the information to better estimate site and cost variance. This assumption assumes equivalence of density throughout th</w:t>
      </w:r>
      <w:r>
        <w:t>e treatment area.</w:t>
      </w:r>
    </w:p>
    <w:p w:rsidR="00BA146B" w:rsidRDefault="00B04067">
      <w:pPr>
        <w:pStyle w:val="BodyText"/>
      </w:pPr>
      <w:r>
        <w:lastRenderedPageBreak/>
        <w:t>For most analyses conducted in this assessment the male to female sex ratio was maintained at 1:1 (equal sex ratio) as it has been observed in the lab. As a test of how robust the assessment is to variation in the sex ratio parameter, the</w:t>
      </w:r>
      <w:r>
        <w:t xml:space="preserve"> default equal sex ratio was compared to an assessment conducted with a female biased sex ratio (0.43:1). Sex ratios commonly seen in the literature for </w:t>
      </w:r>
      <w:r>
        <w:rPr>
          <w:i/>
          <w:iCs/>
        </w:rPr>
        <w:t>A. aegypti</w:t>
      </w:r>
      <w:r>
        <w:t xml:space="preserve"> (or Culicids) can vary by habitat [4], but are within the realm of both ratios used. While m</w:t>
      </w:r>
      <w:r>
        <w:t>aintaining all infrastructure, personnel and density costs, a comparison between an equal and female biased sex ratio was conducted to illustrate the variance in cost associated with this variable when applied to the laboratory reared individuals. In a rea</w:t>
      </w:r>
      <w:r>
        <w:t>ring facility operations are modified such that sex ratio’s are close to equal.</w:t>
      </w:r>
    </w:p>
    <w:p w:rsidR="00BA146B" w:rsidRDefault="00B04067">
      <w:pPr>
        <w:pStyle w:val="Heading2"/>
      </w:pPr>
      <w:bookmarkStart w:id="6" w:name="infrastructure-costs"/>
      <w:bookmarkEnd w:id="5"/>
      <w:r>
        <w:t>Infrastructure Costs</w:t>
      </w:r>
    </w:p>
    <w:p w:rsidR="00BA146B" w:rsidRDefault="00B04067">
      <w:pPr>
        <w:pStyle w:val="FirstParagraph"/>
      </w:pPr>
      <w:r>
        <w:t>As noted above, most year 1 and subsequent year infrastructure costs were estimated using information provided by Dr. Xi and published (as an average cost/</w:t>
      </w:r>
      <w:r>
        <w:t>km</w:t>
      </w:r>
      <w:r>
        <w:rPr>
          <w:vertAlign w:val="superscript"/>
        </w:rPr>
        <w:t>2</w:t>
      </w:r>
      <w:r>
        <w:t>) in [1]. One large purchase that was not itemized by Dr. Xi’s estimates was the Arthropod Containment Level 2 (ACL-2) [5] rearing space necessary to rear approximately 1.5 million male Culicids. From subsequent information provided by Dr. Xi it was est</w:t>
      </w:r>
      <w:r>
        <w:t>imated that at minimum a facility must be ~300-500m</w:t>
      </w:r>
      <w:r>
        <w:rPr>
          <w:vertAlign w:val="superscript"/>
        </w:rPr>
        <w:t>2</w:t>
      </w:r>
      <w:r>
        <w:t xml:space="preserve"> (enough to produce 500k - 1 million male SIT/IIT Culicid) to be cost effective, and allow for future scaling efforts. With this estimate, it was estimated that an 800m</w:t>
      </w:r>
      <w:r>
        <w:rPr>
          <w:vertAlign w:val="superscript"/>
        </w:rPr>
        <w:t>2</w:t>
      </w:r>
      <w:r>
        <w:t xml:space="preserve"> ACL-2 facility (Table 2: </w:t>
      </w:r>
      <w:r>
        <w:rPr>
          <w:i/>
          <w:iCs/>
        </w:rPr>
        <w:t>Laborator</w:t>
      </w:r>
      <w:r>
        <w:rPr>
          <w:i/>
          <w:iCs/>
        </w:rPr>
        <w:t>ySpace</w:t>
      </w:r>
      <w:r>
        <w:t>) would be a sufficient size to rear approx. 1.5 million male Culicids, but the cost could vary significantly from this estimate depending on the company, the facility type, previous ownership (versus new) etc. The cost of an 800 m</w:t>
      </w:r>
      <w:r>
        <w:rPr>
          <w:vertAlign w:val="superscript"/>
        </w:rPr>
        <w:t>2</w:t>
      </w:r>
      <w:r>
        <w:t xml:space="preserve"> facility was esti</w:t>
      </w:r>
      <w:r>
        <w:t>mated using three converted (from ft</w:t>
      </w:r>
      <w:r>
        <w:rPr>
          <w:vertAlign w:val="superscript"/>
        </w:rPr>
        <w:t>2</w:t>
      </w:r>
      <w:r>
        <w:t xml:space="preserve"> to m</w:t>
      </w:r>
      <w:r>
        <w:rPr>
          <w:vertAlign w:val="superscript"/>
        </w:rPr>
        <w:t>2</w:t>
      </w:r>
      <w:r>
        <w:t>) median cost quotes (see [Supp. Mat. Section 2][Supplemental Materials Section 2: Quotes used to derive facility per meter cost estimate]), as defined per m</w:t>
      </w:r>
      <w:r>
        <w:rPr>
          <w:vertAlign w:val="superscript"/>
        </w:rPr>
        <w:t>2</w:t>
      </w:r>
      <w:r>
        <w:t>, and multiplying by the size of the facility (800 m</w:t>
      </w:r>
      <w:r>
        <w:rPr>
          <w:vertAlign w:val="superscript"/>
        </w:rPr>
        <w:t>2</w:t>
      </w:r>
      <w:r>
        <w:t>).</w:t>
      </w:r>
    </w:p>
    <w:p w:rsidR="00BA146B" w:rsidRDefault="00B04067">
      <w:pPr>
        <w:pStyle w:val="BodyText"/>
      </w:pPr>
      <w:r>
        <w:t>Another high but potentially optional item in the year 1 costs is the irradiator used to make the females infertile at such low doses as to not affect male fitness [1]</w:t>
      </w:r>
      <w:r>
        <w:t xml:space="preserve">. If the release program is able to use a machine learning/artificial intelligence adult sex selection discriminator, such as that being developed by Verily Life Sciences [6] (or decides not to use one at all) these costs may vary. It is important to note </w:t>
      </w:r>
      <w:r>
        <w:t xml:space="preserve">that the cost of the irradiator </w:t>
      </w:r>
      <w:r>
        <w:rPr>
          <w:i/>
          <w:iCs/>
        </w:rPr>
        <w:t>may be lower</w:t>
      </w:r>
      <w:r>
        <w:t xml:space="preserve"> (Dr. Zhiyong Xi, </w:t>
      </w:r>
      <w:r>
        <w:rPr>
          <w:i/>
          <w:iCs/>
        </w:rPr>
        <w:t>pers. comm</w:t>
      </w:r>
      <w:r>
        <w:t xml:space="preserve">) then the cost of the Verily technology. In this report the calculator was run with and without the irradiator costs to illustrate the cost variance of the irradiator (see Tables 1 &amp; </w:t>
      </w:r>
      <w:r>
        <w:t>2), .</w:t>
      </w:r>
    </w:p>
    <w:p w:rsidR="00BA146B" w:rsidRDefault="00B04067">
      <w:pPr>
        <w:pStyle w:val="BodyText"/>
      </w:pPr>
      <w:r>
        <w:lastRenderedPageBreak/>
        <w:t xml:space="preserve">The most significant perpetual costs (year 1 and beyond) are those associated with rearing and quality control personnel (Table 1 &amp; 2). To rear </w:t>
      </w:r>
      <m:oMath>
        <m:r>
          <m:rPr>
            <m:sty m:val="p"/>
          </m:rPr>
          <w:rPr>
            <w:rFonts w:ascii="Cambria Math" w:hAnsi="Cambria Math"/>
          </w:rPr>
          <m:t>≤</m:t>
        </m:r>
      </m:oMath>
      <w:r>
        <w:t xml:space="preserve"> 1.5 million adult male Culicid every week, eight rearing and three quality control technicians must be f</w:t>
      </w:r>
      <w:r>
        <w:t>ully funded for the extent of the work year (260 days, 8 hours/day, see Table 2). In the calculator presented here the default cost per hour of these different positions was higher for the quality control position as it is primarily oversite based (Table 2</w:t>
      </w:r>
      <w:r>
        <w:t>). These costs are likely on the low end of the wage spectrum for these position types.</w:t>
      </w:r>
    </w:p>
    <w:p w:rsidR="00BA146B" w:rsidRDefault="00B04067">
      <w:pPr>
        <w:pStyle w:val="BodyText"/>
      </w:pPr>
      <w:r>
        <w:t>::: {custom-style=“Table Caption”}</w:t>
      </w:r>
    </w:p>
    <w:p w:rsidR="00BA146B" w:rsidRDefault="00B04067">
      <w:pPr>
        <w:pStyle w:val="BodyText"/>
      </w:pPr>
      <w:bookmarkStart w:id="7" w:name="Table2"/>
      <w:r>
        <w:rPr>
          <w:b/>
          <w:bCs/>
        </w:rPr>
        <w:t>(#tab:Table2)</w:t>
      </w:r>
      <w:bookmarkEnd w:id="7"/>
      <w:r>
        <w:t>Variable names and values used in the R code to derive an estimate of infrastructure and personnel costs.</w:t>
      </w:r>
    </w:p>
    <w:p w:rsidR="00BA146B" w:rsidRDefault="00B04067">
      <w:pPr>
        <w:pStyle w:val="BodyText"/>
      </w:pPr>
      <w:r>
        <w:t>:::</w:t>
      </w:r>
    </w:p>
    <w:tbl>
      <w:tblPr>
        <w:tblW w:w="0" w:type="auto"/>
        <w:jc w:val="center"/>
        <w:tblLayout w:type="fixed"/>
        <w:tblLook w:val="0420" w:firstRow="1" w:lastRow="0" w:firstColumn="0" w:lastColumn="0" w:noHBand="0" w:noVBand="1"/>
      </w:tblPr>
      <w:tblGrid>
        <w:gridCol w:w="2028"/>
        <w:gridCol w:w="6904"/>
      </w:tblGrid>
      <w:tr w:rsidR="00BA146B">
        <w:trPr>
          <w:cantSplit/>
          <w:tblHeader/>
          <w:jc w:val="center"/>
        </w:trPr>
        <w:tc>
          <w:tcPr>
            <w:tcW w:w="2028"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8"/>
                <w:szCs w:val="18"/>
              </w:rPr>
              <w:t>CODED VARI</w:t>
            </w:r>
            <w:r>
              <w:rPr>
                <w:rFonts w:ascii="Arial" w:eastAsia="Arial" w:hAnsi="Arial" w:cs="Arial"/>
                <w:b/>
                <w:color w:val="000000"/>
                <w:sz w:val="18"/>
                <w:szCs w:val="18"/>
              </w:rPr>
              <w:t>ABLE</w:t>
            </w:r>
          </w:p>
        </w:tc>
        <w:tc>
          <w:tcPr>
            <w:tcW w:w="6904"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8"/>
                <w:szCs w:val="18"/>
              </w:rPr>
              <w:t>DEFAULT VARIABLE VALUE</w:t>
            </w:r>
          </w:p>
        </w:tc>
      </w:tr>
      <w:tr w:rsidR="00BA146B">
        <w:trPr>
          <w:cantSplit/>
          <w:jc w:val="center"/>
        </w:trPr>
        <w:tc>
          <w:tcPr>
            <w:tcW w:w="8932" w:type="dxa"/>
            <w:gridSpan w:val="2"/>
            <w:tcBorders>
              <w:bottom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6"/>
                <w:szCs w:val="16"/>
              </w:rPr>
              <w:t>MOSQUITO AND SITE INFORMATION</w:t>
            </w:r>
          </w:p>
        </w:tc>
      </w:tr>
      <w:tr w:rsidR="00BA146B">
        <w:trPr>
          <w:cantSplit/>
          <w:jc w:val="center"/>
        </w:trPr>
        <w:tc>
          <w:tcPr>
            <w:tcW w:w="2028" w:type="dxa"/>
            <w:tcBorders>
              <w:top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maxRadius</w:t>
            </w:r>
          </w:p>
        </w:tc>
        <w:tc>
          <w:tcPr>
            <w:tcW w:w="6904" w:type="dxa"/>
            <w:tcBorders>
              <w:top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50; 100; 150; 200; 250; 300; 350; 400: Flight distances (in meters) derived from Verdonschot *et al.* (2014) and the World Health Organization (WHO)</w:t>
            </w:r>
          </w:p>
        </w:tc>
      </w:tr>
      <w:tr w:rsidR="00BA146B">
        <w:trPr>
          <w:cantSplit/>
          <w:jc w:val="center"/>
        </w:trPr>
        <w:tc>
          <w:tcPr>
            <w:tcW w:w="2028"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Aedes.Mos.Density.km</w:t>
            </w:r>
          </w:p>
        </w:tc>
        <w:tc>
          <w:tcPr>
            <w:tcW w:w="6904"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((MaxCollection/(pi*maxRadiuss^2))*1000000)</w:t>
            </w:r>
          </w:p>
        </w:tc>
      </w:tr>
      <w:tr w:rsidR="00BA146B">
        <w:trPr>
          <w:cantSplit/>
          <w:jc w:val="center"/>
        </w:trPr>
        <w:tc>
          <w:tcPr>
            <w:tcW w:w="2028"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Total.Area.ToCntrl.km</w:t>
            </w:r>
          </w:p>
        </w:tc>
        <w:tc>
          <w:tcPr>
            <w:tcW w:w="6904"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1000 kilometers squared</w:t>
            </w:r>
          </w:p>
        </w:tc>
      </w:tr>
      <w:tr w:rsidR="00BA146B">
        <w:trPr>
          <w:cantSplit/>
          <w:jc w:val="center"/>
        </w:trPr>
        <w:tc>
          <w:tcPr>
            <w:tcW w:w="2028"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FemalePercent</w:t>
            </w:r>
          </w:p>
        </w:tc>
        <w:tc>
          <w:tcPr>
            <w:tcW w:w="6904"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50% (Assumes equal sex ratio)</w:t>
            </w:r>
          </w:p>
        </w:tc>
      </w:tr>
      <w:tr w:rsidR="00BA146B">
        <w:trPr>
          <w:cantSplit/>
          <w:jc w:val="center"/>
        </w:trPr>
        <w:tc>
          <w:tcPr>
            <w:tcW w:w="2028"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Overflooding_Multiplier</w:t>
            </w:r>
          </w:p>
        </w:tc>
        <w:tc>
          <w:tcPr>
            <w:tcW w:w="6904"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10 (10:1 overflooding ratios are commonly used for a control efficacy of 99% (Zheng et al. 2019; Kandul et al. 2019))</w:t>
            </w:r>
          </w:p>
        </w:tc>
      </w:tr>
      <w:tr w:rsidR="00BA146B">
        <w:trPr>
          <w:cantSplit/>
          <w:jc w:val="center"/>
        </w:trPr>
        <w:tc>
          <w:tcPr>
            <w:tcW w:w="8932" w:type="dxa"/>
            <w:gridSpan w:val="2"/>
            <w:tcBorders>
              <w:top w:val="single" w:sz="8" w:space="0" w:color="000000"/>
              <w:bottom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6"/>
                <w:szCs w:val="16"/>
              </w:rPr>
              <w:t>BASIC INFRASTRUCTURE COSTS</w:t>
            </w:r>
          </w:p>
        </w:tc>
      </w:tr>
      <w:tr w:rsidR="00BA146B">
        <w:trPr>
          <w:cantSplit/>
          <w:jc w:val="center"/>
        </w:trPr>
        <w:tc>
          <w:tcPr>
            <w:tcW w:w="2028" w:type="dxa"/>
            <w:tcBorders>
              <w:top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Year1.Only.Items</w:t>
            </w:r>
          </w:p>
        </w:tc>
        <w:tc>
          <w:tcPr>
            <w:tcW w:w="6904" w:type="dxa"/>
            <w:tcBorders>
              <w:top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Iradiator; Mosquito.Sex.Sorters (6); larvae Rearing Units (5); adult cages (100); ovitraps (300); BG traps (50); PCR Machine</w:t>
            </w:r>
          </w:p>
        </w:tc>
      </w:tr>
      <w:tr w:rsidR="00BA146B">
        <w:trPr>
          <w:cantSplit/>
          <w:jc w:val="center"/>
        </w:trPr>
        <w:tc>
          <w:tcPr>
            <w:tcW w:w="2028"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Year1.Only.Costs</w:t>
            </w:r>
          </w:p>
        </w:tc>
        <w:tc>
          <w:tcPr>
            <w:tcW w:w="6904"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$200,000; $6,900; $134,500; $11,040; $2,400; $7,500; $47,000</w:t>
            </w:r>
          </w:p>
        </w:tc>
      </w:tr>
      <w:tr w:rsidR="00BA146B">
        <w:trPr>
          <w:cantSplit/>
          <w:jc w:val="center"/>
        </w:trPr>
        <w:tc>
          <w:tcPr>
            <w:tcW w:w="2028"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Electricity</w:t>
            </w:r>
          </w:p>
        </w:tc>
        <w:tc>
          <w:tcPr>
            <w:tcW w:w="6904"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$2,000.00 x 12</w:t>
            </w:r>
          </w:p>
        </w:tc>
      </w:tr>
      <w:tr w:rsidR="00BA146B">
        <w:trPr>
          <w:cantSplit/>
          <w:jc w:val="center"/>
        </w:trPr>
        <w:tc>
          <w:tcPr>
            <w:tcW w:w="2028"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LaboratorySpace</w:t>
            </w:r>
          </w:p>
        </w:tc>
        <w:tc>
          <w:tcPr>
            <w:tcW w:w="6904"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median price of a 800 meter squared modular facility (see Supp. Mat. Section 2 for price quotes)</w:t>
            </w:r>
          </w:p>
        </w:tc>
      </w:tr>
      <w:tr w:rsidR="00BA146B">
        <w:trPr>
          <w:cantSplit/>
          <w:jc w:val="center"/>
        </w:trPr>
        <w:tc>
          <w:tcPr>
            <w:tcW w:w="2028"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AllOtherYear.Items</w:t>
            </w:r>
          </w:p>
        </w:tc>
        <w:tc>
          <w:tcPr>
            <w:tcW w:w="6904"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PCR Buffers, reagents, primers, Taq, Misc. Equipment, Misc. Feild Supplies.</w:t>
            </w:r>
          </w:p>
        </w:tc>
      </w:tr>
      <w:tr w:rsidR="00BA146B">
        <w:trPr>
          <w:cantSplit/>
          <w:jc w:val="center"/>
        </w:trPr>
        <w:tc>
          <w:tcPr>
            <w:tcW w:w="2028" w:type="dxa"/>
            <w:tcBorders>
              <w:bottom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AllOtherYear.Costs</w:t>
            </w:r>
          </w:p>
        </w:tc>
        <w:tc>
          <w:tcPr>
            <w:tcW w:w="6904" w:type="dxa"/>
            <w:tcBorders>
              <w:bottom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$30,000</w:t>
            </w:r>
          </w:p>
        </w:tc>
      </w:tr>
      <w:tr w:rsidR="00BA146B">
        <w:trPr>
          <w:cantSplit/>
          <w:jc w:val="center"/>
        </w:trPr>
        <w:tc>
          <w:tcPr>
            <w:tcW w:w="8932" w:type="dxa"/>
            <w:gridSpan w:val="2"/>
            <w:tcBorders>
              <w:top w:val="single" w:sz="8" w:space="0" w:color="000000"/>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6"/>
                <w:szCs w:val="16"/>
              </w:rPr>
              <w:t>POSITION AND PERSONNEL COSTS</w:t>
            </w:r>
          </w:p>
        </w:tc>
      </w:tr>
      <w:tr w:rsidR="00BA146B">
        <w:trPr>
          <w:cantSplit/>
          <w:jc w:val="center"/>
        </w:trPr>
        <w:tc>
          <w:tcPr>
            <w:tcW w:w="2028" w:type="dxa"/>
            <w:tcBorders>
              <w:top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Personnel.Des</w:t>
            </w:r>
          </w:p>
        </w:tc>
        <w:tc>
          <w:tcPr>
            <w:tcW w:w="6904" w:type="dxa"/>
            <w:tcBorders>
              <w:top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Mass Rearing; Quality Control</w:t>
            </w:r>
          </w:p>
        </w:tc>
      </w:tr>
      <w:tr w:rsidR="00BA146B">
        <w:trPr>
          <w:cantSplit/>
          <w:jc w:val="center"/>
        </w:trPr>
        <w:tc>
          <w:tcPr>
            <w:tcW w:w="2028"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Wage.Mass.Rearing</w:t>
            </w:r>
          </w:p>
        </w:tc>
        <w:tc>
          <w:tcPr>
            <w:tcW w:w="6904"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$15.00</w:t>
            </w:r>
          </w:p>
        </w:tc>
      </w:tr>
      <w:tr w:rsidR="00BA146B">
        <w:trPr>
          <w:cantSplit/>
          <w:jc w:val="center"/>
        </w:trPr>
        <w:tc>
          <w:tcPr>
            <w:tcW w:w="2028"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lastRenderedPageBreak/>
              <w:t>Wage.Quality.Control</w:t>
            </w:r>
          </w:p>
        </w:tc>
        <w:tc>
          <w:tcPr>
            <w:tcW w:w="6904"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$17.00</w:t>
            </w:r>
          </w:p>
        </w:tc>
      </w:tr>
      <w:tr w:rsidR="00BA146B">
        <w:trPr>
          <w:cantSplit/>
          <w:jc w:val="center"/>
        </w:trPr>
        <w:tc>
          <w:tcPr>
            <w:tcW w:w="2028"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HoursPerYear</w:t>
            </w:r>
          </w:p>
        </w:tc>
        <w:tc>
          <w:tcPr>
            <w:tcW w:w="6904"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260 * 8</w:t>
            </w:r>
          </w:p>
        </w:tc>
      </w:tr>
      <w:tr w:rsidR="00BA146B">
        <w:trPr>
          <w:cantSplit/>
          <w:jc w:val="center"/>
        </w:trPr>
        <w:tc>
          <w:tcPr>
            <w:tcW w:w="2028"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00"/>
                <w:sz w:val="16"/>
                <w:szCs w:val="16"/>
              </w:rPr>
              <w:t>Fringe</w:t>
            </w:r>
          </w:p>
        </w:tc>
        <w:tc>
          <w:tcPr>
            <w:tcW w:w="6904"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6"/>
                <w:szCs w:val="16"/>
              </w:rPr>
              <w:t>Research Corporation of the University of Hawaiʻi Fringe/Indirect is set at 61.56% for 2018.</w:t>
            </w:r>
          </w:p>
        </w:tc>
      </w:tr>
    </w:tbl>
    <w:p w:rsidR="00BA146B" w:rsidRDefault="00B04067">
      <w:pPr>
        <w:pStyle w:val="Heading2"/>
      </w:pPr>
      <w:bookmarkStart w:id="8" w:name="ratio-calculation"/>
      <w:bookmarkEnd w:id="6"/>
      <w:r>
        <w:t>Ratio Calculation</w:t>
      </w:r>
    </w:p>
    <w:p w:rsidR="00BA146B" w:rsidRDefault="00B04067">
      <w:pPr>
        <w:pStyle w:val="FirstParagraph"/>
      </w:pPr>
      <w:r>
        <w:t xml:space="preserve">It is assumed here that each </w:t>
      </w:r>
      <w:hyperlink r:id="rId12">
        <w:r>
          <w:rPr>
            <w:rStyle w:val="Hyperlink"/>
          </w:rPr>
          <w:t>larval rearing unit</w:t>
        </w:r>
      </w:hyperlink>
      <w:r>
        <w:t xml:space="preserve"> can rear ~ 1 million Culicidae/week (Table 1) [7,8]. In this calculator the larval rearing units are treated as the primar</w:t>
      </w:r>
      <w:r>
        <w:t xml:space="preserve">y delimiter defining the production scale of a Culicid mass rearing facility. In other words, each incremental increase in the number of larval rearing units necessitates a certain amount of space, positions and other costs outlined in Table 1. Under this </w:t>
      </w:r>
      <w:r>
        <w:t>assumption, to house 1 rearing unit associated staff etc., a facility would need at minimum a 300-500m</w:t>
      </w:r>
      <w:r>
        <w:rPr>
          <w:vertAlign w:val="superscript"/>
        </w:rPr>
        <w:t>2</w:t>
      </w:r>
      <w:r>
        <w:t xml:space="preserve"> laboratory space, and to house 5 rearing units and the associated staff etc., it is assumed that a facility would need at minimum a 800m</w:t>
      </w:r>
      <w:r>
        <w:rPr>
          <w:vertAlign w:val="superscript"/>
        </w:rPr>
        <w:t>2</w:t>
      </w:r>
      <w:r>
        <w:t xml:space="preserve"> laboratory spa</w:t>
      </w:r>
      <w:r>
        <w:t>ce. The rate of increase used for each assessment is supplied in each table. These rates can be thought of as both the number of larval rearing units needed as well as the rate of increase for all other items associated with rearing the necessary density o</w:t>
      </w:r>
      <w:r>
        <w:t xml:space="preserve">f male Culicidae (Table 2). These rates are rounded up to the nearest whole unit, from two significant digits of the proportion of wild-type males to laboratory males needed. Conducting the assessment in this way ensures the production capacity needed for </w:t>
      </w:r>
      <w:r>
        <w:t>the successful implementation of an IIT/SIT control program.</w:t>
      </w:r>
    </w:p>
    <w:p w:rsidR="00BA146B" w:rsidRDefault="00B04067">
      <w:pPr>
        <w:pStyle w:val="Heading1"/>
      </w:pPr>
      <w:bookmarkStart w:id="9" w:name="results"/>
      <w:bookmarkEnd w:id="3"/>
      <w:bookmarkEnd w:id="8"/>
      <w:r>
        <w:t>Results</w:t>
      </w:r>
    </w:p>
    <w:p w:rsidR="00BA146B" w:rsidRDefault="00B04067">
      <w:pPr>
        <w:pStyle w:val="FirstParagraph"/>
      </w:pPr>
      <w:r>
        <w:t xml:space="preserve">In this calculator the rate of increase, and thus the proportion of resources needed, is determined by the number of larval rearing units required to reach the necessary density of male </w:t>
      </w:r>
      <w:r>
        <w:rPr>
          <w:i/>
          <w:iCs/>
        </w:rPr>
        <w:t>A</w:t>
      </w:r>
      <w:r>
        <w:rPr>
          <w:i/>
          <w:iCs/>
        </w:rPr>
        <w:t>. aegypti</w:t>
      </w:r>
      <w:r>
        <w:t xml:space="preserve">. The rate may vary based on certain assumptions associated with the proportion of wild-type males to the number of IIT or IIT/SIT males needed to control those wild type individuals (overflooding ratio). Those assumptions that may vary this rate </w:t>
      </w:r>
      <w:r>
        <w:t xml:space="preserve">of increase are primarily associated with the capacity of the larval rearing units or the biology/ecology of </w:t>
      </w:r>
      <w:r>
        <w:rPr>
          <w:i/>
          <w:iCs/>
        </w:rPr>
        <w:t>A. aegypti</w:t>
      </w:r>
      <w:r>
        <w:t xml:space="preserve"> (see Table 2). The differences between Table 3 and Table 4 show how these rates may vary the cost of control given certain assumptions r</w:t>
      </w:r>
      <w:r>
        <w:t xml:space="preserve">egarding the sex ratio of the laboratory reared individuals. Specifically, Table 3 shows the rates needed when using a female biased sex ratio as applied to are applied to a density gradient of </w:t>
      </w:r>
      <w:r>
        <w:rPr>
          <w:i/>
          <w:iCs/>
        </w:rPr>
        <w:t>A. aegypti</w:t>
      </w:r>
      <w:r>
        <w:t xml:space="preserve"> densities for a 1000 km</w:t>
      </w:r>
      <w:r>
        <w:rPr>
          <w:vertAlign w:val="superscript"/>
        </w:rPr>
        <w:t>2</w:t>
      </w:r>
      <w:r>
        <w:t xml:space="preserve"> treated area</w:t>
      </w:r>
    </w:p>
    <w:p w:rsidR="00BA146B" w:rsidRDefault="00B04067">
      <w:pPr>
        <w:pStyle w:val="BodyText"/>
      </w:pPr>
      <w:bookmarkStart w:id="10" w:name="Table3"/>
      <w:r>
        <w:rPr>
          <w:b/>
          <w:bCs/>
        </w:rPr>
        <w:lastRenderedPageBreak/>
        <w:t>(#tab:Table3)</w:t>
      </w:r>
      <w:bookmarkEnd w:id="10"/>
      <w:r>
        <w:t xml:space="preserve">IIT/SIT male mass release production and costs for a 1000 km² area. In the table a rate of 1 is equivalent to the production of ≤ 1 million IIT/SIT Culicidae using the 0.43:1 female biased sex ratio. Rows higlighted in red denote possible flight distances </w:t>
      </w:r>
      <w:r>
        <w:t>derived from Verdonschot et al. (2014), and those in blue represent the average distance adults may fly in a lifetime, as derived from the World Health Organization (WHO) estimate.</w:t>
      </w:r>
    </w:p>
    <w:tbl>
      <w:tblPr>
        <w:tblW w:w="0" w:type="auto"/>
        <w:jc w:val="center"/>
        <w:tblLayout w:type="fixed"/>
        <w:tblLook w:val="0420" w:firstRow="1" w:lastRow="0" w:firstColumn="0" w:lastColumn="0" w:noHBand="0" w:noVBand="1"/>
      </w:tblPr>
      <w:tblGrid>
        <w:gridCol w:w="1795"/>
        <w:gridCol w:w="1406"/>
        <w:gridCol w:w="1045"/>
        <w:gridCol w:w="1489"/>
        <w:gridCol w:w="756"/>
        <w:gridCol w:w="1128"/>
        <w:gridCol w:w="1539"/>
      </w:tblGrid>
      <w:tr w:rsidR="00BA146B">
        <w:trPr>
          <w:cantSplit/>
          <w:tblHeader/>
          <w:jc w:val="center"/>
        </w:trPr>
        <w:tc>
          <w:tcPr>
            <w:tcW w:w="1795"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Culicid Density (per square km.)</w:t>
            </w:r>
          </w:p>
        </w:tc>
        <w:tc>
          <w:tcPr>
            <w:tcW w:w="1406"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Flight Distance (meters)</w:t>
            </w:r>
          </w:p>
        </w:tc>
        <w:tc>
          <w:tcPr>
            <w:tcW w:w="1045"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Wild Type Males</w:t>
            </w:r>
          </w:p>
        </w:tc>
        <w:tc>
          <w:tcPr>
            <w:tcW w:w="1489"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IIT:Wild Type Males (10:1)</w:t>
            </w:r>
          </w:p>
        </w:tc>
        <w:tc>
          <w:tcPr>
            <w:tcW w:w="756"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Rate Used</w:t>
            </w:r>
          </w:p>
        </w:tc>
        <w:tc>
          <w:tcPr>
            <w:tcW w:w="1128"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First Year Cost ($)</w:t>
            </w:r>
            <w:r>
              <w:rPr>
                <w:rFonts w:ascii="Arial" w:eastAsia="Arial" w:hAnsi="Arial" w:cs="Arial"/>
                <w:b/>
                <w:color w:val="000000"/>
                <w:sz w:val="10"/>
                <w:szCs w:val="10"/>
                <w:vertAlign w:val="superscript"/>
              </w:rPr>
              <w:t>1</w:t>
            </w:r>
          </w:p>
        </w:tc>
        <w:tc>
          <w:tcPr>
            <w:tcW w:w="1539"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Subsequent Year Costs ($)</w:t>
            </w:r>
          </w:p>
        </w:tc>
      </w:tr>
      <w:tr w:rsidR="00BA146B">
        <w:trPr>
          <w:cantSplit/>
          <w:jc w:val="center"/>
        </w:trPr>
        <w:tc>
          <w:tcPr>
            <w:tcW w:w="1795" w:type="dxa"/>
            <w:tcBorders>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23,045.6358</w:t>
            </w:r>
          </w:p>
        </w:tc>
        <w:tc>
          <w:tcPr>
            <w:tcW w:w="1406" w:type="dxa"/>
            <w:tcBorders>
              <w:lef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50</w:t>
            </w:r>
          </w:p>
        </w:tc>
        <w:tc>
          <w:tcPr>
            <w:tcW w:w="1045"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23,045,636</w:t>
            </w:r>
          </w:p>
        </w:tc>
        <w:tc>
          <w:tcPr>
            <w:tcW w:w="1489"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230,456,360</w:t>
            </w:r>
          </w:p>
        </w:tc>
        <w:tc>
          <w:tcPr>
            <w:tcW w:w="756"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770</w:t>
            </w:r>
          </w:p>
        </w:tc>
        <w:tc>
          <w:tcPr>
            <w:tcW w:w="1128"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$184,503,162.00</w:t>
            </w:r>
          </w:p>
        </w:tc>
        <w:tc>
          <w:tcPr>
            <w:tcW w:w="1539"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$111,594,038.00</w:t>
            </w:r>
          </w:p>
        </w:tc>
      </w:tr>
      <w:tr w:rsidR="00BA146B">
        <w:trPr>
          <w:cantSplit/>
          <w:jc w:val="center"/>
        </w:trPr>
        <w:tc>
          <w:tcPr>
            <w:tcW w:w="1795" w:type="dxa"/>
            <w:tcBorders>
              <w:bottom w:val="single" w:sz="24" w:space="0" w:color="8B0000"/>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5,761.4089</w:t>
            </w:r>
          </w:p>
        </w:tc>
        <w:tc>
          <w:tcPr>
            <w:tcW w:w="1406" w:type="dxa"/>
            <w:tcBorders>
              <w:left w:val="single" w:sz="8" w:space="0" w:color="000000"/>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100</w:t>
            </w:r>
          </w:p>
        </w:tc>
        <w:tc>
          <w:tcPr>
            <w:tcW w:w="1045"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5,761,409</w:t>
            </w:r>
          </w:p>
        </w:tc>
        <w:tc>
          <w:tcPr>
            <w:tcW w:w="148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57,614,090</w:t>
            </w:r>
          </w:p>
        </w:tc>
        <w:tc>
          <w:tcPr>
            <w:tcW w:w="756"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190</w:t>
            </w:r>
          </w:p>
        </w:tc>
        <w:tc>
          <w:tcPr>
            <w:tcW w:w="1128"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$45,677,404.00</w:t>
            </w:r>
          </w:p>
        </w:tc>
        <w:tc>
          <w:tcPr>
            <w:tcW w:w="153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$27,536,191.00</w:t>
            </w:r>
          </w:p>
        </w:tc>
      </w:tr>
      <w:tr w:rsidR="00BA146B">
        <w:trPr>
          <w:cantSplit/>
          <w:jc w:val="center"/>
        </w:trPr>
        <w:tc>
          <w:tcPr>
            <w:tcW w:w="1795" w:type="dxa"/>
            <w:tcBorders>
              <w:top w:val="single" w:sz="24" w:space="0" w:color="8B0000"/>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8B0000"/>
                <w:sz w:val="10"/>
                <w:szCs w:val="10"/>
              </w:rPr>
              <w:t>2,560.6262</w:t>
            </w:r>
          </w:p>
        </w:tc>
        <w:tc>
          <w:tcPr>
            <w:tcW w:w="1406" w:type="dxa"/>
            <w:tcBorders>
              <w:top w:val="single" w:sz="24" w:space="0" w:color="8B0000"/>
              <w:lef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150</w:t>
            </w:r>
          </w:p>
        </w:tc>
        <w:tc>
          <w:tcPr>
            <w:tcW w:w="1045"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2,560,626</w:t>
            </w:r>
          </w:p>
        </w:tc>
        <w:tc>
          <w:tcPr>
            <w:tcW w:w="148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25,606,260</w:t>
            </w:r>
          </w:p>
        </w:tc>
        <w:tc>
          <w:tcPr>
            <w:tcW w:w="756"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85</w:t>
            </w:r>
          </w:p>
        </w:tc>
        <w:tc>
          <w:tcPr>
            <w:tcW w:w="1128"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$20,545,154.00</w:t>
            </w:r>
          </w:p>
        </w:tc>
        <w:tc>
          <w:tcPr>
            <w:tcW w:w="153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$12,318,822.00</w:t>
            </w:r>
          </w:p>
        </w:tc>
      </w:tr>
      <w:tr w:rsidR="00BA146B">
        <w:trPr>
          <w:cantSplit/>
          <w:jc w:val="center"/>
        </w:trPr>
        <w:tc>
          <w:tcPr>
            <w:tcW w:w="1795" w:type="dxa"/>
            <w:tcBorders>
              <w:bottom w:val="single" w:sz="24" w:space="0" w:color="8B0000"/>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8B0000"/>
                <w:sz w:val="10"/>
                <w:szCs w:val="10"/>
              </w:rPr>
              <w:t>1,440.3522</w:t>
            </w:r>
          </w:p>
        </w:tc>
        <w:tc>
          <w:tcPr>
            <w:tcW w:w="1406" w:type="dxa"/>
            <w:tcBorders>
              <w:left w:val="single" w:sz="8" w:space="0" w:color="000000"/>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200</w:t>
            </w:r>
          </w:p>
        </w:tc>
        <w:tc>
          <w:tcPr>
            <w:tcW w:w="1045"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1,440,352</w:t>
            </w:r>
          </w:p>
        </w:tc>
        <w:tc>
          <w:tcPr>
            <w:tcW w:w="148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14,403,520</w:t>
            </w:r>
          </w:p>
        </w:tc>
        <w:tc>
          <w:tcPr>
            <w:tcW w:w="756"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48</w:t>
            </w:r>
          </w:p>
        </w:tc>
        <w:tc>
          <w:tcPr>
            <w:tcW w:w="1128"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$11,707,828.00</w:t>
            </w:r>
          </w:p>
        </w:tc>
        <w:tc>
          <w:tcPr>
            <w:tcW w:w="153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$6,956,511.00</w:t>
            </w:r>
          </w:p>
        </w:tc>
      </w:tr>
      <w:tr w:rsidR="00BA146B">
        <w:trPr>
          <w:cantSplit/>
          <w:jc w:val="center"/>
        </w:trPr>
        <w:tc>
          <w:tcPr>
            <w:tcW w:w="1795" w:type="dxa"/>
            <w:tcBorders>
              <w:top w:val="single" w:sz="24" w:space="0" w:color="8B0000"/>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921.8254</w:t>
            </w:r>
          </w:p>
        </w:tc>
        <w:tc>
          <w:tcPr>
            <w:tcW w:w="1406" w:type="dxa"/>
            <w:tcBorders>
              <w:top w:val="single" w:sz="24" w:space="0" w:color="8B0000"/>
              <w:lef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250</w:t>
            </w:r>
          </w:p>
        </w:tc>
        <w:tc>
          <w:tcPr>
            <w:tcW w:w="1045"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921,825</w:t>
            </w:r>
          </w:p>
        </w:tc>
        <w:tc>
          <w:tcPr>
            <w:tcW w:w="148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9,218,250</w:t>
            </w:r>
          </w:p>
        </w:tc>
        <w:tc>
          <w:tcPr>
            <w:tcW w:w="756"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31</w:t>
            </w:r>
          </w:p>
        </w:tc>
        <w:tc>
          <w:tcPr>
            <w:tcW w:w="1128"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$7,657,597.00</w:t>
            </w:r>
          </w:p>
        </w:tc>
        <w:tc>
          <w:tcPr>
            <w:tcW w:w="153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$4,492,747.00</w:t>
            </w:r>
          </w:p>
        </w:tc>
      </w:tr>
      <w:tr w:rsidR="00BA146B">
        <w:trPr>
          <w:cantSplit/>
          <w:jc w:val="center"/>
        </w:trPr>
        <w:tc>
          <w:tcPr>
            <w:tcW w:w="1795" w:type="dxa"/>
            <w:tcBorders>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640.1565</w:t>
            </w:r>
          </w:p>
        </w:tc>
        <w:tc>
          <w:tcPr>
            <w:tcW w:w="1406" w:type="dxa"/>
            <w:tcBorders>
              <w:lef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300</w:t>
            </w:r>
          </w:p>
        </w:tc>
        <w:tc>
          <w:tcPr>
            <w:tcW w:w="1045"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640,157</w:t>
            </w:r>
          </w:p>
        </w:tc>
        <w:tc>
          <w:tcPr>
            <w:tcW w:w="1489"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6,401,570</w:t>
            </w:r>
          </w:p>
        </w:tc>
        <w:tc>
          <w:tcPr>
            <w:tcW w:w="756"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21</w:t>
            </w:r>
          </w:p>
        </w:tc>
        <w:tc>
          <w:tcPr>
            <w:tcW w:w="1128"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$5,264,050.00</w:t>
            </w:r>
          </w:p>
        </w:tc>
        <w:tc>
          <w:tcPr>
            <w:tcW w:w="1539"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$3,043,474.00</w:t>
            </w:r>
          </w:p>
        </w:tc>
      </w:tr>
      <w:tr w:rsidR="00BA146B">
        <w:trPr>
          <w:cantSplit/>
          <w:jc w:val="center"/>
        </w:trPr>
        <w:tc>
          <w:tcPr>
            <w:tcW w:w="1795" w:type="dxa"/>
            <w:tcBorders>
              <w:bottom w:val="single" w:sz="24" w:space="0" w:color="00008B"/>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470.3191</w:t>
            </w:r>
          </w:p>
        </w:tc>
        <w:tc>
          <w:tcPr>
            <w:tcW w:w="1406" w:type="dxa"/>
            <w:tcBorders>
              <w:left w:val="single" w:sz="8" w:space="0" w:color="000000"/>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350</w:t>
            </w:r>
          </w:p>
        </w:tc>
        <w:tc>
          <w:tcPr>
            <w:tcW w:w="1045"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470,319</w:t>
            </w:r>
          </w:p>
        </w:tc>
        <w:tc>
          <w:tcPr>
            <w:tcW w:w="1489"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4,703,190</w:t>
            </w:r>
          </w:p>
        </w:tc>
        <w:tc>
          <w:tcPr>
            <w:tcW w:w="756"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16</w:t>
            </w:r>
          </w:p>
        </w:tc>
        <w:tc>
          <w:tcPr>
            <w:tcW w:w="1128"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$4,067,276.00</w:t>
            </w:r>
          </w:p>
        </w:tc>
        <w:tc>
          <w:tcPr>
            <w:tcW w:w="1539"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$2,318,837.00</w:t>
            </w:r>
          </w:p>
        </w:tc>
      </w:tr>
      <w:tr w:rsidR="00BA146B">
        <w:trPr>
          <w:cantSplit/>
          <w:jc w:val="center"/>
        </w:trPr>
        <w:tc>
          <w:tcPr>
            <w:tcW w:w="1795" w:type="dxa"/>
            <w:tcBorders>
              <w:top w:val="single" w:sz="24" w:space="0" w:color="00008B"/>
              <w:bottom w:val="single" w:sz="24" w:space="0" w:color="00008B"/>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8B"/>
                <w:sz w:val="10"/>
                <w:szCs w:val="10"/>
              </w:rPr>
              <w:t>360.0881</w:t>
            </w:r>
          </w:p>
        </w:tc>
        <w:tc>
          <w:tcPr>
            <w:tcW w:w="1406" w:type="dxa"/>
            <w:tcBorders>
              <w:top w:val="single" w:sz="24" w:space="0" w:color="00008B"/>
              <w:left w:val="single" w:sz="8" w:space="0" w:color="000000"/>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400</w:t>
            </w:r>
          </w:p>
        </w:tc>
        <w:tc>
          <w:tcPr>
            <w:tcW w:w="1045"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360,088</w:t>
            </w:r>
          </w:p>
        </w:tc>
        <w:tc>
          <w:tcPr>
            <w:tcW w:w="1489"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3,600,880</w:t>
            </w:r>
          </w:p>
        </w:tc>
        <w:tc>
          <w:tcPr>
            <w:tcW w:w="756"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12</w:t>
            </w:r>
          </w:p>
        </w:tc>
        <w:tc>
          <w:tcPr>
            <w:tcW w:w="1128"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$3,100,457.00</w:t>
            </w:r>
          </w:p>
        </w:tc>
        <w:tc>
          <w:tcPr>
            <w:tcW w:w="1539"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$1,739,128.00</w:t>
            </w:r>
          </w:p>
        </w:tc>
      </w:tr>
      <w:tr w:rsidR="00BA146B">
        <w:trPr>
          <w:cantSplit/>
          <w:jc w:val="center"/>
        </w:trPr>
        <w:tc>
          <w:tcPr>
            <w:tcW w:w="9158" w:type="dxa"/>
            <w:gridSpan w:val="7"/>
            <w:shd w:val="clear" w:color="auto" w:fill="FFFFFF"/>
            <w:tcMar>
              <w:top w:w="0" w:type="dxa"/>
              <w:left w:w="0" w:type="dxa"/>
              <w:bottom w:w="0" w:type="dxa"/>
              <w:right w:w="0" w:type="dxa"/>
            </w:tcMar>
            <w:vAlign w:val="center"/>
          </w:tcPr>
          <w:p w:rsidR="00BA146B" w:rsidRDefault="00B04067">
            <w:pPr>
              <w:spacing w:before="100" w:after="100" w:line="240" w:lineRule="auto"/>
              <w:ind w:left="100" w:right="100"/>
            </w:pPr>
            <w:r>
              <w:rPr>
                <w:rFonts w:ascii="Arial" w:eastAsia="Arial" w:hAnsi="Arial" w:cs="Arial"/>
                <w:i/>
                <w:color w:val="000000"/>
                <w:sz w:val="16"/>
                <w:szCs w:val="16"/>
                <w:vertAlign w:val="superscript"/>
              </w:rPr>
              <w:t>1</w:t>
            </w:r>
            <w:r>
              <w:rPr>
                <w:rFonts w:ascii="Arial" w:eastAsia="Arial" w:hAnsi="Arial" w:cs="Arial"/>
                <w:i/>
                <w:color w:val="000000"/>
                <w:sz w:val="16"/>
                <w:szCs w:val="16"/>
              </w:rPr>
              <w:t>This does not include mosquito dispersal/application costs.</w:t>
            </w:r>
          </w:p>
        </w:tc>
      </w:tr>
    </w:tbl>
    <w:p w:rsidR="00BA146B" w:rsidRDefault="00B04067">
      <w:pPr>
        <w:pStyle w:val="BodyText"/>
      </w:pPr>
      <w:r>
        <w:t>When modifying the default assumptions (Table 2) to use a female biased sex ratio (Table 3) the overall costs are substantially greater then that of the analysis conducted with the default equal sex ratio (Table 4). Though the production costs calculated u</w:t>
      </w:r>
      <w:r>
        <w:t>sing this approach are relatively robust to small variances in the sex ratio of the laboratory reared individuals, the buffering effect that links rate of increase to rearing units is removed when projected for large quantities.</w:t>
      </w:r>
    </w:p>
    <w:tbl>
      <w:tblPr>
        <w:tblW w:w="0" w:type="auto"/>
        <w:jc w:val="center"/>
        <w:tblLayout w:type="fixed"/>
        <w:tblLook w:val="0420" w:firstRow="1" w:lastRow="0" w:firstColumn="0" w:lastColumn="0" w:noHBand="0" w:noVBand="1"/>
      </w:tblPr>
      <w:tblGrid>
        <w:gridCol w:w="1795"/>
        <w:gridCol w:w="1406"/>
        <w:gridCol w:w="1045"/>
        <w:gridCol w:w="1489"/>
        <w:gridCol w:w="756"/>
        <w:gridCol w:w="1128"/>
        <w:gridCol w:w="1539"/>
      </w:tblGrid>
      <w:tr w:rsidR="00BA146B">
        <w:trPr>
          <w:cantSplit/>
          <w:tblHeader/>
          <w:jc w:val="center"/>
        </w:trPr>
        <w:tc>
          <w:tcPr>
            <w:tcW w:w="1795"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Culicid Density (per square km.)</w:t>
            </w:r>
          </w:p>
        </w:tc>
        <w:tc>
          <w:tcPr>
            <w:tcW w:w="1406"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Flight Distance (meters)</w:t>
            </w:r>
          </w:p>
        </w:tc>
        <w:tc>
          <w:tcPr>
            <w:tcW w:w="1045"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Wild Type Males</w:t>
            </w:r>
          </w:p>
        </w:tc>
        <w:tc>
          <w:tcPr>
            <w:tcW w:w="1489"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IIT:Wild Type Males (10:1)</w:t>
            </w:r>
          </w:p>
        </w:tc>
        <w:tc>
          <w:tcPr>
            <w:tcW w:w="756"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Rate Used</w:t>
            </w:r>
          </w:p>
        </w:tc>
        <w:tc>
          <w:tcPr>
            <w:tcW w:w="1128"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First Year Cost ($)</w:t>
            </w:r>
            <w:r>
              <w:rPr>
                <w:rFonts w:ascii="Arial" w:eastAsia="Arial" w:hAnsi="Arial" w:cs="Arial"/>
                <w:b/>
                <w:color w:val="000000"/>
                <w:sz w:val="10"/>
                <w:szCs w:val="10"/>
                <w:vertAlign w:val="superscript"/>
              </w:rPr>
              <w:t>1</w:t>
            </w:r>
          </w:p>
        </w:tc>
        <w:tc>
          <w:tcPr>
            <w:tcW w:w="1539"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Subsequent Year Costs ($)</w:t>
            </w:r>
          </w:p>
        </w:tc>
      </w:tr>
      <w:tr w:rsidR="00BA146B">
        <w:trPr>
          <w:cantSplit/>
          <w:jc w:val="center"/>
        </w:trPr>
        <w:tc>
          <w:tcPr>
            <w:tcW w:w="1795" w:type="dxa"/>
            <w:tcBorders>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23,045.6358</w:t>
            </w:r>
          </w:p>
        </w:tc>
        <w:tc>
          <w:tcPr>
            <w:tcW w:w="1406" w:type="dxa"/>
            <w:tcBorders>
              <w:lef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50</w:t>
            </w:r>
          </w:p>
        </w:tc>
        <w:tc>
          <w:tcPr>
            <w:tcW w:w="1045"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23,045,636</w:t>
            </w:r>
          </w:p>
        </w:tc>
        <w:tc>
          <w:tcPr>
            <w:tcW w:w="1489"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230,456,360</w:t>
            </w:r>
          </w:p>
        </w:tc>
        <w:tc>
          <w:tcPr>
            <w:tcW w:w="756"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460</w:t>
            </w:r>
          </w:p>
        </w:tc>
        <w:tc>
          <w:tcPr>
            <w:tcW w:w="1128"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$110,303,187.00</w:t>
            </w:r>
          </w:p>
        </w:tc>
        <w:tc>
          <w:tcPr>
            <w:tcW w:w="1539"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$66,666,568.00</w:t>
            </w:r>
          </w:p>
        </w:tc>
      </w:tr>
      <w:tr w:rsidR="00BA146B">
        <w:trPr>
          <w:cantSplit/>
          <w:jc w:val="center"/>
        </w:trPr>
        <w:tc>
          <w:tcPr>
            <w:tcW w:w="1795" w:type="dxa"/>
            <w:tcBorders>
              <w:bottom w:val="single" w:sz="24" w:space="0" w:color="8B0000"/>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5,761.4089</w:t>
            </w:r>
          </w:p>
        </w:tc>
        <w:tc>
          <w:tcPr>
            <w:tcW w:w="1406" w:type="dxa"/>
            <w:tcBorders>
              <w:left w:val="single" w:sz="8" w:space="0" w:color="000000"/>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100</w:t>
            </w:r>
          </w:p>
        </w:tc>
        <w:tc>
          <w:tcPr>
            <w:tcW w:w="1045"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5,761,409</w:t>
            </w:r>
          </w:p>
        </w:tc>
        <w:tc>
          <w:tcPr>
            <w:tcW w:w="148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57,614,090</w:t>
            </w:r>
          </w:p>
        </w:tc>
        <w:tc>
          <w:tcPr>
            <w:tcW w:w="756"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120</w:t>
            </w:r>
          </w:p>
        </w:tc>
        <w:tc>
          <w:tcPr>
            <w:tcW w:w="1128"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$28,922,571.00</w:t>
            </w:r>
          </w:p>
        </w:tc>
        <w:tc>
          <w:tcPr>
            <w:tcW w:w="153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$17,391,279.00</w:t>
            </w:r>
          </w:p>
        </w:tc>
      </w:tr>
      <w:tr w:rsidR="00BA146B">
        <w:trPr>
          <w:cantSplit/>
          <w:jc w:val="center"/>
        </w:trPr>
        <w:tc>
          <w:tcPr>
            <w:tcW w:w="1795" w:type="dxa"/>
            <w:tcBorders>
              <w:top w:val="single" w:sz="24" w:space="0" w:color="8B0000"/>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8B0000"/>
                <w:sz w:val="10"/>
                <w:szCs w:val="10"/>
              </w:rPr>
              <w:t>2,560.6262</w:t>
            </w:r>
          </w:p>
        </w:tc>
        <w:tc>
          <w:tcPr>
            <w:tcW w:w="1406" w:type="dxa"/>
            <w:tcBorders>
              <w:top w:val="single" w:sz="24" w:space="0" w:color="8B0000"/>
              <w:lef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150</w:t>
            </w:r>
          </w:p>
        </w:tc>
        <w:tc>
          <w:tcPr>
            <w:tcW w:w="1045"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2,560,626</w:t>
            </w:r>
          </w:p>
        </w:tc>
        <w:tc>
          <w:tcPr>
            <w:tcW w:w="148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25,606,260</w:t>
            </w:r>
          </w:p>
        </w:tc>
        <w:tc>
          <w:tcPr>
            <w:tcW w:w="756"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51</w:t>
            </w:r>
          </w:p>
        </w:tc>
        <w:tc>
          <w:tcPr>
            <w:tcW w:w="1128"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$12,444,693.00</w:t>
            </w:r>
          </w:p>
        </w:tc>
        <w:tc>
          <w:tcPr>
            <w:tcW w:w="153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$7,391,293.00</w:t>
            </w:r>
          </w:p>
        </w:tc>
      </w:tr>
      <w:tr w:rsidR="00BA146B">
        <w:trPr>
          <w:cantSplit/>
          <w:jc w:val="center"/>
        </w:trPr>
        <w:tc>
          <w:tcPr>
            <w:tcW w:w="1795" w:type="dxa"/>
            <w:tcBorders>
              <w:bottom w:val="single" w:sz="24" w:space="0" w:color="8B0000"/>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8B0000"/>
                <w:sz w:val="10"/>
                <w:szCs w:val="10"/>
              </w:rPr>
              <w:t>1,440.3522</w:t>
            </w:r>
          </w:p>
        </w:tc>
        <w:tc>
          <w:tcPr>
            <w:tcW w:w="1406" w:type="dxa"/>
            <w:tcBorders>
              <w:left w:val="single" w:sz="8" w:space="0" w:color="000000"/>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200</w:t>
            </w:r>
          </w:p>
        </w:tc>
        <w:tc>
          <w:tcPr>
            <w:tcW w:w="1045"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1,440,352</w:t>
            </w:r>
          </w:p>
        </w:tc>
        <w:tc>
          <w:tcPr>
            <w:tcW w:w="148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14,403,520</w:t>
            </w:r>
          </w:p>
        </w:tc>
        <w:tc>
          <w:tcPr>
            <w:tcW w:w="756"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29</w:t>
            </w:r>
          </w:p>
        </w:tc>
        <w:tc>
          <w:tcPr>
            <w:tcW w:w="1128"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$7,150,688.00</w:t>
            </w:r>
          </w:p>
        </w:tc>
        <w:tc>
          <w:tcPr>
            <w:tcW w:w="153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$4,202,892.00</w:t>
            </w:r>
          </w:p>
        </w:tc>
      </w:tr>
      <w:tr w:rsidR="00BA146B">
        <w:trPr>
          <w:cantSplit/>
          <w:jc w:val="center"/>
        </w:trPr>
        <w:tc>
          <w:tcPr>
            <w:tcW w:w="1795" w:type="dxa"/>
            <w:tcBorders>
              <w:top w:val="single" w:sz="24" w:space="0" w:color="8B0000"/>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921.8254</w:t>
            </w:r>
          </w:p>
        </w:tc>
        <w:tc>
          <w:tcPr>
            <w:tcW w:w="1406" w:type="dxa"/>
            <w:tcBorders>
              <w:top w:val="single" w:sz="24" w:space="0" w:color="8B0000"/>
              <w:lef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250</w:t>
            </w:r>
          </w:p>
        </w:tc>
        <w:tc>
          <w:tcPr>
            <w:tcW w:w="1045"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921,825</w:t>
            </w:r>
          </w:p>
        </w:tc>
        <w:tc>
          <w:tcPr>
            <w:tcW w:w="148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9,218,250</w:t>
            </w:r>
          </w:p>
        </w:tc>
        <w:tc>
          <w:tcPr>
            <w:tcW w:w="756"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18</w:t>
            </w:r>
          </w:p>
        </w:tc>
        <w:tc>
          <w:tcPr>
            <w:tcW w:w="1128"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$4,527,186.00</w:t>
            </w:r>
          </w:p>
        </w:tc>
        <w:tc>
          <w:tcPr>
            <w:tcW w:w="153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$2,608,692.00</w:t>
            </w:r>
          </w:p>
        </w:tc>
      </w:tr>
      <w:tr w:rsidR="00BA146B">
        <w:trPr>
          <w:cantSplit/>
          <w:jc w:val="center"/>
        </w:trPr>
        <w:tc>
          <w:tcPr>
            <w:tcW w:w="1795" w:type="dxa"/>
            <w:tcBorders>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640.1565</w:t>
            </w:r>
          </w:p>
        </w:tc>
        <w:tc>
          <w:tcPr>
            <w:tcW w:w="1406" w:type="dxa"/>
            <w:tcBorders>
              <w:lef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300</w:t>
            </w:r>
          </w:p>
        </w:tc>
        <w:tc>
          <w:tcPr>
            <w:tcW w:w="1045"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640,157</w:t>
            </w:r>
          </w:p>
        </w:tc>
        <w:tc>
          <w:tcPr>
            <w:tcW w:w="1489"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6,401,570</w:t>
            </w:r>
          </w:p>
        </w:tc>
        <w:tc>
          <w:tcPr>
            <w:tcW w:w="756"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13</w:t>
            </w:r>
          </w:p>
        </w:tc>
        <w:tc>
          <w:tcPr>
            <w:tcW w:w="1128"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$3,330,412.00</w:t>
            </w:r>
          </w:p>
        </w:tc>
        <w:tc>
          <w:tcPr>
            <w:tcW w:w="1539"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$1,884,055.00</w:t>
            </w:r>
          </w:p>
        </w:tc>
      </w:tr>
      <w:tr w:rsidR="00BA146B">
        <w:trPr>
          <w:cantSplit/>
          <w:jc w:val="center"/>
        </w:trPr>
        <w:tc>
          <w:tcPr>
            <w:tcW w:w="1795" w:type="dxa"/>
            <w:tcBorders>
              <w:bottom w:val="single" w:sz="24" w:space="0" w:color="00008B"/>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470.3191</w:t>
            </w:r>
          </w:p>
        </w:tc>
        <w:tc>
          <w:tcPr>
            <w:tcW w:w="1406" w:type="dxa"/>
            <w:tcBorders>
              <w:left w:val="single" w:sz="8" w:space="0" w:color="000000"/>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350</w:t>
            </w:r>
          </w:p>
        </w:tc>
        <w:tc>
          <w:tcPr>
            <w:tcW w:w="1045"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470,319</w:t>
            </w:r>
          </w:p>
        </w:tc>
        <w:tc>
          <w:tcPr>
            <w:tcW w:w="1489"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4,703,190</w:t>
            </w:r>
          </w:p>
        </w:tc>
        <w:tc>
          <w:tcPr>
            <w:tcW w:w="756"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10</w:t>
            </w:r>
          </w:p>
        </w:tc>
        <w:tc>
          <w:tcPr>
            <w:tcW w:w="1128"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$2,593,548.00</w:t>
            </w:r>
          </w:p>
        </w:tc>
        <w:tc>
          <w:tcPr>
            <w:tcW w:w="1539"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$1,449,273.00</w:t>
            </w:r>
          </w:p>
        </w:tc>
      </w:tr>
      <w:tr w:rsidR="00BA146B">
        <w:trPr>
          <w:cantSplit/>
          <w:jc w:val="center"/>
        </w:trPr>
        <w:tc>
          <w:tcPr>
            <w:tcW w:w="1795" w:type="dxa"/>
            <w:tcBorders>
              <w:top w:val="single" w:sz="24" w:space="0" w:color="00008B"/>
              <w:bottom w:val="single" w:sz="24" w:space="0" w:color="00008B"/>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8B"/>
                <w:sz w:val="10"/>
                <w:szCs w:val="10"/>
              </w:rPr>
              <w:t>360.0881</w:t>
            </w:r>
          </w:p>
        </w:tc>
        <w:tc>
          <w:tcPr>
            <w:tcW w:w="1406" w:type="dxa"/>
            <w:tcBorders>
              <w:top w:val="single" w:sz="24" w:space="0" w:color="00008B"/>
              <w:left w:val="single" w:sz="8" w:space="0" w:color="000000"/>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400</w:t>
            </w:r>
          </w:p>
        </w:tc>
        <w:tc>
          <w:tcPr>
            <w:tcW w:w="1045"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360,088</w:t>
            </w:r>
          </w:p>
        </w:tc>
        <w:tc>
          <w:tcPr>
            <w:tcW w:w="1489"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3,600,880</w:t>
            </w:r>
          </w:p>
        </w:tc>
        <w:tc>
          <w:tcPr>
            <w:tcW w:w="756"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8</w:t>
            </w:r>
          </w:p>
        </w:tc>
        <w:tc>
          <w:tcPr>
            <w:tcW w:w="1128"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$2,133,638.00</w:t>
            </w:r>
          </w:p>
        </w:tc>
        <w:tc>
          <w:tcPr>
            <w:tcW w:w="1539"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$1,159,419.00</w:t>
            </w:r>
          </w:p>
        </w:tc>
      </w:tr>
      <w:tr w:rsidR="00BA146B">
        <w:trPr>
          <w:cantSplit/>
          <w:jc w:val="center"/>
        </w:trPr>
        <w:tc>
          <w:tcPr>
            <w:tcW w:w="9158" w:type="dxa"/>
            <w:gridSpan w:val="7"/>
            <w:shd w:val="clear" w:color="auto" w:fill="FFFFFF"/>
            <w:tcMar>
              <w:top w:w="0" w:type="dxa"/>
              <w:left w:w="0" w:type="dxa"/>
              <w:bottom w:w="0" w:type="dxa"/>
              <w:right w:w="0" w:type="dxa"/>
            </w:tcMar>
            <w:vAlign w:val="center"/>
          </w:tcPr>
          <w:p w:rsidR="00BA146B" w:rsidRDefault="00B04067">
            <w:pPr>
              <w:spacing w:before="100" w:after="100" w:line="240" w:lineRule="auto"/>
              <w:ind w:left="100" w:right="100"/>
            </w:pPr>
            <w:r>
              <w:rPr>
                <w:rFonts w:ascii="Arial" w:eastAsia="Arial" w:hAnsi="Arial" w:cs="Arial"/>
                <w:i/>
                <w:color w:val="000000"/>
                <w:sz w:val="16"/>
                <w:szCs w:val="16"/>
                <w:vertAlign w:val="superscript"/>
              </w:rPr>
              <w:t>1</w:t>
            </w:r>
            <w:r>
              <w:rPr>
                <w:rFonts w:ascii="Arial" w:eastAsia="Arial" w:hAnsi="Arial" w:cs="Arial"/>
                <w:i/>
                <w:color w:val="000000"/>
                <w:sz w:val="16"/>
                <w:szCs w:val="16"/>
              </w:rPr>
              <w:t>This does not include mosquito dispersal/application costs.</w:t>
            </w:r>
          </w:p>
        </w:tc>
      </w:tr>
    </w:tbl>
    <w:p w:rsidR="00BA146B" w:rsidRDefault="00B04067">
      <w:pPr>
        <w:pStyle w:val="BodyText"/>
      </w:pPr>
      <w:r>
        <w:t>As noted in the methods section, two other costs that should be examined more closely are the costs of the mobile laboratory, and the irriadiator (Table 1 &amp; 2). Both the mobile laboratory and irradiator are significant to the overall effort in that they pr</w:t>
      </w:r>
      <w:r>
        <w:t xml:space="preserve">ovide capacity for the effort (e.g. lab </w:t>
      </w:r>
      <w:r>
        <w:lastRenderedPageBreak/>
        <w:t>space) and confidence in the continued efficacy of the overall approach (e.g. irradiator)[1], but these costs could potentially be offset by matching efforts from other institutions/organizations. Table 5 shows the i</w:t>
      </w:r>
      <w:r>
        <w:t>nfrastructure costs for the IIT/SIT effort without the cost of a rearing facility.</w:t>
      </w:r>
    </w:p>
    <w:tbl>
      <w:tblPr>
        <w:tblW w:w="0" w:type="auto"/>
        <w:jc w:val="center"/>
        <w:tblLayout w:type="fixed"/>
        <w:tblLook w:val="0420" w:firstRow="1" w:lastRow="0" w:firstColumn="0" w:lastColumn="0" w:noHBand="0" w:noVBand="1"/>
      </w:tblPr>
      <w:tblGrid>
        <w:gridCol w:w="1795"/>
        <w:gridCol w:w="1406"/>
        <w:gridCol w:w="1045"/>
        <w:gridCol w:w="1489"/>
        <w:gridCol w:w="756"/>
        <w:gridCol w:w="1128"/>
        <w:gridCol w:w="1539"/>
      </w:tblGrid>
      <w:tr w:rsidR="00BA146B">
        <w:trPr>
          <w:cantSplit/>
          <w:tblHeader/>
          <w:jc w:val="center"/>
        </w:trPr>
        <w:tc>
          <w:tcPr>
            <w:tcW w:w="1795"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Culicid Density (per square km.)</w:t>
            </w:r>
          </w:p>
        </w:tc>
        <w:tc>
          <w:tcPr>
            <w:tcW w:w="1406"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Flight Distance (meters)</w:t>
            </w:r>
          </w:p>
        </w:tc>
        <w:tc>
          <w:tcPr>
            <w:tcW w:w="1045"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Wild Type Males</w:t>
            </w:r>
          </w:p>
        </w:tc>
        <w:tc>
          <w:tcPr>
            <w:tcW w:w="1489"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IIT:Wild Type Males (10:1)</w:t>
            </w:r>
          </w:p>
        </w:tc>
        <w:tc>
          <w:tcPr>
            <w:tcW w:w="756"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Rate Used</w:t>
            </w:r>
          </w:p>
        </w:tc>
        <w:tc>
          <w:tcPr>
            <w:tcW w:w="1128"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First Year Cost ($)</w:t>
            </w:r>
            <w:r>
              <w:rPr>
                <w:rFonts w:ascii="Arial" w:eastAsia="Arial" w:hAnsi="Arial" w:cs="Arial"/>
                <w:b/>
                <w:color w:val="000000"/>
                <w:sz w:val="10"/>
                <w:szCs w:val="10"/>
                <w:vertAlign w:val="superscript"/>
              </w:rPr>
              <w:t>1</w:t>
            </w:r>
          </w:p>
        </w:tc>
        <w:tc>
          <w:tcPr>
            <w:tcW w:w="1539"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Subsequent Year Costs ($)</w:t>
            </w:r>
          </w:p>
        </w:tc>
      </w:tr>
      <w:tr w:rsidR="00BA146B">
        <w:trPr>
          <w:cantSplit/>
          <w:jc w:val="center"/>
        </w:trPr>
        <w:tc>
          <w:tcPr>
            <w:tcW w:w="1795" w:type="dxa"/>
            <w:tcBorders>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23,045.6358</w:t>
            </w:r>
          </w:p>
        </w:tc>
        <w:tc>
          <w:tcPr>
            <w:tcW w:w="1406" w:type="dxa"/>
            <w:tcBorders>
              <w:lef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50</w:t>
            </w:r>
          </w:p>
        </w:tc>
        <w:tc>
          <w:tcPr>
            <w:tcW w:w="1045"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23,045,636</w:t>
            </w:r>
          </w:p>
        </w:tc>
        <w:tc>
          <w:tcPr>
            <w:tcW w:w="1489"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230,456,360</w:t>
            </w:r>
          </w:p>
        </w:tc>
        <w:tc>
          <w:tcPr>
            <w:tcW w:w="756"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460</w:t>
            </w:r>
          </w:p>
        </w:tc>
        <w:tc>
          <w:tcPr>
            <w:tcW w:w="1128"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$77,293,848.00</w:t>
            </w:r>
          </w:p>
        </w:tc>
        <w:tc>
          <w:tcPr>
            <w:tcW w:w="1539"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$66,666,568.00</w:t>
            </w:r>
          </w:p>
        </w:tc>
      </w:tr>
      <w:tr w:rsidR="00BA146B">
        <w:trPr>
          <w:cantSplit/>
          <w:jc w:val="center"/>
        </w:trPr>
        <w:tc>
          <w:tcPr>
            <w:tcW w:w="1795" w:type="dxa"/>
            <w:tcBorders>
              <w:bottom w:val="single" w:sz="24" w:space="0" w:color="8B0000"/>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5,761.4089</w:t>
            </w:r>
          </w:p>
        </w:tc>
        <w:tc>
          <w:tcPr>
            <w:tcW w:w="1406" w:type="dxa"/>
            <w:tcBorders>
              <w:left w:val="single" w:sz="8" w:space="0" w:color="000000"/>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100</w:t>
            </w:r>
          </w:p>
        </w:tc>
        <w:tc>
          <w:tcPr>
            <w:tcW w:w="1045"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5,761,409</w:t>
            </w:r>
          </w:p>
        </w:tc>
        <w:tc>
          <w:tcPr>
            <w:tcW w:w="148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57,614,090</w:t>
            </w:r>
          </w:p>
        </w:tc>
        <w:tc>
          <w:tcPr>
            <w:tcW w:w="756"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120</w:t>
            </w:r>
          </w:p>
        </w:tc>
        <w:tc>
          <w:tcPr>
            <w:tcW w:w="1128"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$20,311,439.00</w:t>
            </w:r>
          </w:p>
        </w:tc>
        <w:tc>
          <w:tcPr>
            <w:tcW w:w="153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$17,391,279.00</w:t>
            </w:r>
          </w:p>
        </w:tc>
      </w:tr>
      <w:tr w:rsidR="00BA146B">
        <w:trPr>
          <w:cantSplit/>
          <w:jc w:val="center"/>
        </w:trPr>
        <w:tc>
          <w:tcPr>
            <w:tcW w:w="1795" w:type="dxa"/>
            <w:tcBorders>
              <w:top w:val="single" w:sz="24" w:space="0" w:color="8B0000"/>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8B0000"/>
                <w:sz w:val="10"/>
                <w:szCs w:val="10"/>
              </w:rPr>
              <w:t>2,560.6262</w:t>
            </w:r>
          </w:p>
        </w:tc>
        <w:tc>
          <w:tcPr>
            <w:tcW w:w="1406" w:type="dxa"/>
            <w:tcBorders>
              <w:top w:val="single" w:sz="24" w:space="0" w:color="8B0000"/>
              <w:lef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150</w:t>
            </w:r>
          </w:p>
        </w:tc>
        <w:tc>
          <w:tcPr>
            <w:tcW w:w="1045"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2,560,626</w:t>
            </w:r>
          </w:p>
        </w:tc>
        <w:tc>
          <w:tcPr>
            <w:tcW w:w="148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25,606,260</w:t>
            </w:r>
          </w:p>
        </w:tc>
        <w:tc>
          <w:tcPr>
            <w:tcW w:w="756"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51</w:t>
            </w:r>
          </w:p>
        </w:tc>
        <w:tc>
          <w:tcPr>
            <w:tcW w:w="1128"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$8,784,961.00</w:t>
            </w:r>
          </w:p>
        </w:tc>
        <w:tc>
          <w:tcPr>
            <w:tcW w:w="153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$7,391,293.00</w:t>
            </w:r>
          </w:p>
        </w:tc>
      </w:tr>
      <w:tr w:rsidR="00BA146B">
        <w:trPr>
          <w:cantSplit/>
          <w:jc w:val="center"/>
        </w:trPr>
        <w:tc>
          <w:tcPr>
            <w:tcW w:w="1795" w:type="dxa"/>
            <w:tcBorders>
              <w:bottom w:val="single" w:sz="24" w:space="0" w:color="8B0000"/>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8B0000"/>
                <w:sz w:val="10"/>
                <w:szCs w:val="10"/>
              </w:rPr>
              <w:t>1,440.3522</w:t>
            </w:r>
          </w:p>
        </w:tc>
        <w:tc>
          <w:tcPr>
            <w:tcW w:w="1406" w:type="dxa"/>
            <w:tcBorders>
              <w:left w:val="single" w:sz="8" w:space="0" w:color="000000"/>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200</w:t>
            </w:r>
          </w:p>
        </w:tc>
        <w:tc>
          <w:tcPr>
            <w:tcW w:w="1045"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1,440,352</w:t>
            </w:r>
          </w:p>
        </w:tc>
        <w:tc>
          <w:tcPr>
            <w:tcW w:w="148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14,403,520</w:t>
            </w:r>
          </w:p>
        </w:tc>
        <w:tc>
          <w:tcPr>
            <w:tcW w:w="756"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29</w:t>
            </w:r>
          </w:p>
        </w:tc>
        <w:tc>
          <w:tcPr>
            <w:tcW w:w="1128"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$5,069,664.00</w:t>
            </w:r>
          </w:p>
        </w:tc>
        <w:tc>
          <w:tcPr>
            <w:tcW w:w="153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$4,202,892.00</w:t>
            </w:r>
          </w:p>
        </w:tc>
      </w:tr>
      <w:tr w:rsidR="00BA146B">
        <w:trPr>
          <w:cantSplit/>
          <w:jc w:val="center"/>
        </w:trPr>
        <w:tc>
          <w:tcPr>
            <w:tcW w:w="1795" w:type="dxa"/>
            <w:tcBorders>
              <w:top w:val="single" w:sz="24" w:space="0" w:color="8B0000"/>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921.8254</w:t>
            </w:r>
          </w:p>
        </w:tc>
        <w:tc>
          <w:tcPr>
            <w:tcW w:w="1406" w:type="dxa"/>
            <w:tcBorders>
              <w:top w:val="single" w:sz="24" w:space="0" w:color="8B0000"/>
              <w:lef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250</w:t>
            </w:r>
          </w:p>
        </w:tc>
        <w:tc>
          <w:tcPr>
            <w:tcW w:w="1045"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921,825</w:t>
            </w:r>
          </w:p>
        </w:tc>
        <w:tc>
          <w:tcPr>
            <w:tcW w:w="148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9,218,250</w:t>
            </w:r>
          </w:p>
        </w:tc>
        <w:tc>
          <w:tcPr>
            <w:tcW w:w="756"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18</w:t>
            </w:r>
          </w:p>
        </w:tc>
        <w:tc>
          <w:tcPr>
            <w:tcW w:w="1128"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$3,235,516.00</w:t>
            </w:r>
          </w:p>
        </w:tc>
        <w:tc>
          <w:tcPr>
            <w:tcW w:w="153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$2,608,692.00</w:t>
            </w:r>
          </w:p>
        </w:tc>
      </w:tr>
      <w:tr w:rsidR="00BA146B">
        <w:trPr>
          <w:cantSplit/>
          <w:jc w:val="center"/>
        </w:trPr>
        <w:tc>
          <w:tcPr>
            <w:tcW w:w="1795" w:type="dxa"/>
            <w:tcBorders>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640.1565</w:t>
            </w:r>
          </w:p>
        </w:tc>
        <w:tc>
          <w:tcPr>
            <w:tcW w:w="1406" w:type="dxa"/>
            <w:tcBorders>
              <w:lef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300</w:t>
            </w:r>
          </w:p>
        </w:tc>
        <w:tc>
          <w:tcPr>
            <w:tcW w:w="1045"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640,157</w:t>
            </w:r>
          </w:p>
        </w:tc>
        <w:tc>
          <w:tcPr>
            <w:tcW w:w="1489"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6,401,570</w:t>
            </w:r>
          </w:p>
        </w:tc>
        <w:tc>
          <w:tcPr>
            <w:tcW w:w="756"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13</w:t>
            </w:r>
          </w:p>
        </w:tc>
        <w:tc>
          <w:tcPr>
            <w:tcW w:w="1128"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$2,397,539.00</w:t>
            </w:r>
          </w:p>
        </w:tc>
        <w:tc>
          <w:tcPr>
            <w:tcW w:w="1539"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$1,884,055.00</w:t>
            </w:r>
          </w:p>
        </w:tc>
      </w:tr>
      <w:tr w:rsidR="00BA146B">
        <w:trPr>
          <w:cantSplit/>
          <w:jc w:val="center"/>
        </w:trPr>
        <w:tc>
          <w:tcPr>
            <w:tcW w:w="1795" w:type="dxa"/>
            <w:tcBorders>
              <w:bottom w:val="single" w:sz="24" w:space="0" w:color="00008B"/>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470.3191</w:t>
            </w:r>
          </w:p>
        </w:tc>
        <w:tc>
          <w:tcPr>
            <w:tcW w:w="1406" w:type="dxa"/>
            <w:tcBorders>
              <w:left w:val="single" w:sz="8" w:space="0" w:color="000000"/>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350</w:t>
            </w:r>
          </w:p>
        </w:tc>
        <w:tc>
          <w:tcPr>
            <w:tcW w:w="1045"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470,319</w:t>
            </w:r>
          </w:p>
        </w:tc>
        <w:tc>
          <w:tcPr>
            <w:tcW w:w="1489"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4,703,190</w:t>
            </w:r>
          </w:p>
        </w:tc>
        <w:tc>
          <w:tcPr>
            <w:tcW w:w="756"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10</w:t>
            </w:r>
          </w:p>
        </w:tc>
        <w:tc>
          <w:tcPr>
            <w:tcW w:w="1128"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$1,875,953.00</w:t>
            </w:r>
          </w:p>
        </w:tc>
        <w:tc>
          <w:tcPr>
            <w:tcW w:w="1539"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$1,449,273.00</w:t>
            </w:r>
          </w:p>
        </w:tc>
      </w:tr>
      <w:tr w:rsidR="00BA146B">
        <w:trPr>
          <w:cantSplit/>
          <w:jc w:val="center"/>
        </w:trPr>
        <w:tc>
          <w:tcPr>
            <w:tcW w:w="1795" w:type="dxa"/>
            <w:tcBorders>
              <w:top w:val="single" w:sz="24" w:space="0" w:color="00008B"/>
              <w:bottom w:val="single" w:sz="24" w:space="0" w:color="00008B"/>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8B"/>
                <w:sz w:val="10"/>
                <w:szCs w:val="10"/>
              </w:rPr>
              <w:t>360.0881</w:t>
            </w:r>
          </w:p>
        </w:tc>
        <w:tc>
          <w:tcPr>
            <w:tcW w:w="1406" w:type="dxa"/>
            <w:tcBorders>
              <w:top w:val="single" w:sz="24" w:space="0" w:color="00008B"/>
              <w:left w:val="single" w:sz="8" w:space="0" w:color="000000"/>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400</w:t>
            </w:r>
          </w:p>
        </w:tc>
        <w:tc>
          <w:tcPr>
            <w:tcW w:w="1045"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360,088</w:t>
            </w:r>
          </w:p>
        </w:tc>
        <w:tc>
          <w:tcPr>
            <w:tcW w:w="1489"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3,600,880</w:t>
            </w:r>
          </w:p>
        </w:tc>
        <w:tc>
          <w:tcPr>
            <w:tcW w:w="756"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8</w:t>
            </w:r>
          </w:p>
        </w:tc>
        <w:tc>
          <w:tcPr>
            <w:tcW w:w="1128"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$1,559,563.00</w:t>
            </w:r>
          </w:p>
        </w:tc>
        <w:tc>
          <w:tcPr>
            <w:tcW w:w="1539"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$1,159,419.00</w:t>
            </w:r>
          </w:p>
        </w:tc>
      </w:tr>
      <w:tr w:rsidR="00BA146B">
        <w:trPr>
          <w:cantSplit/>
          <w:jc w:val="center"/>
        </w:trPr>
        <w:tc>
          <w:tcPr>
            <w:tcW w:w="9158" w:type="dxa"/>
            <w:gridSpan w:val="7"/>
            <w:shd w:val="clear" w:color="auto" w:fill="FFFFFF"/>
            <w:tcMar>
              <w:top w:w="0" w:type="dxa"/>
              <w:left w:w="0" w:type="dxa"/>
              <w:bottom w:w="0" w:type="dxa"/>
              <w:right w:w="0" w:type="dxa"/>
            </w:tcMar>
            <w:vAlign w:val="center"/>
          </w:tcPr>
          <w:p w:rsidR="00BA146B" w:rsidRDefault="00B04067">
            <w:pPr>
              <w:spacing w:before="100" w:after="100" w:line="240" w:lineRule="auto"/>
              <w:ind w:left="100" w:right="100"/>
            </w:pPr>
            <w:r>
              <w:rPr>
                <w:rFonts w:ascii="Arial" w:eastAsia="Arial" w:hAnsi="Arial" w:cs="Arial"/>
                <w:i/>
                <w:color w:val="000000"/>
                <w:sz w:val="16"/>
                <w:szCs w:val="16"/>
                <w:vertAlign w:val="superscript"/>
              </w:rPr>
              <w:t>1</w:t>
            </w:r>
            <w:r>
              <w:rPr>
                <w:rFonts w:ascii="Arial" w:eastAsia="Arial" w:hAnsi="Arial" w:cs="Arial"/>
                <w:i/>
                <w:color w:val="000000"/>
                <w:sz w:val="16"/>
                <w:szCs w:val="16"/>
              </w:rPr>
              <w:t>This does not include mosquito dispersal/application costs.</w:t>
            </w:r>
          </w:p>
        </w:tc>
      </w:tr>
    </w:tbl>
    <w:p w:rsidR="00BA146B" w:rsidRDefault="00B04067">
      <w:pPr>
        <w:pStyle w:val="BodyText"/>
      </w:pPr>
      <w:r>
        <w:t>As noted in Table 2, the cost of the irradiator is a significant investment. Table 6 shows the cost of the irradiator with all other default infrastructure costs. Something that should be noted when removing both rearing facility and irradiator costs (Tabl</w:t>
      </w:r>
      <w:r>
        <w:t xml:space="preserve">es 5 &amp; 6) is that the rate of infrastructure increase (i.e. number of larval rearing units and associated costs needed) is the same, in fact this is true for all assessments (Tables 3-6). This is because the rate acts as a proportion from which these unit </w:t>
      </w:r>
      <w:r>
        <w:t>costs are estimated, and is not influenced by these costs.</w:t>
      </w:r>
    </w:p>
    <w:tbl>
      <w:tblPr>
        <w:tblW w:w="0" w:type="auto"/>
        <w:jc w:val="center"/>
        <w:tblLayout w:type="fixed"/>
        <w:tblLook w:val="0420" w:firstRow="1" w:lastRow="0" w:firstColumn="0" w:lastColumn="0" w:noHBand="0" w:noVBand="1"/>
      </w:tblPr>
      <w:tblGrid>
        <w:gridCol w:w="1795"/>
        <w:gridCol w:w="1406"/>
        <w:gridCol w:w="1045"/>
        <w:gridCol w:w="1489"/>
        <w:gridCol w:w="756"/>
        <w:gridCol w:w="1128"/>
        <w:gridCol w:w="1539"/>
      </w:tblGrid>
      <w:tr w:rsidR="00BA146B">
        <w:trPr>
          <w:cantSplit/>
          <w:tblHeader/>
          <w:jc w:val="center"/>
        </w:trPr>
        <w:tc>
          <w:tcPr>
            <w:tcW w:w="1795"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Culicid Density (per square km.)</w:t>
            </w:r>
          </w:p>
        </w:tc>
        <w:tc>
          <w:tcPr>
            <w:tcW w:w="1406"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Flight Distance (meters)</w:t>
            </w:r>
          </w:p>
        </w:tc>
        <w:tc>
          <w:tcPr>
            <w:tcW w:w="1045"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Wild Type Males</w:t>
            </w:r>
          </w:p>
        </w:tc>
        <w:tc>
          <w:tcPr>
            <w:tcW w:w="1489"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IIT:Wild Type Males (10:1)</w:t>
            </w:r>
          </w:p>
        </w:tc>
        <w:tc>
          <w:tcPr>
            <w:tcW w:w="756"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Rate Used</w:t>
            </w:r>
          </w:p>
        </w:tc>
        <w:tc>
          <w:tcPr>
            <w:tcW w:w="1128"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First Year Cost ($)</w:t>
            </w:r>
            <w:r>
              <w:rPr>
                <w:rFonts w:ascii="Arial" w:eastAsia="Arial" w:hAnsi="Arial" w:cs="Arial"/>
                <w:b/>
                <w:color w:val="000000"/>
                <w:sz w:val="10"/>
                <w:szCs w:val="10"/>
                <w:vertAlign w:val="superscript"/>
              </w:rPr>
              <w:t>1</w:t>
            </w:r>
          </w:p>
        </w:tc>
        <w:tc>
          <w:tcPr>
            <w:tcW w:w="1539" w:type="dxa"/>
            <w:tcBorders>
              <w:bottom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color w:val="000000"/>
                <w:sz w:val="10"/>
                <w:szCs w:val="10"/>
              </w:rPr>
              <w:t>Subsequent Year Costs ($)</w:t>
            </w:r>
          </w:p>
        </w:tc>
      </w:tr>
      <w:tr w:rsidR="00BA146B">
        <w:trPr>
          <w:cantSplit/>
          <w:jc w:val="center"/>
        </w:trPr>
        <w:tc>
          <w:tcPr>
            <w:tcW w:w="1795" w:type="dxa"/>
            <w:tcBorders>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23,045.6358</w:t>
            </w:r>
          </w:p>
        </w:tc>
        <w:tc>
          <w:tcPr>
            <w:tcW w:w="1406" w:type="dxa"/>
            <w:tcBorders>
              <w:lef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50</w:t>
            </w:r>
          </w:p>
        </w:tc>
        <w:tc>
          <w:tcPr>
            <w:tcW w:w="1045"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23,045,636</w:t>
            </w:r>
          </w:p>
        </w:tc>
        <w:tc>
          <w:tcPr>
            <w:tcW w:w="1489"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230,456,360</w:t>
            </w:r>
          </w:p>
        </w:tc>
        <w:tc>
          <w:tcPr>
            <w:tcW w:w="756"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460</w:t>
            </w:r>
          </w:p>
        </w:tc>
        <w:tc>
          <w:tcPr>
            <w:tcW w:w="1128"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$77,293,848.00</w:t>
            </w:r>
          </w:p>
        </w:tc>
        <w:tc>
          <w:tcPr>
            <w:tcW w:w="1539" w:type="dxa"/>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$66,666,568.00</w:t>
            </w:r>
          </w:p>
        </w:tc>
      </w:tr>
      <w:tr w:rsidR="00BA146B">
        <w:trPr>
          <w:cantSplit/>
          <w:jc w:val="center"/>
        </w:trPr>
        <w:tc>
          <w:tcPr>
            <w:tcW w:w="1795" w:type="dxa"/>
            <w:tcBorders>
              <w:bottom w:val="single" w:sz="24" w:space="0" w:color="8B0000"/>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5,761.4089</w:t>
            </w:r>
          </w:p>
        </w:tc>
        <w:tc>
          <w:tcPr>
            <w:tcW w:w="1406" w:type="dxa"/>
            <w:tcBorders>
              <w:left w:val="single" w:sz="8" w:space="0" w:color="000000"/>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100</w:t>
            </w:r>
          </w:p>
        </w:tc>
        <w:tc>
          <w:tcPr>
            <w:tcW w:w="1045"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5,761,409</w:t>
            </w:r>
          </w:p>
        </w:tc>
        <w:tc>
          <w:tcPr>
            <w:tcW w:w="148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57,614,090</w:t>
            </w:r>
          </w:p>
        </w:tc>
        <w:tc>
          <w:tcPr>
            <w:tcW w:w="756"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120</w:t>
            </w:r>
          </w:p>
        </w:tc>
        <w:tc>
          <w:tcPr>
            <w:tcW w:w="1128"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$20,311,439.00</w:t>
            </w:r>
          </w:p>
        </w:tc>
        <w:tc>
          <w:tcPr>
            <w:tcW w:w="153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$17,391,279.00</w:t>
            </w:r>
          </w:p>
        </w:tc>
      </w:tr>
      <w:tr w:rsidR="00BA146B">
        <w:trPr>
          <w:cantSplit/>
          <w:jc w:val="center"/>
        </w:trPr>
        <w:tc>
          <w:tcPr>
            <w:tcW w:w="1795" w:type="dxa"/>
            <w:tcBorders>
              <w:top w:val="single" w:sz="24" w:space="0" w:color="8B0000"/>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8B0000"/>
                <w:sz w:val="10"/>
                <w:szCs w:val="10"/>
              </w:rPr>
              <w:t>2,560.6262</w:t>
            </w:r>
          </w:p>
        </w:tc>
        <w:tc>
          <w:tcPr>
            <w:tcW w:w="1406" w:type="dxa"/>
            <w:tcBorders>
              <w:top w:val="single" w:sz="24" w:space="0" w:color="8B0000"/>
              <w:lef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150</w:t>
            </w:r>
          </w:p>
        </w:tc>
        <w:tc>
          <w:tcPr>
            <w:tcW w:w="1045"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2,560,626</w:t>
            </w:r>
          </w:p>
        </w:tc>
        <w:tc>
          <w:tcPr>
            <w:tcW w:w="148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25,606,260</w:t>
            </w:r>
          </w:p>
        </w:tc>
        <w:tc>
          <w:tcPr>
            <w:tcW w:w="756"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51</w:t>
            </w:r>
          </w:p>
        </w:tc>
        <w:tc>
          <w:tcPr>
            <w:tcW w:w="1128"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$8,784,961.00</w:t>
            </w:r>
          </w:p>
        </w:tc>
        <w:tc>
          <w:tcPr>
            <w:tcW w:w="153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$7,391,293.00</w:t>
            </w:r>
          </w:p>
        </w:tc>
      </w:tr>
      <w:tr w:rsidR="00BA146B">
        <w:trPr>
          <w:cantSplit/>
          <w:jc w:val="center"/>
        </w:trPr>
        <w:tc>
          <w:tcPr>
            <w:tcW w:w="1795" w:type="dxa"/>
            <w:tcBorders>
              <w:bottom w:val="single" w:sz="24" w:space="0" w:color="8B0000"/>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8B0000"/>
                <w:sz w:val="10"/>
                <w:szCs w:val="10"/>
              </w:rPr>
              <w:t>1,440.3522</w:t>
            </w:r>
          </w:p>
        </w:tc>
        <w:tc>
          <w:tcPr>
            <w:tcW w:w="1406" w:type="dxa"/>
            <w:tcBorders>
              <w:left w:val="single" w:sz="8" w:space="0" w:color="000000"/>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200</w:t>
            </w:r>
          </w:p>
        </w:tc>
        <w:tc>
          <w:tcPr>
            <w:tcW w:w="1045"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1,440,352</w:t>
            </w:r>
          </w:p>
        </w:tc>
        <w:tc>
          <w:tcPr>
            <w:tcW w:w="148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14,403,520</w:t>
            </w:r>
          </w:p>
        </w:tc>
        <w:tc>
          <w:tcPr>
            <w:tcW w:w="756"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29</w:t>
            </w:r>
          </w:p>
        </w:tc>
        <w:tc>
          <w:tcPr>
            <w:tcW w:w="1128"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$5,069,664.00</w:t>
            </w:r>
          </w:p>
        </w:tc>
        <w:tc>
          <w:tcPr>
            <w:tcW w:w="1539" w:type="dxa"/>
            <w:tcBorders>
              <w:bottom w:val="single" w:sz="24" w:space="0" w:color="8B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8B0000"/>
                <w:sz w:val="10"/>
                <w:szCs w:val="10"/>
              </w:rPr>
              <w:t>$4,202,892.00</w:t>
            </w:r>
          </w:p>
        </w:tc>
      </w:tr>
      <w:tr w:rsidR="00BA146B">
        <w:trPr>
          <w:cantSplit/>
          <w:jc w:val="center"/>
        </w:trPr>
        <w:tc>
          <w:tcPr>
            <w:tcW w:w="1795" w:type="dxa"/>
            <w:tcBorders>
              <w:top w:val="single" w:sz="24" w:space="0" w:color="8B0000"/>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921.8254</w:t>
            </w:r>
          </w:p>
        </w:tc>
        <w:tc>
          <w:tcPr>
            <w:tcW w:w="1406" w:type="dxa"/>
            <w:tcBorders>
              <w:top w:val="single" w:sz="24" w:space="0" w:color="8B0000"/>
              <w:lef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250</w:t>
            </w:r>
          </w:p>
        </w:tc>
        <w:tc>
          <w:tcPr>
            <w:tcW w:w="1045"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921,825</w:t>
            </w:r>
          </w:p>
        </w:tc>
        <w:tc>
          <w:tcPr>
            <w:tcW w:w="148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9,218,250</w:t>
            </w:r>
          </w:p>
        </w:tc>
        <w:tc>
          <w:tcPr>
            <w:tcW w:w="756"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18</w:t>
            </w:r>
          </w:p>
        </w:tc>
        <w:tc>
          <w:tcPr>
            <w:tcW w:w="1128"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$3,235,516.00</w:t>
            </w:r>
          </w:p>
        </w:tc>
        <w:tc>
          <w:tcPr>
            <w:tcW w:w="1539" w:type="dxa"/>
            <w:tcBorders>
              <w:top w:val="single" w:sz="24" w:space="0" w:color="8B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$2,608,692.00</w:t>
            </w:r>
          </w:p>
        </w:tc>
      </w:tr>
      <w:tr w:rsidR="00BA146B">
        <w:trPr>
          <w:cantSplit/>
          <w:jc w:val="center"/>
        </w:trPr>
        <w:tc>
          <w:tcPr>
            <w:tcW w:w="1795" w:type="dxa"/>
            <w:tcBorders>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640.1565</w:t>
            </w:r>
          </w:p>
        </w:tc>
        <w:tc>
          <w:tcPr>
            <w:tcW w:w="1406" w:type="dxa"/>
            <w:tcBorders>
              <w:lef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300</w:t>
            </w:r>
          </w:p>
        </w:tc>
        <w:tc>
          <w:tcPr>
            <w:tcW w:w="1045"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640,157</w:t>
            </w:r>
          </w:p>
        </w:tc>
        <w:tc>
          <w:tcPr>
            <w:tcW w:w="1489"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6,401,570</w:t>
            </w:r>
          </w:p>
        </w:tc>
        <w:tc>
          <w:tcPr>
            <w:tcW w:w="756"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13</w:t>
            </w:r>
          </w:p>
        </w:tc>
        <w:tc>
          <w:tcPr>
            <w:tcW w:w="1128"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$2,397,539.00</w:t>
            </w:r>
          </w:p>
        </w:tc>
        <w:tc>
          <w:tcPr>
            <w:tcW w:w="1539" w:type="dxa"/>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$1,884,055.00</w:t>
            </w:r>
          </w:p>
        </w:tc>
      </w:tr>
      <w:tr w:rsidR="00BA146B">
        <w:trPr>
          <w:cantSplit/>
          <w:jc w:val="center"/>
        </w:trPr>
        <w:tc>
          <w:tcPr>
            <w:tcW w:w="1795" w:type="dxa"/>
            <w:tcBorders>
              <w:bottom w:val="single" w:sz="24" w:space="0" w:color="00008B"/>
              <w:right w:val="single" w:sz="8" w:space="0" w:color="000000"/>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00"/>
                <w:sz w:val="10"/>
                <w:szCs w:val="10"/>
              </w:rPr>
              <w:t>470.3191</w:t>
            </w:r>
          </w:p>
        </w:tc>
        <w:tc>
          <w:tcPr>
            <w:tcW w:w="1406" w:type="dxa"/>
            <w:tcBorders>
              <w:left w:val="single" w:sz="8" w:space="0" w:color="000000"/>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350</w:t>
            </w:r>
          </w:p>
        </w:tc>
        <w:tc>
          <w:tcPr>
            <w:tcW w:w="1045"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470,319</w:t>
            </w:r>
          </w:p>
        </w:tc>
        <w:tc>
          <w:tcPr>
            <w:tcW w:w="1489"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4,703,190</w:t>
            </w:r>
          </w:p>
        </w:tc>
        <w:tc>
          <w:tcPr>
            <w:tcW w:w="756"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10</w:t>
            </w:r>
          </w:p>
        </w:tc>
        <w:tc>
          <w:tcPr>
            <w:tcW w:w="1128"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$1,875,953.00</w:t>
            </w:r>
          </w:p>
        </w:tc>
        <w:tc>
          <w:tcPr>
            <w:tcW w:w="1539" w:type="dxa"/>
            <w:tcBorders>
              <w:bottom w:val="single" w:sz="24" w:space="0" w:color="00008B"/>
            </w:tcBorders>
            <w:shd w:val="clear" w:color="auto" w:fill="EFEFE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color w:val="000000"/>
                <w:sz w:val="10"/>
                <w:szCs w:val="10"/>
              </w:rPr>
              <w:t>$1,449,273.00</w:t>
            </w:r>
          </w:p>
        </w:tc>
      </w:tr>
      <w:tr w:rsidR="00BA146B">
        <w:trPr>
          <w:cantSplit/>
          <w:jc w:val="center"/>
        </w:trPr>
        <w:tc>
          <w:tcPr>
            <w:tcW w:w="1795" w:type="dxa"/>
            <w:tcBorders>
              <w:top w:val="single" w:sz="24" w:space="0" w:color="00008B"/>
              <w:bottom w:val="single" w:sz="24" w:space="0" w:color="00008B"/>
              <w:right w:val="single" w:sz="8" w:space="0" w:color="000000"/>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b/>
                <w:i/>
                <w:color w:val="00008B"/>
                <w:sz w:val="10"/>
                <w:szCs w:val="10"/>
              </w:rPr>
              <w:t>360.0881</w:t>
            </w:r>
          </w:p>
        </w:tc>
        <w:tc>
          <w:tcPr>
            <w:tcW w:w="1406" w:type="dxa"/>
            <w:tcBorders>
              <w:top w:val="single" w:sz="24" w:space="0" w:color="00008B"/>
              <w:left w:val="single" w:sz="8" w:space="0" w:color="000000"/>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400</w:t>
            </w:r>
          </w:p>
        </w:tc>
        <w:tc>
          <w:tcPr>
            <w:tcW w:w="1045"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360,088</w:t>
            </w:r>
          </w:p>
        </w:tc>
        <w:tc>
          <w:tcPr>
            <w:tcW w:w="1489"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3,600,880</w:t>
            </w:r>
          </w:p>
        </w:tc>
        <w:tc>
          <w:tcPr>
            <w:tcW w:w="756"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8</w:t>
            </w:r>
          </w:p>
        </w:tc>
        <w:tc>
          <w:tcPr>
            <w:tcW w:w="1128"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$1,559,563.00</w:t>
            </w:r>
          </w:p>
        </w:tc>
        <w:tc>
          <w:tcPr>
            <w:tcW w:w="1539" w:type="dxa"/>
            <w:tcBorders>
              <w:top w:val="single" w:sz="24" w:space="0" w:color="00008B"/>
              <w:bottom w:val="single" w:sz="24" w:space="0" w:color="00008B"/>
            </w:tcBorders>
            <w:shd w:val="clear" w:color="auto" w:fill="FFFFFF"/>
            <w:tcMar>
              <w:top w:w="0" w:type="dxa"/>
              <w:left w:w="0" w:type="dxa"/>
              <w:bottom w:w="0" w:type="dxa"/>
              <w:right w:w="0" w:type="dxa"/>
            </w:tcMar>
            <w:vAlign w:val="center"/>
          </w:tcPr>
          <w:p w:rsidR="00BA146B" w:rsidRDefault="00B04067">
            <w:pPr>
              <w:spacing w:before="100" w:after="100" w:line="240" w:lineRule="auto"/>
              <w:ind w:left="100" w:right="100"/>
              <w:jc w:val="center"/>
            </w:pPr>
            <w:r>
              <w:rPr>
                <w:rFonts w:ascii="Arial" w:eastAsia="Arial" w:hAnsi="Arial" w:cs="Arial"/>
                <w:i/>
                <w:color w:val="00008B"/>
                <w:sz w:val="10"/>
                <w:szCs w:val="10"/>
              </w:rPr>
              <w:t>$1,159,419.00</w:t>
            </w:r>
          </w:p>
        </w:tc>
      </w:tr>
      <w:tr w:rsidR="00BA146B">
        <w:trPr>
          <w:cantSplit/>
          <w:jc w:val="center"/>
        </w:trPr>
        <w:tc>
          <w:tcPr>
            <w:tcW w:w="9158" w:type="dxa"/>
            <w:gridSpan w:val="7"/>
            <w:shd w:val="clear" w:color="auto" w:fill="FFFFFF"/>
            <w:tcMar>
              <w:top w:w="0" w:type="dxa"/>
              <w:left w:w="0" w:type="dxa"/>
              <w:bottom w:w="0" w:type="dxa"/>
              <w:right w:w="0" w:type="dxa"/>
            </w:tcMar>
            <w:vAlign w:val="center"/>
          </w:tcPr>
          <w:p w:rsidR="00BA146B" w:rsidRDefault="00B04067">
            <w:pPr>
              <w:spacing w:before="100" w:after="100" w:line="240" w:lineRule="auto"/>
              <w:ind w:left="100" w:right="100"/>
            </w:pPr>
            <w:r>
              <w:rPr>
                <w:rFonts w:ascii="Arial" w:eastAsia="Arial" w:hAnsi="Arial" w:cs="Arial"/>
                <w:i/>
                <w:color w:val="000000"/>
                <w:sz w:val="16"/>
                <w:szCs w:val="16"/>
                <w:vertAlign w:val="superscript"/>
              </w:rPr>
              <w:t>1</w:t>
            </w:r>
            <w:r>
              <w:rPr>
                <w:rFonts w:ascii="Arial" w:eastAsia="Arial" w:hAnsi="Arial" w:cs="Arial"/>
                <w:i/>
                <w:color w:val="000000"/>
                <w:sz w:val="16"/>
                <w:szCs w:val="16"/>
              </w:rPr>
              <w:t>This does not include mosquito dispersal/application costs.</w:t>
            </w:r>
          </w:p>
        </w:tc>
      </w:tr>
    </w:tbl>
    <w:p w:rsidR="00BA146B" w:rsidRDefault="00B04067">
      <w:pPr>
        <w:pStyle w:val="Heading1"/>
      </w:pPr>
      <w:bookmarkStart w:id="11" w:name="references"/>
      <w:bookmarkEnd w:id="9"/>
      <w:r>
        <w:t>References</w:t>
      </w:r>
    </w:p>
    <w:p w:rsidR="00BA146B" w:rsidRDefault="00B04067">
      <w:pPr>
        <w:pStyle w:val="Bibliography"/>
      </w:pPr>
      <w:bookmarkStart w:id="12" w:name="ref-zheng19"/>
      <w:bookmarkStart w:id="13" w:name="refs"/>
      <w:r>
        <w:t>1. Zheng X, Zhang D, Li Y, Yang C, Wu Y, Liang X, et al. Incompatible and sterile insect techniques combined eliminate mosquitoes. Nature. 2019;</w:t>
      </w:r>
    </w:p>
    <w:p w:rsidR="00BA146B" w:rsidRDefault="00B04067">
      <w:pPr>
        <w:pStyle w:val="Bibliography"/>
      </w:pPr>
      <w:bookmarkStart w:id="14" w:name="ref-verdonschot14a"/>
      <w:bookmarkEnd w:id="12"/>
      <w:r>
        <w:lastRenderedPageBreak/>
        <w:t>2. Verdonschot PFM, Besse-Lototskaya AA</w:t>
      </w:r>
      <w:r>
        <w:t>. Flight distance of mosquitoes (Culicidae): A metadata analysis to support the management of barrier zones around rewetted and newly constructed wetlands. Limnologica. 2014;45:69–79.</w:t>
      </w:r>
    </w:p>
    <w:p w:rsidR="00BA146B" w:rsidRDefault="00B04067">
      <w:pPr>
        <w:pStyle w:val="Bibliography"/>
      </w:pPr>
      <w:bookmarkStart w:id="15" w:name="ref-who20"/>
      <w:bookmarkEnd w:id="14"/>
      <w:r>
        <w:t>3. WHO WH. WHO | The mosquito. WHO. World Health Organization; 2020;</w:t>
      </w:r>
    </w:p>
    <w:p w:rsidR="00BA146B" w:rsidRDefault="00B04067">
      <w:pPr>
        <w:pStyle w:val="Bibliography"/>
      </w:pPr>
      <w:bookmarkStart w:id="16" w:name="ref-qureshi19"/>
      <w:bookmarkEnd w:id="15"/>
      <w:r>
        <w:t>4. Qureshi A, Aldersley A, Hollis B, Ponlawat A, Cator LJ. Male competition and the evolution of mating and life-history traits in experimental populations of Aedes aegypti. Proceedings of the Royal Society B: Biological Sciences. Royal Society; 2019;286:2</w:t>
      </w:r>
      <w:r>
        <w:t>0190591.</w:t>
      </w:r>
    </w:p>
    <w:p w:rsidR="00BA146B" w:rsidRDefault="00B04067">
      <w:pPr>
        <w:pStyle w:val="Bibliography"/>
      </w:pPr>
      <w:bookmarkStart w:id="17" w:name="ref-benedict18"/>
      <w:bookmarkEnd w:id="16"/>
      <w:r>
        <w:t>5. Benedict MQ, Burt A, Capurro ML, De Barro P, Handler AM, Hayes KR, et al. Recommendations for Laboratory Containment and Management of Gene Drive Systems in Arthropods. Vector-Borne and Zoonotic Diseases. 2018;18:2–13.</w:t>
      </w:r>
    </w:p>
    <w:p w:rsidR="00BA146B" w:rsidRDefault="00B04067">
      <w:pPr>
        <w:pStyle w:val="Bibliography"/>
      </w:pPr>
      <w:bookmarkStart w:id="18" w:name="ref-ovadia17"/>
      <w:bookmarkEnd w:id="17"/>
      <w:r>
        <w:t>6. Ovadia Y, Halpern Y, K</w:t>
      </w:r>
      <w:r>
        <w:t>rishnan D, Livni J, Newburger D, Poplin R, et al. Learning to Count Mosquitoes for the Sterile Insect Technique. Proceedings of the 23rd ACM SIGKDD International Conference on Knowledge Discovery and Data Mining. Halifax, NS, Canada: Association for Comput</w:t>
      </w:r>
      <w:r>
        <w:t>ing Machinery; 2017. p. 1943–9.</w:t>
      </w:r>
    </w:p>
    <w:p w:rsidR="00BA146B" w:rsidRDefault="00B04067">
      <w:pPr>
        <w:pStyle w:val="Bibliography"/>
      </w:pPr>
      <w:bookmarkStart w:id="19" w:name="ref-balestrino12"/>
      <w:bookmarkEnd w:id="18"/>
      <w:r>
        <w:t>7. Balestrino F, Benedict MQ, Gilles JRL. A New Larval Tray and Rack System for Improved Mosquito Mass Rearing. Journal of Medical Entomology. Oxford Academic; 2012;49:595–605.</w:t>
      </w:r>
    </w:p>
    <w:p w:rsidR="00BA146B" w:rsidRDefault="00B04067">
      <w:pPr>
        <w:pStyle w:val="Bibliography"/>
      </w:pPr>
      <w:bookmarkStart w:id="20" w:name="ref-zhang17"/>
      <w:bookmarkEnd w:id="19"/>
      <w:r>
        <w:t>8. Zhang D, Zhang M, Wu Y, Gilles JRL, Yamada H</w:t>
      </w:r>
      <w:r>
        <w:t>, Wu Z, et al. Establishment of a medium-scale mosquito facility: Optimization of the larval mass-rearing unit for Aedes albopictus (Diptera: Culicidae). Parasites &amp; Vectors. 2017;10.</w:t>
      </w:r>
    </w:p>
    <w:p w:rsidR="00BA146B" w:rsidRDefault="00B04067">
      <w:pPr>
        <w:pStyle w:val="Bibliography"/>
      </w:pPr>
      <w:bookmarkStart w:id="21" w:name="ref-kandul19"/>
      <w:bookmarkEnd w:id="20"/>
      <w:r>
        <w:t xml:space="preserve">9. Kandul NP, Liu J, C HMS, Wu SL, Marshall JM, Akbari OS. Transforming </w:t>
      </w:r>
      <w:r>
        <w:t>insect population control with precision guided sterile males with demonstration in flies. Nature Communications. 2019;10:1–2.</w:t>
      </w:r>
    </w:p>
    <w:p w:rsidR="00BA146B" w:rsidRDefault="00B04067">
      <w:pPr>
        <w:pStyle w:val="Heading1"/>
      </w:pPr>
      <w:bookmarkStart w:id="22" w:name="X47ebd4c0cb7a92bfa957e9a9145d48f9e1521c3"/>
      <w:bookmarkEnd w:id="11"/>
      <w:bookmarkEnd w:id="13"/>
      <w:bookmarkEnd w:id="21"/>
      <w:r>
        <w:t>Supplemental Materials Section 1: Code used to infer infrastructure costs</w:t>
      </w:r>
    </w:p>
    <w:p w:rsidR="00BA146B" w:rsidRDefault="00B04067">
      <w:pPr>
        <w:pStyle w:val="FirstParagraph"/>
      </w:pPr>
      <w:r>
        <w:t>Below are two versions of the same code. The first outp</w:t>
      </w:r>
      <w:r>
        <w:t xml:space="preserve">uts an </w:t>
      </w:r>
      <w:r>
        <w:rPr>
          <w:i/>
          <w:iCs/>
        </w:rPr>
        <w:t>.html</w:t>
      </w:r>
      <w:r>
        <w:t xml:space="preserve"> document that will be placed in a folder called </w:t>
      </w:r>
      <w:r>
        <w:rPr>
          <w:i/>
          <w:iCs/>
        </w:rPr>
        <w:t>MosquitoCosts</w:t>
      </w:r>
      <w:r>
        <w:t xml:space="preserve"> on the desktop of your computer. The </w:t>
      </w:r>
      <w:r>
        <w:rPr>
          <w:i/>
          <w:iCs/>
        </w:rPr>
        <w:t>MosquitoCosts</w:t>
      </w:r>
      <w:r>
        <w:t xml:space="preserve"> folder will be automatically generated by the code. The html document produced by this code should open automatically as a tab on </w:t>
      </w:r>
      <w:r>
        <w:t xml:space="preserve">your internet browser. The second version is the same code in the form of a function. The function outputs a table to an Integrated Development Environment </w:t>
      </w:r>
      <w:r>
        <w:lastRenderedPageBreak/>
        <w:t>(IDE) such as [Rstudio], and can be used in R to enable additional modifications and report developm</w:t>
      </w:r>
      <w:r>
        <w:t>ent.</w:t>
      </w:r>
    </w:p>
    <w:p w:rsidR="00BA146B" w:rsidRDefault="00B04067">
      <w:pPr>
        <w:pStyle w:val="Heading2"/>
      </w:pPr>
      <w:bookmarkStart w:id="23" w:name="X107b197caeb86ffb268b1846af2cbd2b6998634"/>
      <w:r>
        <w:t xml:space="preserve">Cost estimator code with HTML table output for </w:t>
      </w:r>
      <w:r>
        <w:rPr>
          <w:i/>
          <w:iCs/>
        </w:rPr>
        <w:t>A. aegypti</w:t>
      </w:r>
      <w:r>
        <w:t xml:space="preserve"> cost calculator</w:t>
      </w:r>
    </w:p>
    <w:p w:rsidR="00BA146B" w:rsidRDefault="00B04067">
      <w:pPr>
        <w:pStyle w:val="SourceCode"/>
      </w:pPr>
      <w:r>
        <w:rPr>
          <w:rStyle w:val="FunctionTok"/>
        </w:rPr>
        <w:t>rm</w:t>
      </w:r>
      <w:r>
        <w:rPr>
          <w:rStyle w:val="NormalTok"/>
        </w:rPr>
        <w:t>(</w:t>
      </w:r>
      <w:r>
        <w:rPr>
          <w:rStyle w:val="AttributeTok"/>
        </w:rPr>
        <w:t>list =</w:t>
      </w:r>
      <w:r>
        <w:rPr>
          <w:rStyle w:val="NormalTok"/>
        </w:rPr>
        <w:t xml:space="preserve"> </w:t>
      </w:r>
      <w:r>
        <w:rPr>
          <w:rStyle w:val="FunctionTok"/>
        </w:rPr>
        <w:t>ls</w:t>
      </w:r>
      <w:r>
        <w:rPr>
          <w:rStyle w:val="NormalTok"/>
        </w:rPr>
        <w:t>())</w:t>
      </w:r>
      <w:r>
        <w:br/>
      </w:r>
      <w:r>
        <w:rPr>
          <w:rStyle w:val="FunctionTok"/>
        </w:rPr>
        <w:t>try</w:t>
      </w:r>
      <w:r>
        <w:rPr>
          <w:rStyle w:val="NormalTok"/>
        </w:rPr>
        <w:t>(</w:t>
      </w:r>
      <w:r>
        <w:rPr>
          <w:rStyle w:val="FunctionTok"/>
        </w:rPr>
        <w:t>graphics.off</w:t>
      </w:r>
      <w:r>
        <w:rPr>
          <w:rStyle w:val="NormalTok"/>
        </w:rPr>
        <w:t>(), T)</w:t>
      </w:r>
      <w:r>
        <w:br/>
      </w:r>
      <w:r>
        <w:rPr>
          <w:rStyle w:val="CommentTok"/>
        </w:rPr>
        <w:t xml:space="preserve"># For further information about this calculator please contact the author at: </w:t>
      </w:r>
      <w:r>
        <w:br/>
      </w:r>
      <w:r>
        <w:rPr>
          <w:rStyle w:val="CommentTok"/>
        </w:rPr>
        <w:t xml:space="preserve">#   </w:t>
      </w:r>
      <w:r>
        <w:br/>
      </w:r>
      <w:r>
        <w:rPr>
          <w:rStyle w:val="CommentTok"/>
        </w:rPr>
        <w:t># Adam E. Vorsino, Ph.D.</w:t>
      </w:r>
      <w:r>
        <w:br/>
      </w:r>
      <w:r>
        <w:rPr>
          <w:rStyle w:val="CommentTok"/>
        </w:rPr>
        <w:t># Strategic Habitat Conservat</w:t>
      </w:r>
      <w:r>
        <w:rPr>
          <w:rStyle w:val="CommentTok"/>
        </w:rPr>
        <w:t>ion Division</w:t>
      </w:r>
      <w:r>
        <w:br/>
      </w:r>
      <w:r>
        <w:rPr>
          <w:rStyle w:val="CommentTok"/>
        </w:rPr>
        <w:t># Pacific Island Fish and Wildlife Office</w:t>
      </w:r>
      <w:r>
        <w:br/>
      </w:r>
      <w:r>
        <w:rPr>
          <w:rStyle w:val="CommentTok"/>
        </w:rPr>
        <w:t># 300 Ala Moana Blvd. Ste. 3-122</w:t>
      </w:r>
      <w:r>
        <w:br/>
      </w:r>
      <w:r>
        <w:rPr>
          <w:rStyle w:val="CommentTok"/>
        </w:rPr>
        <w:t># adam_vorsino@fws.gov</w:t>
      </w:r>
      <w:r>
        <w:br/>
      </w:r>
      <w:r>
        <w:rPr>
          <w:rStyle w:val="CommentTok"/>
        </w:rPr>
        <w:t># (808)792-9431</w:t>
      </w:r>
      <w:r>
        <w:br/>
      </w:r>
      <w:r>
        <w:br/>
      </w:r>
      <w:r>
        <w:br/>
      </w:r>
      <w:r>
        <w:rPr>
          <w:rStyle w:val="CommentTok"/>
        </w:rPr>
        <w:t># Ecology and Biology</w:t>
      </w:r>
      <w:r>
        <w:br/>
      </w:r>
      <w:r>
        <w:rPr>
          <w:rStyle w:val="CommentTok"/>
        </w:rPr>
        <w:t xml:space="preserve"># Verdonschot, Piet F.M., and Anna A. Besse-Lototskaya. âFlight Distance of Mosquitoes (Culicidae): </w:t>
      </w:r>
      <w:r>
        <w:br/>
      </w:r>
      <w:r>
        <w:rPr>
          <w:rStyle w:val="CommentTok"/>
        </w:rPr>
        <w:t xml:space="preserve"># </w:t>
      </w:r>
      <w:r>
        <w:rPr>
          <w:rStyle w:val="CommentTok"/>
        </w:rPr>
        <w:t xml:space="preserve">  A Metadata Analysis to Support the Management of Barrier Zones around Rewetted and Newly </w:t>
      </w:r>
      <w:r>
        <w:br/>
      </w:r>
      <w:r>
        <w:rPr>
          <w:rStyle w:val="CommentTok"/>
        </w:rPr>
        <w:t>#   Constructed Wetlands.â Limnologica 45 (March 2014): 69â79. https://doi.org/10.1016/j.limno.2013.11.002.</w:t>
      </w:r>
      <w:r>
        <w:br/>
      </w:r>
      <w:r>
        <w:rPr>
          <w:rStyle w:val="CommentTok"/>
        </w:rPr>
        <w:t># Aedes Specific Parameters</w:t>
      </w:r>
      <w:r>
        <w:br/>
      </w:r>
      <w:r>
        <w:rPr>
          <w:rStyle w:val="NormalTok"/>
        </w:rPr>
        <w:t xml:space="preserve">  maxRadius </w:t>
      </w:r>
      <w:r>
        <w:rPr>
          <w:rStyle w:val="OtherTok"/>
        </w:rPr>
        <w:t>&lt;-</w:t>
      </w:r>
      <w:r>
        <w:rPr>
          <w:rStyle w:val="NormalTok"/>
        </w:rPr>
        <w:t xml:space="preserve"> </w:t>
      </w:r>
      <w:r>
        <w:rPr>
          <w:rStyle w:val="FunctionTok"/>
        </w:rPr>
        <w:t>seq</w:t>
      </w:r>
      <w:r>
        <w:rPr>
          <w:rStyle w:val="NormalTok"/>
        </w:rPr>
        <w:t>(</w:t>
      </w:r>
      <w:r>
        <w:rPr>
          <w:rStyle w:val="DecValTok"/>
        </w:rPr>
        <w:t>50</w:t>
      </w:r>
      <w:r>
        <w:rPr>
          <w:rStyle w:val="NormalTok"/>
        </w:rPr>
        <w:t xml:space="preserve">, </w:t>
      </w:r>
      <w:r>
        <w:rPr>
          <w:rStyle w:val="DecValTok"/>
        </w:rPr>
        <w:t>400</w:t>
      </w:r>
      <w:r>
        <w:rPr>
          <w:rStyle w:val="NormalTok"/>
        </w:rPr>
        <w:t xml:space="preserve">, </w:t>
      </w:r>
      <w:r>
        <w:rPr>
          <w:rStyle w:val="DecValTok"/>
        </w:rPr>
        <w:t>50</w:t>
      </w:r>
      <w:r>
        <w:rPr>
          <w:rStyle w:val="NormalTok"/>
        </w:rPr>
        <w:t xml:space="preserve">) </w:t>
      </w:r>
      <w:r>
        <w:rPr>
          <w:rStyle w:val="CommentTok"/>
        </w:rPr>
        <w:t># max meters Ae can fly from cite (above) and WHO website https://www.who.int/denguecontrol/mosquito/en/</w:t>
      </w:r>
      <w:r>
        <w:br/>
      </w:r>
      <w:r>
        <w:rPr>
          <w:rStyle w:val="NormalTok"/>
        </w:rPr>
        <w:t xml:space="preserve">  treatmentArea </w:t>
      </w:r>
      <w:r>
        <w:rPr>
          <w:rStyle w:val="OtherTok"/>
        </w:rPr>
        <w:t>&lt;-</w:t>
      </w:r>
      <w:r>
        <w:rPr>
          <w:rStyle w:val="NormalTok"/>
        </w:rPr>
        <w:t xml:space="preserve"> Area </w:t>
      </w:r>
      <w:r>
        <w:rPr>
          <w:rStyle w:val="CommentTok"/>
        </w:rPr>
        <w:t># number of square km (from Lincoln Wells DOH)</w:t>
      </w:r>
      <w:r>
        <w:br/>
      </w:r>
      <w:r>
        <w:rPr>
          <w:rStyle w:val="NormalTok"/>
        </w:rPr>
        <w:t xml:space="preserve">  MaxCollection </w:t>
      </w:r>
      <w:r>
        <w:rPr>
          <w:rStyle w:val="OtherTok"/>
        </w:rPr>
        <w:t>&lt;-</w:t>
      </w:r>
      <w:r>
        <w:rPr>
          <w:rStyle w:val="NormalTok"/>
        </w:rPr>
        <w:t xml:space="preserve"> </w:t>
      </w:r>
      <w:r>
        <w:rPr>
          <w:rStyle w:val="DecValTok"/>
        </w:rPr>
        <w:t>181</w:t>
      </w:r>
      <w:r>
        <w:rPr>
          <w:rStyle w:val="NormalTok"/>
        </w:rPr>
        <w:t xml:space="preserve"> </w:t>
      </w:r>
      <w:r>
        <w:rPr>
          <w:rStyle w:val="CommentTok"/>
        </w:rPr>
        <w:t xml:space="preserve">#Max number collected by BG on HI (from Lincoln </w:t>
      </w:r>
      <w:r>
        <w:rPr>
          <w:rStyle w:val="CommentTok"/>
        </w:rPr>
        <w:t>Wells DOH)</w:t>
      </w:r>
      <w:r>
        <w:br/>
      </w:r>
      <w:r>
        <w:rPr>
          <w:rStyle w:val="NormalTok"/>
        </w:rPr>
        <w:t xml:space="preserve">  MeanCollection </w:t>
      </w:r>
      <w:r>
        <w:rPr>
          <w:rStyle w:val="OtherTok"/>
        </w:rPr>
        <w:t>&lt;-</w:t>
      </w:r>
      <w:r>
        <w:rPr>
          <w:rStyle w:val="NormalTok"/>
        </w:rPr>
        <w:t xml:space="preserve"> </w:t>
      </w:r>
      <w:r>
        <w:rPr>
          <w:rStyle w:val="DecValTok"/>
        </w:rPr>
        <w:t>15</w:t>
      </w:r>
      <w:r>
        <w:rPr>
          <w:rStyle w:val="NormalTok"/>
        </w:rPr>
        <w:t xml:space="preserve"> </w:t>
      </w:r>
      <w:r>
        <w:rPr>
          <w:rStyle w:val="CommentTok"/>
        </w:rPr>
        <w:t># Mean number collected by BG on HI (from Lincoln Wells DOH)</w:t>
      </w:r>
      <w:r>
        <w:br/>
      </w:r>
      <w:r>
        <w:rPr>
          <w:rStyle w:val="NormalTok"/>
        </w:rPr>
        <w:t xml:space="preserve">  MaxDensity1000km2 </w:t>
      </w:r>
      <w:r>
        <w:rPr>
          <w:rStyle w:val="OtherTok"/>
        </w:rPr>
        <w:t>&lt;-</w:t>
      </w:r>
      <w:r>
        <w:rPr>
          <w:rStyle w:val="NormalTok"/>
        </w:rPr>
        <w:t xml:space="preserve"> ((MaxCollection</w:t>
      </w:r>
      <w:r>
        <w:rPr>
          <w:rStyle w:val="SpecialCharTok"/>
        </w:rPr>
        <w:t>/</w:t>
      </w:r>
      <w:r>
        <w:rPr>
          <w:rStyle w:val="NormalTok"/>
        </w:rPr>
        <w:t>(pi</w:t>
      </w:r>
      <w:r>
        <w:rPr>
          <w:rStyle w:val="SpecialCharTok"/>
        </w:rPr>
        <w:t>*</w:t>
      </w:r>
      <w:r>
        <w:rPr>
          <w:rStyle w:val="NormalTok"/>
        </w:rPr>
        <w:t>maxRadius</w:t>
      </w:r>
      <w:r>
        <w:rPr>
          <w:rStyle w:val="SpecialCharTok"/>
        </w:rPr>
        <w:t>^</w:t>
      </w:r>
      <w:r>
        <w:rPr>
          <w:rStyle w:val="DecValTok"/>
        </w:rPr>
        <w:t>2</w:t>
      </w:r>
      <w:r>
        <w:rPr>
          <w:rStyle w:val="NormalTok"/>
        </w:rPr>
        <w:t>))</w:t>
      </w:r>
      <w:r>
        <w:rPr>
          <w:rStyle w:val="SpecialCharTok"/>
        </w:rPr>
        <w:t>*</w:t>
      </w:r>
      <w:r>
        <w:rPr>
          <w:rStyle w:val="DecValTok"/>
        </w:rPr>
        <w:t>1000000</w:t>
      </w:r>
      <w:r>
        <w:rPr>
          <w:rStyle w:val="NormalTok"/>
        </w:rPr>
        <w:t xml:space="preserve">) </w:t>
      </w:r>
      <w:r>
        <w:rPr>
          <w:rStyle w:val="CommentTok"/>
        </w:rPr>
        <w:t>#* tr</w:t>
      </w:r>
      <w:r>
        <w:rPr>
          <w:rStyle w:val="CommentTok"/>
        </w:rPr>
        <w:lastRenderedPageBreak/>
        <w:t>eatmentArea # 1000000m = 1 km^2</w:t>
      </w:r>
      <w:r>
        <w:br/>
      </w:r>
      <w:r>
        <w:rPr>
          <w:rStyle w:val="NormalTok"/>
        </w:rPr>
        <w:t xml:space="preserve">  MeanDensity1000km2</w:t>
      </w:r>
      <w:r>
        <w:rPr>
          <w:rStyle w:val="OtherTok"/>
        </w:rPr>
        <w:t>&lt;-</w:t>
      </w:r>
      <w:r>
        <w:rPr>
          <w:rStyle w:val="NormalTok"/>
        </w:rPr>
        <w:t xml:space="preserve"> ((MeanCollection</w:t>
      </w:r>
      <w:r>
        <w:rPr>
          <w:rStyle w:val="SpecialCharTok"/>
        </w:rPr>
        <w:t>/</w:t>
      </w:r>
      <w:r>
        <w:rPr>
          <w:rStyle w:val="NormalTok"/>
        </w:rPr>
        <w:t>(pi</w:t>
      </w:r>
      <w:r>
        <w:rPr>
          <w:rStyle w:val="SpecialCharTok"/>
        </w:rPr>
        <w:t>*</w:t>
      </w:r>
      <w:r>
        <w:rPr>
          <w:rStyle w:val="NormalTok"/>
        </w:rPr>
        <w:t>maxRadius</w:t>
      </w:r>
      <w:r>
        <w:rPr>
          <w:rStyle w:val="SpecialCharTok"/>
        </w:rPr>
        <w:t>^</w:t>
      </w:r>
      <w:r>
        <w:rPr>
          <w:rStyle w:val="DecValTok"/>
        </w:rPr>
        <w:t>2</w:t>
      </w:r>
      <w:r>
        <w:rPr>
          <w:rStyle w:val="NormalTok"/>
        </w:rPr>
        <w:t>))</w:t>
      </w:r>
      <w:r>
        <w:rPr>
          <w:rStyle w:val="SpecialCharTok"/>
        </w:rPr>
        <w:t>*</w:t>
      </w:r>
      <w:r>
        <w:rPr>
          <w:rStyle w:val="DecValTok"/>
        </w:rPr>
        <w:t>1000000</w:t>
      </w:r>
      <w:r>
        <w:rPr>
          <w:rStyle w:val="NormalTok"/>
        </w:rPr>
        <w:t xml:space="preserve">) </w:t>
      </w:r>
      <w:r>
        <w:rPr>
          <w:rStyle w:val="CommentTok"/>
        </w:rPr>
        <w:t xml:space="preserve">#* treatmentArea </w:t>
      </w:r>
      <w:r>
        <w:br/>
      </w:r>
      <w:r>
        <w:rPr>
          <w:rStyle w:val="NormalTok"/>
        </w:rPr>
        <w:t xml:space="preserve">  </w:t>
      </w:r>
      <w:r>
        <w:br/>
      </w:r>
      <w:r>
        <w:rPr>
          <w:rStyle w:val="NormalTok"/>
        </w:rPr>
        <w:t xml:space="preserve">  Aedes.Mos.Density.km </w:t>
      </w:r>
      <w:r>
        <w:rPr>
          <w:rStyle w:val="OtherTok"/>
        </w:rPr>
        <w:t>&lt;-</w:t>
      </w:r>
      <w:r>
        <w:rPr>
          <w:rStyle w:val="NormalTok"/>
        </w:rPr>
        <w:t xml:space="preserve"> MaxDensity1000km2</w:t>
      </w:r>
      <w:r>
        <w:br/>
      </w:r>
      <w:r>
        <w:rPr>
          <w:rStyle w:val="NormalTok"/>
        </w:rPr>
        <w:t xml:space="preserve">  Aedes.Mos.Sites </w:t>
      </w:r>
      <w:r>
        <w:rPr>
          <w:rStyle w:val="OtherTok"/>
        </w:rPr>
        <w:t>&lt;-</w:t>
      </w:r>
      <w:r>
        <w:rPr>
          <w:rStyle w:val="NormalTok"/>
        </w:rPr>
        <w:t xml:space="preserve"> maxRadius</w:t>
      </w:r>
      <w:r>
        <w:rPr>
          <w:rStyle w:val="CommentTok"/>
        </w:rPr>
        <w:t>#c('Malama Ki','Nanawale',"Bryson's",'Waiakea','Cooper','Crater',"Pu'u")#,'CJR',"Solomon's")</w:t>
      </w:r>
      <w:r>
        <w:br/>
      </w:r>
      <w:r>
        <w:rPr>
          <w:rStyle w:val="NormalTok"/>
        </w:rPr>
        <w:t xml:space="preserve">  Aedes.Elev.m </w:t>
      </w:r>
      <w:r>
        <w:rPr>
          <w:rStyle w:val="OtherTok"/>
        </w:rPr>
        <w:t>&lt;-</w:t>
      </w:r>
      <w:r>
        <w:rPr>
          <w:rStyle w:val="NormalTok"/>
        </w:rPr>
        <w:t xml:space="preserve"> maxRadius</w:t>
      </w:r>
      <w:r>
        <w:rPr>
          <w:rStyle w:val="CommentTok"/>
        </w:rPr>
        <w:t># c(25, 36, 314,    885,    1024</w:t>
      </w:r>
      <w:r>
        <w:rPr>
          <w:rStyle w:val="CommentTok"/>
        </w:rPr>
        <w:t>,   1177,   1247)#, 1678,   1686)</w:t>
      </w:r>
      <w:r>
        <w:br/>
      </w:r>
      <w:r>
        <w:rPr>
          <w:rStyle w:val="NormalTok"/>
        </w:rPr>
        <w:t xml:space="preserve">  Total.Area.ToCntrl.km </w:t>
      </w:r>
      <w:r>
        <w:rPr>
          <w:rStyle w:val="OtherTok"/>
        </w:rPr>
        <w:t>&lt;-</w:t>
      </w:r>
      <w:r>
        <w:rPr>
          <w:rStyle w:val="NormalTok"/>
        </w:rPr>
        <w:t xml:space="preserve"> treatmentArea</w:t>
      </w:r>
      <w:r>
        <w:rPr>
          <w:rStyle w:val="CommentTok"/>
        </w:rPr>
        <w:t>#24# kilometers squared</w:t>
      </w:r>
      <w:r>
        <w:br/>
      </w:r>
      <w:r>
        <w:rPr>
          <w:rStyle w:val="NormalTok"/>
        </w:rPr>
        <w:t xml:space="preserve">  </w:t>
      </w:r>
      <w:r>
        <w:rPr>
          <w:rStyle w:val="CommentTok"/>
        </w:rPr>
        <w:t># FemalePercent &lt;- 70 # Sex ratio</w:t>
      </w:r>
      <w:r>
        <w:br/>
      </w:r>
      <w:r>
        <w:rPr>
          <w:rStyle w:val="NormalTok"/>
        </w:rPr>
        <w:t xml:space="preserve">  </w:t>
      </w:r>
      <w:r>
        <w:rPr>
          <w:rStyle w:val="CommentTok"/>
        </w:rPr>
        <w:t># Overflooding_Multiplier &lt;- 10 # Multiplier to derive the ratio needed for control</w:t>
      </w:r>
      <w:r>
        <w:br/>
      </w:r>
      <w:r>
        <w:rPr>
          <w:rStyle w:val="NormalTok"/>
        </w:rPr>
        <w:t xml:space="preserve">  </w:t>
      </w:r>
      <w:r>
        <w:br/>
      </w:r>
      <w:r>
        <w:rPr>
          <w:rStyle w:val="NormalTok"/>
        </w:rPr>
        <w:t xml:space="preserve">  </w:t>
      </w:r>
      <w:r>
        <w:rPr>
          <w:rStyle w:val="CommentTok"/>
        </w:rPr>
        <w:t># Operations/Supplies Costs</w:t>
      </w:r>
      <w:r>
        <w:br/>
      </w:r>
      <w:r>
        <w:rPr>
          <w:rStyle w:val="NormalTok"/>
        </w:rPr>
        <w:t xml:space="preserve">  Y</w:t>
      </w:r>
      <w:r>
        <w:rPr>
          <w:rStyle w:val="NormalTok"/>
        </w:rPr>
        <w:t xml:space="preserve">ear1.Only.Items </w:t>
      </w:r>
      <w:r>
        <w:rPr>
          <w:rStyle w:val="OtherTok"/>
        </w:rPr>
        <w:t>&lt;-</w:t>
      </w:r>
      <w:r>
        <w:rPr>
          <w:rStyle w:val="NormalTok"/>
        </w:rPr>
        <w:t xml:space="preserve"> </w:t>
      </w:r>
      <w:r>
        <w:rPr>
          <w:rStyle w:val="FunctionTok"/>
        </w:rPr>
        <w:t>c</w:t>
      </w:r>
      <w:r>
        <w:rPr>
          <w:rStyle w:val="NormalTok"/>
        </w:rPr>
        <w:t>(</w:t>
      </w:r>
      <w:r>
        <w:rPr>
          <w:rStyle w:val="StringTok"/>
        </w:rPr>
        <w:t>'Iradiator'</w:t>
      </w:r>
      <w:r>
        <w:rPr>
          <w:rStyle w:val="NormalTok"/>
        </w:rPr>
        <w:t xml:space="preserve">, </w:t>
      </w:r>
      <w:r>
        <w:rPr>
          <w:rStyle w:val="StringTok"/>
        </w:rPr>
        <w:t>'Mosquito.Sex.Sorters (6)'</w:t>
      </w:r>
      <w:r>
        <w:rPr>
          <w:rStyle w:val="NormalTok"/>
        </w:rPr>
        <w:t xml:space="preserve">, </w:t>
      </w:r>
      <w:r>
        <w:rPr>
          <w:rStyle w:val="StringTok"/>
        </w:rPr>
        <w:t>'larvae Rearing Units (5)'</w:t>
      </w:r>
      <w:r>
        <w:rPr>
          <w:rStyle w:val="NormalTok"/>
        </w:rPr>
        <w:t>,</w:t>
      </w:r>
      <w:r>
        <w:br/>
      </w:r>
      <w:r>
        <w:rPr>
          <w:rStyle w:val="NormalTok"/>
        </w:rPr>
        <w:t xml:space="preserve">                        </w:t>
      </w:r>
      <w:r>
        <w:rPr>
          <w:rStyle w:val="StringTok"/>
        </w:rPr>
        <w:t>'adult cages (100)'</w:t>
      </w:r>
      <w:r>
        <w:rPr>
          <w:rStyle w:val="NormalTok"/>
        </w:rPr>
        <w:t xml:space="preserve">, </w:t>
      </w:r>
      <w:r>
        <w:rPr>
          <w:rStyle w:val="StringTok"/>
        </w:rPr>
        <w:t>'ovitraps (300)'</w:t>
      </w:r>
      <w:r>
        <w:rPr>
          <w:rStyle w:val="NormalTok"/>
        </w:rPr>
        <w:t xml:space="preserve">, </w:t>
      </w:r>
      <w:r>
        <w:rPr>
          <w:rStyle w:val="StringTok"/>
        </w:rPr>
        <w:t>'BG traps (50)'</w:t>
      </w:r>
      <w:r>
        <w:rPr>
          <w:rStyle w:val="NormalTok"/>
        </w:rPr>
        <w:t xml:space="preserve">, </w:t>
      </w:r>
      <w:r>
        <w:rPr>
          <w:rStyle w:val="StringTok"/>
        </w:rPr>
        <w:t>'PCR Machine'</w:t>
      </w:r>
      <w:r>
        <w:rPr>
          <w:rStyle w:val="NormalTok"/>
        </w:rPr>
        <w:t>)</w:t>
      </w:r>
      <w:r>
        <w:rPr>
          <w:rStyle w:val="CommentTok"/>
        </w:rPr>
        <w:t xml:space="preserve">#, 'modulare office (60x24ft)') </w:t>
      </w:r>
      <w:r>
        <w:br/>
      </w:r>
      <w:r>
        <w:rPr>
          <w:rStyle w:val="NormalTok"/>
        </w:rPr>
        <w:t xml:space="preserve">  Year1.Only.Costs </w:t>
      </w:r>
      <w:r>
        <w:rPr>
          <w:rStyle w:val="OtherTok"/>
        </w:rPr>
        <w:t>&lt;-</w:t>
      </w:r>
      <w:r>
        <w:rPr>
          <w:rStyle w:val="NormalTok"/>
        </w:rPr>
        <w:t xml:space="preserve"> </w:t>
      </w:r>
      <w:r>
        <w:rPr>
          <w:rStyle w:val="FunctionTok"/>
        </w:rPr>
        <w:t>c</w:t>
      </w:r>
      <w:r>
        <w:rPr>
          <w:rStyle w:val="NormalTok"/>
        </w:rPr>
        <w:t xml:space="preserve">(Irradiator, </w:t>
      </w:r>
      <w:r>
        <w:rPr>
          <w:rStyle w:val="DecValTok"/>
        </w:rPr>
        <w:t>6900</w:t>
      </w:r>
      <w:r>
        <w:rPr>
          <w:rStyle w:val="NormalTok"/>
        </w:rPr>
        <w:t xml:space="preserve">, </w:t>
      </w:r>
      <w:r>
        <w:rPr>
          <w:rStyle w:val="DecValTok"/>
        </w:rPr>
        <w:t>134500</w:t>
      </w:r>
      <w:r>
        <w:rPr>
          <w:rStyle w:val="NormalTok"/>
        </w:rPr>
        <w:t xml:space="preserve">, </w:t>
      </w:r>
      <w:r>
        <w:rPr>
          <w:rStyle w:val="DecValTok"/>
        </w:rPr>
        <w:t>11040</w:t>
      </w:r>
      <w:r>
        <w:rPr>
          <w:rStyle w:val="NormalTok"/>
        </w:rPr>
        <w:t xml:space="preserve">, </w:t>
      </w:r>
      <w:r>
        <w:rPr>
          <w:rStyle w:val="DecValTok"/>
        </w:rPr>
        <w:t>2400</w:t>
      </w:r>
      <w:r>
        <w:rPr>
          <w:rStyle w:val="NormalTok"/>
        </w:rPr>
        <w:t xml:space="preserve">, </w:t>
      </w:r>
      <w:r>
        <w:rPr>
          <w:rStyle w:val="DecValTok"/>
        </w:rPr>
        <w:t>7500</w:t>
      </w:r>
      <w:r>
        <w:rPr>
          <w:rStyle w:val="NormalTok"/>
        </w:rPr>
        <w:t xml:space="preserve">, </w:t>
      </w:r>
      <w:r>
        <w:rPr>
          <w:rStyle w:val="DecValTok"/>
        </w:rPr>
        <w:t>47000</w:t>
      </w:r>
      <w:r>
        <w:rPr>
          <w:rStyle w:val="NormalTok"/>
        </w:rPr>
        <w:t>)</w:t>
      </w:r>
      <w:r>
        <w:rPr>
          <w:rStyle w:val="CommentTok"/>
        </w:rPr>
        <w:t>#, 40000)</w:t>
      </w:r>
      <w:r>
        <w:br/>
      </w:r>
      <w:r>
        <w:rPr>
          <w:rStyle w:val="NormalTok"/>
        </w:rPr>
        <w:t xml:space="preserve">  </w:t>
      </w:r>
      <w:r>
        <w:br/>
      </w:r>
      <w:r>
        <w:rPr>
          <w:rStyle w:val="NormalTok"/>
        </w:rPr>
        <w:t xml:space="preserve">  </w:t>
      </w:r>
      <w:r>
        <w:rPr>
          <w:rStyle w:val="CommentTok"/>
        </w:rPr>
        <w:t># Office Space &lt;- #, 'modulare office (60x24ft)' can be split with $800/month utilities</w:t>
      </w:r>
      <w:r>
        <w:br/>
      </w:r>
      <w:r>
        <w:rPr>
          <w:rStyle w:val="NormalTok"/>
        </w:rPr>
        <w:t xml:space="preserve">  </w:t>
      </w:r>
      <w:r>
        <w:rPr>
          <w:rStyle w:val="CommentTok"/>
        </w:rPr>
        <w:t># https://www.willscot.com/mobile-offices/modular-complexes/60-x-24-Modular-Office</w:t>
      </w:r>
      <w:r>
        <w:br/>
      </w:r>
      <w:r>
        <w:rPr>
          <w:rStyle w:val="NormalTok"/>
        </w:rPr>
        <w:t xml:space="preserve">  </w:t>
      </w:r>
      <w:r>
        <w:rPr>
          <w:rStyle w:val="CommentTok"/>
        </w:rPr>
        <w:t># or</w:t>
      </w:r>
      <w:r>
        <w:br/>
      </w:r>
      <w:r>
        <w:rPr>
          <w:rStyle w:val="NormalTok"/>
        </w:rPr>
        <w:t xml:space="preserve">  </w:t>
      </w:r>
      <w:r>
        <w:rPr>
          <w:rStyle w:val="CommentTok"/>
        </w:rPr>
        <w:t># https://www.willsc</w:t>
      </w:r>
      <w:r>
        <w:rPr>
          <w:rStyle w:val="CommentTok"/>
        </w:rPr>
        <w:t>ot.com/FLEX</w:t>
      </w:r>
      <w:r>
        <w:br/>
      </w:r>
      <w:r>
        <w:rPr>
          <w:rStyle w:val="NormalTok"/>
        </w:rPr>
        <w:t xml:space="preserve">  Electricity </w:t>
      </w:r>
      <w:r>
        <w:rPr>
          <w:rStyle w:val="OtherTok"/>
        </w:rPr>
        <w:t>&lt;-</w:t>
      </w:r>
      <w:r>
        <w:rPr>
          <w:rStyle w:val="NormalTok"/>
        </w:rPr>
        <w:t xml:space="preserve"> </w:t>
      </w:r>
      <w:r>
        <w:rPr>
          <w:rStyle w:val="DecValTok"/>
        </w:rPr>
        <w:t>2000</w:t>
      </w:r>
      <w:r>
        <w:rPr>
          <w:rStyle w:val="NormalTok"/>
        </w:rPr>
        <w:t xml:space="preserve"> </w:t>
      </w:r>
      <w:r>
        <w:rPr>
          <w:rStyle w:val="SpecialCharTok"/>
        </w:rPr>
        <w:t>*</w:t>
      </w:r>
      <w:r>
        <w:rPr>
          <w:rStyle w:val="NormalTok"/>
        </w:rPr>
        <w:t xml:space="preserve"> </w:t>
      </w:r>
      <w:r>
        <w:rPr>
          <w:rStyle w:val="DecValTok"/>
        </w:rPr>
        <w:t>12</w:t>
      </w:r>
      <w:r>
        <w:br/>
      </w:r>
      <w:r>
        <w:rPr>
          <w:rStyle w:val="NormalTok"/>
        </w:rPr>
        <w:t xml:space="preserve">  </w:t>
      </w:r>
      <w:r>
        <w:rPr>
          <w:rStyle w:val="CommentTok"/>
        </w:rPr>
        <w:t># From Dr. Zhiyong Xi:</w:t>
      </w:r>
      <w:r>
        <w:br/>
      </w:r>
      <w:r>
        <w:rPr>
          <w:rStyle w:val="NormalTok"/>
        </w:rPr>
        <w:t xml:space="preserve">  </w:t>
      </w:r>
      <w:r>
        <w:rPr>
          <w:rStyle w:val="CommentTok"/>
        </w:rPr>
        <w:t># "Normally I would suggest starting with a space 300-500 m2 and targeting for producing 1 million males per week (see the attached PPT that I used for IAEA meeting last year). It would make</w:t>
      </w:r>
      <w:r>
        <w:rPr>
          <w:rStyle w:val="CommentTok"/>
        </w:rPr>
        <w:t xml:space="preserve"> too costly and not f</w:t>
      </w:r>
      <w:r>
        <w:rPr>
          <w:rStyle w:val="CommentTok"/>
        </w:rPr>
        <w:lastRenderedPageBreak/>
        <w:t>easible if the production scale is low (e.g, 100-200k) as you will still need space for adult, larvae rearing, sex separation, irradiator, adult package and quality control. In another word, you may not save too much space with a low p</w:t>
      </w:r>
      <w:r>
        <w:rPr>
          <w:rStyle w:val="CommentTok"/>
        </w:rPr>
        <w:t>roduction scale. Thus, when you mention “to house 1 rearing unit associated staff etc., a facility would need at minimum a 12x30 foot laboratory space”, I am afraid this space is not enough for you to produce this amount. I think a minimum size of mass rea</w:t>
      </w:r>
      <w:r>
        <w:rPr>
          <w:rStyle w:val="CommentTok"/>
        </w:rPr>
        <w:t>ring facility would need two mobile 24x60 foot laboratories, which should be able to produce 500k to 1 million males per week (or even more if system optimized)..."</w:t>
      </w:r>
      <w:r>
        <w:br/>
      </w:r>
      <w:r>
        <w:rPr>
          <w:rStyle w:val="NormalTok"/>
        </w:rPr>
        <w:t xml:space="preserve">  </w:t>
      </w:r>
      <w:r>
        <w:rPr>
          <w:rStyle w:val="CommentTok"/>
        </w:rPr>
        <w:t xml:space="preserve"># LaboratorySpace &lt;- 800 * median(c((171000/((72*60)* 0.092903)), </w:t>
      </w:r>
      <w:r>
        <w:br/>
      </w:r>
      <w:r>
        <w:rPr>
          <w:rStyle w:val="NormalTok"/>
        </w:rPr>
        <w:t xml:space="preserve">  </w:t>
      </w:r>
      <w:r>
        <w:rPr>
          <w:rStyle w:val="CommentTok"/>
        </w:rPr>
        <w:t xml:space="preserve">#                   </w:t>
      </w:r>
      <w:r>
        <w:rPr>
          <w:rStyle w:val="CommentTok"/>
        </w:rPr>
        <w:t xml:space="preserve">                (150000/((60*60)* 0.092903)), </w:t>
      </w:r>
      <w:r>
        <w:br/>
      </w:r>
      <w:r>
        <w:rPr>
          <w:rStyle w:val="NormalTok"/>
        </w:rPr>
        <w:t xml:space="preserve">  </w:t>
      </w:r>
      <w:r>
        <w:rPr>
          <w:rStyle w:val="CommentTok"/>
        </w:rPr>
        <w:t>#                                   (180000/((60*48)* 0.092903))))</w:t>
      </w:r>
      <w:r>
        <w:br/>
      </w:r>
      <w:r>
        <w:rPr>
          <w:rStyle w:val="NormalTok"/>
        </w:rPr>
        <w:t xml:space="preserve">  </w:t>
      </w:r>
      <w:r>
        <w:br/>
      </w:r>
      <w:r>
        <w:rPr>
          <w:rStyle w:val="NormalTok"/>
        </w:rPr>
        <w:t xml:space="preserve">  </w:t>
      </w:r>
      <w:r>
        <w:rPr>
          <w:rStyle w:val="CommentTok"/>
        </w:rPr>
        <w:t># Personel Costs</w:t>
      </w:r>
      <w:r>
        <w:br/>
      </w:r>
      <w:r>
        <w:rPr>
          <w:rStyle w:val="NormalTok"/>
        </w:rPr>
        <w:t xml:space="preserve">  Personel.Des </w:t>
      </w:r>
      <w:r>
        <w:rPr>
          <w:rStyle w:val="OtherTok"/>
        </w:rPr>
        <w:t>&lt;-</w:t>
      </w:r>
      <w:r>
        <w:rPr>
          <w:rStyle w:val="NormalTok"/>
        </w:rPr>
        <w:t xml:space="preserve"> </w:t>
      </w:r>
      <w:r>
        <w:rPr>
          <w:rStyle w:val="FunctionTok"/>
        </w:rPr>
        <w:t>c</w:t>
      </w:r>
      <w:r>
        <w:rPr>
          <w:rStyle w:val="NormalTok"/>
        </w:rPr>
        <w:t>(</w:t>
      </w:r>
      <w:r>
        <w:rPr>
          <w:rStyle w:val="StringTok"/>
        </w:rPr>
        <w:t>'Mass Rearing'</w:t>
      </w:r>
      <w:r>
        <w:rPr>
          <w:rStyle w:val="NormalTok"/>
        </w:rPr>
        <w:t xml:space="preserve">, </w:t>
      </w:r>
      <w:r>
        <w:rPr>
          <w:rStyle w:val="StringTok"/>
        </w:rPr>
        <w:t>'Quality Control'</w:t>
      </w:r>
      <w:r>
        <w:rPr>
          <w:rStyle w:val="NormalTok"/>
        </w:rPr>
        <w:t>)</w:t>
      </w:r>
      <w:r>
        <w:rPr>
          <w:rStyle w:val="CommentTok"/>
        </w:rPr>
        <w:t>#, 'Feild Release', 'Community Education')</w:t>
      </w:r>
      <w:r>
        <w:br/>
      </w:r>
      <w:r>
        <w:rPr>
          <w:rStyle w:val="NormalTok"/>
        </w:rPr>
        <w:t xml:space="preserve">  Wage.Mass.Rearing </w:t>
      </w:r>
      <w:r>
        <w:rPr>
          <w:rStyle w:val="OtherTok"/>
        </w:rPr>
        <w:t>&lt;-</w:t>
      </w:r>
      <w:r>
        <w:rPr>
          <w:rStyle w:val="NormalTok"/>
        </w:rPr>
        <w:t xml:space="preserve"> </w:t>
      </w:r>
      <w:r>
        <w:rPr>
          <w:rStyle w:val="DecValTok"/>
        </w:rPr>
        <w:t>15</w:t>
      </w:r>
      <w:r>
        <w:rPr>
          <w:rStyle w:val="NormalTok"/>
        </w:rPr>
        <w:t xml:space="preserve"> </w:t>
      </w:r>
      <w:r>
        <w:rPr>
          <w:rStyle w:val="CommentTok"/>
        </w:rPr>
        <w:t>#15 dollars/hour</w:t>
      </w:r>
      <w:r>
        <w:br/>
      </w:r>
      <w:r>
        <w:rPr>
          <w:rStyle w:val="NormalTok"/>
        </w:rPr>
        <w:t xml:space="preserve">  Wage.Quality.Control </w:t>
      </w:r>
      <w:r>
        <w:rPr>
          <w:rStyle w:val="OtherTok"/>
        </w:rPr>
        <w:t>&lt;-</w:t>
      </w:r>
      <w:r>
        <w:rPr>
          <w:rStyle w:val="NormalTok"/>
        </w:rPr>
        <w:t xml:space="preserve"> </w:t>
      </w:r>
      <w:r>
        <w:rPr>
          <w:rStyle w:val="DecValTok"/>
        </w:rPr>
        <w:t>17</w:t>
      </w:r>
      <w:r>
        <w:rPr>
          <w:rStyle w:val="NormalTok"/>
        </w:rPr>
        <w:t xml:space="preserve"> </w:t>
      </w:r>
      <w:r>
        <w:rPr>
          <w:rStyle w:val="CommentTok"/>
        </w:rPr>
        <w:t>#17 dollars/hour</w:t>
      </w:r>
      <w:r>
        <w:br/>
      </w:r>
      <w:r>
        <w:rPr>
          <w:rStyle w:val="NormalTok"/>
        </w:rPr>
        <w:t xml:space="preserve">  HoursPerYear </w:t>
      </w:r>
      <w:r>
        <w:rPr>
          <w:rStyle w:val="OtherTok"/>
        </w:rPr>
        <w:t>&lt;-</w:t>
      </w:r>
      <w:r>
        <w:rPr>
          <w:rStyle w:val="NormalTok"/>
        </w:rPr>
        <w:t xml:space="preserve"> </w:t>
      </w:r>
      <w:r>
        <w:rPr>
          <w:rStyle w:val="DecValTok"/>
        </w:rPr>
        <w:t>260</w:t>
      </w:r>
      <w:r>
        <w:rPr>
          <w:rStyle w:val="NormalTok"/>
        </w:rPr>
        <w:t xml:space="preserve"> </w:t>
      </w:r>
      <w:r>
        <w:rPr>
          <w:rStyle w:val="SpecialCharTok"/>
        </w:rPr>
        <w:t>*</w:t>
      </w:r>
      <w:r>
        <w:rPr>
          <w:rStyle w:val="NormalTok"/>
        </w:rPr>
        <w:t xml:space="preserve"> </w:t>
      </w:r>
      <w:r>
        <w:rPr>
          <w:rStyle w:val="DecValTok"/>
        </w:rPr>
        <w:t>8</w:t>
      </w:r>
      <w:r>
        <w:rPr>
          <w:rStyle w:val="NormalTok"/>
        </w:rPr>
        <w:t xml:space="preserve"> </w:t>
      </w:r>
      <w:r>
        <w:rPr>
          <w:rStyle w:val="CommentTok"/>
        </w:rPr>
        <w:t># 260 is 52 weeks/year 5 days/week * 8 hours per day</w:t>
      </w:r>
      <w:r>
        <w:br/>
      </w:r>
      <w:r>
        <w:rPr>
          <w:rStyle w:val="NormalTok"/>
        </w:rPr>
        <w:t xml:space="preserve">  </w:t>
      </w:r>
      <w:r>
        <w:rPr>
          <w:rStyle w:val="CommentTok"/>
        </w:rPr>
        <w:t># RCUH fringe is set at 61.56% for 2018 see:</w:t>
      </w:r>
      <w:r>
        <w:br/>
      </w:r>
      <w:r>
        <w:rPr>
          <w:rStyle w:val="NormalTok"/>
        </w:rPr>
        <w:t xml:space="preserve">  </w:t>
      </w:r>
      <w:r>
        <w:rPr>
          <w:rStyle w:val="CommentTok"/>
        </w:rPr>
        <w:t># http://www.ors.hawaii.edu/index.php/apply/budget-developm</w:t>
      </w:r>
      <w:r>
        <w:rPr>
          <w:rStyle w:val="CommentTok"/>
        </w:rPr>
        <w:t>ent/fringe-benefit-rates</w:t>
      </w:r>
      <w:r>
        <w:br/>
      </w:r>
      <w:r>
        <w:rPr>
          <w:rStyle w:val="NormalTok"/>
        </w:rPr>
        <w:t xml:space="preserve">  Fringe </w:t>
      </w:r>
      <w:r>
        <w:rPr>
          <w:rStyle w:val="OtherTok"/>
        </w:rPr>
        <w:t>&lt;-</w:t>
      </w:r>
      <w:r>
        <w:rPr>
          <w:rStyle w:val="NormalTok"/>
        </w:rPr>
        <w:t xml:space="preserve"> </w:t>
      </w:r>
      <w:r>
        <w:rPr>
          <w:rStyle w:val="FloatTok"/>
        </w:rPr>
        <w:t>0.6156</w:t>
      </w:r>
      <w:r>
        <w:br/>
      </w:r>
      <w:r>
        <w:rPr>
          <w:rStyle w:val="NormalTok"/>
        </w:rPr>
        <w:t xml:space="preserve">  </w:t>
      </w:r>
      <w:r>
        <w:br/>
      </w:r>
      <w:r>
        <w:rPr>
          <w:rStyle w:val="NormalTok"/>
        </w:rPr>
        <w:t xml:space="preserve">  </w:t>
      </w:r>
      <w:r>
        <w:rPr>
          <w:rStyle w:val="CommentTok"/>
        </w:rPr>
        <w:t># Misc Costs</w:t>
      </w:r>
      <w:r>
        <w:br/>
      </w:r>
      <w:r>
        <w:rPr>
          <w:rStyle w:val="NormalTok"/>
        </w:rPr>
        <w:t xml:space="preserve">  AllOtherYear.Items </w:t>
      </w:r>
      <w:r>
        <w:rPr>
          <w:rStyle w:val="OtherTok"/>
        </w:rPr>
        <w:t>&lt;-</w:t>
      </w:r>
      <w:r>
        <w:rPr>
          <w:rStyle w:val="NormalTok"/>
        </w:rPr>
        <w:t xml:space="preserve"> </w:t>
      </w:r>
      <w:r>
        <w:rPr>
          <w:rStyle w:val="StringTok"/>
        </w:rPr>
        <w:t>'Misc PCR/Lab/Feild Supplies'</w:t>
      </w:r>
      <w:r>
        <w:br/>
      </w:r>
      <w:r>
        <w:rPr>
          <w:rStyle w:val="NormalTok"/>
        </w:rPr>
        <w:t xml:space="preserve">  AllOtherYear.Costs </w:t>
      </w:r>
      <w:r>
        <w:rPr>
          <w:rStyle w:val="OtherTok"/>
        </w:rPr>
        <w:t>&lt;-</w:t>
      </w:r>
      <w:r>
        <w:rPr>
          <w:rStyle w:val="NormalTok"/>
        </w:rPr>
        <w:t xml:space="preserve"> </w:t>
      </w:r>
      <w:r>
        <w:rPr>
          <w:rStyle w:val="DecValTok"/>
        </w:rPr>
        <w:t>30000</w:t>
      </w:r>
      <w:r>
        <w:rPr>
          <w:rStyle w:val="NormalTok"/>
        </w:rPr>
        <w:t xml:space="preserve"> </w:t>
      </w:r>
      <w:r>
        <w:rPr>
          <w:rStyle w:val="CommentTok"/>
        </w:rPr>
        <w:t># ensureing that it only changes for every 0.5 increment</w:t>
      </w:r>
      <w:r>
        <w:br/>
      </w:r>
      <w:r>
        <w:rPr>
          <w:rStyle w:val="NormalTok"/>
        </w:rPr>
        <w:t xml:space="preserve">  </w:t>
      </w:r>
      <w:r>
        <w:br/>
      </w:r>
      <w:r>
        <w:rPr>
          <w:rStyle w:val="NormalTok"/>
        </w:rPr>
        <w:t xml:space="preserve">  </w:t>
      </w:r>
      <w:r>
        <w:rPr>
          <w:rStyle w:val="DocumentationTok"/>
        </w:rPr>
        <w:t>################################################</w:t>
      </w:r>
      <w:r>
        <w:rPr>
          <w:rStyle w:val="DocumentationTok"/>
        </w:rPr>
        <w:t>##################################</w:t>
      </w:r>
      <w:r>
        <w:br/>
      </w:r>
      <w:r>
        <w:rPr>
          <w:rStyle w:val="NormalTok"/>
        </w:rPr>
        <w:lastRenderedPageBreak/>
        <w:t xml:space="preserve">  </w:t>
      </w:r>
      <w:r>
        <w:rPr>
          <w:rStyle w:val="DocumentationTok"/>
        </w:rPr>
        <w:t>###########DO NOT MODIFY PAST THIS SECTION########################################</w:t>
      </w:r>
      <w:r>
        <w:br/>
      </w:r>
      <w:r>
        <w:rPr>
          <w:rStyle w:val="NormalTok"/>
        </w:rPr>
        <w:t xml:space="preserve">  </w:t>
      </w:r>
      <w:r>
        <w:rPr>
          <w:rStyle w:val="DocumentationTok"/>
        </w:rPr>
        <w:t>##################################################################################</w:t>
      </w:r>
      <w:r>
        <w:br/>
      </w:r>
      <w:r>
        <w:rPr>
          <w:rStyle w:val="NormalTok"/>
        </w:rPr>
        <w:t xml:space="preserve">  </w:t>
      </w:r>
      <w:r>
        <w:br/>
      </w:r>
      <w:r>
        <w:rPr>
          <w:rStyle w:val="NormalTok"/>
        </w:rPr>
        <w:t xml:space="preserve">  pckgs </w:t>
      </w:r>
      <w:r>
        <w:rPr>
          <w:rStyle w:val="OtherTok"/>
        </w:rPr>
        <w:t>&lt;-</w:t>
      </w:r>
      <w:r>
        <w:rPr>
          <w:rStyle w:val="NormalTok"/>
        </w:rPr>
        <w:t xml:space="preserve"> </w:t>
      </w:r>
      <w:r>
        <w:rPr>
          <w:rStyle w:val="FunctionTok"/>
        </w:rPr>
        <w:t>c</w:t>
      </w:r>
      <w:r>
        <w:rPr>
          <w:rStyle w:val="NormalTok"/>
        </w:rPr>
        <w:t>(</w:t>
      </w:r>
      <w:r>
        <w:rPr>
          <w:rStyle w:val="StringTok"/>
        </w:rPr>
        <w:t>'stringr'</w:t>
      </w:r>
      <w:r>
        <w:rPr>
          <w:rStyle w:val="NormalTok"/>
        </w:rPr>
        <w:t xml:space="preserve">, </w:t>
      </w:r>
      <w:r>
        <w:rPr>
          <w:rStyle w:val="StringTok"/>
        </w:rPr>
        <w:t>'kableExtra'</w:t>
      </w:r>
      <w:r>
        <w:rPr>
          <w:rStyle w:val="NormalTok"/>
        </w:rPr>
        <w:t xml:space="preserve">, </w:t>
      </w:r>
      <w:r>
        <w:rPr>
          <w:rStyle w:val="StringTok"/>
        </w:rPr>
        <w:t>'Hmisc'</w:t>
      </w:r>
      <w:r>
        <w:rPr>
          <w:rStyle w:val="NormalTok"/>
        </w:rPr>
        <w:t xml:space="preserve">, </w:t>
      </w:r>
      <w:r>
        <w:rPr>
          <w:rStyle w:val="StringTok"/>
        </w:rPr>
        <w:t>'</w:t>
      </w:r>
      <w:r>
        <w:rPr>
          <w:rStyle w:val="StringTok"/>
        </w:rPr>
        <w:t>formattable'</w:t>
      </w:r>
      <w:r>
        <w:rPr>
          <w:rStyle w:val="NormalTok"/>
        </w:rPr>
        <w:t xml:space="preserve">, </w:t>
      </w:r>
      <w:r>
        <w:rPr>
          <w:rStyle w:val="StringTok"/>
        </w:rPr>
        <w:t>'flextable'</w:t>
      </w:r>
      <w:r>
        <w:rPr>
          <w:rStyle w:val="NormalTok"/>
        </w:rPr>
        <w:t>)</w:t>
      </w:r>
      <w:r>
        <w:br/>
      </w:r>
      <w:r>
        <w:rPr>
          <w:rStyle w:val="NormalTok"/>
        </w:rPr>
        <w:t xml:space="preserve">  </w:t>
      </w:r>
      <w:r>
        <w:br/>
      </w:r>
      <w:r>
        <w:rPr>
          <w:rStyle w:val="NormalTok"/>
        </w:rPr>
        <w:t xml:space="preserve">  </w:t>
      </w:r>
      <w:r>
        <w:rPr>
          <w:rStyle w:val="ControlFlowTok"/>
        </w:rPr>
        <w:t>for</w:t>
      </w:r>
      <w:r>
        <w:rPr>
          <w:rStyle w:val="NormalTok"/>
        </w:rPr>
        <w:t xml:space="preserve">(pck </w:t>
      </w:r>
      <w:r>
        <w:rPr>
          <w:rStyle w:val="ControlFlowTok"/>
        </w:rPr>
        <w:t>in</w:t>
      </w:r>
      <w:r>
        <w:rPr>
          <w:rStyle w:val="NormalTok"/>
        </w:rPr>
        <w:t xml:space="preserve"> pckgs){</w:t>
      </w:r>
      <w:r>
        <w:br/>
      </w:r>
      <w:r>
        <w:rPr>
          <w:rStyle w:val="NormalTok"/>
        </w:rPr>
        <w:t xml:space="preserve">    </w:t>
      </w:r>
      <w:r>
        <w:rPr>
          <w:rStyle w:val="ControlFlowTok"/>
        </w:rPr>
        <w:t>if</w:t>
      </w:r>
      <w:r>
        <w:rPr>
          <w:rStyle w:val="NormalTok"/>
        </w:rPr>
        <w:t xml:space="preserve"> ((</w:t>
      </w:r>
      <w:r>
        <w:rPr>
          <w:rStyle w:val="FunctionTok"/>
        </w:rPr>
        <w:t>is.na</w:t>
      </w:r>
      <w:r>
        <w:rPr>
          <w:rStyle w:val="NormalTok"/>
        </w:rPr>
        <w:t>(</w:t>
      </w:r>
      <w:r>
        <w:rPr>
          <w:rStyle w:val="FunctionTok"/>
        </w:rPr>
        <w:t>installed.packages</w:t>
      </w:r>
      <w:r>
        <w:rPr>
          <w:rStyle w:val="NormalTok"/>
        </w:rPr>
        <w:t>()[,</w:t>
      </w:r>
      <w:r>
        <w:rPr>
          <w:rStyle w:val="StringTok"/>
        </w:rPr>
        <w:t>"Package"</w:t>
      </w:r>
      <w:r>
        <w:rPr>
          <w:rStyle w:val="NormalTok"/>
        </w:rPr>
        <w:t>][pck]))</w:t>
      </w:r>
      <w:r>
        <w:rPr>
          <w:rStyle w:val="SpecialCharTok"/>
        </w:rPr>
        <w:t>==</w:t>
      </w:r>
      <w:r>
        <w:rPr>
          <w:rStyle w:val="NormalTok"/>
        </w:rPr>
        <w:t>T){</w:t>
      </w:r>
      <w:r>
        <w:br/>
      </w:r>
      <w:r>
        <w:rPr>
          <w:rStyle w:val="NormalTok"/>
        </w:rPr>
        <w:t xml:space="preserve">      </w:t>
      </w:r>
      <w:r>
        <w:rPr>
          <w:rStyle w:val="FunctionTok"/>
        </w:rPr>
        <w:t>install.packages</w:t>
      </w:r>
      <w:r>
        <w:rPr>
          <w:rStyle w:val="NormalTok"/>
        </w:rPr>
        <w:t xml:space="preserve">(pck, </w:t>
      </w:r>
      <w:r>
        <w:rPr>
          <w:rStyle w:val="AttributeTok"/>
        </w:rPr>
        <w:t>dependencies =</w:t>
      </w:r>
      <w:r>
        <w:rPr>
          <w:rStyle w:val="NormalTok"/>
        </w:rPr>
        <w:t xml:space="preserve"> T)</w:t>
      </w:r>
      <w:r>
        <w:br/>
      </w:r>
      <w:r>
        <w:rPr>
          <w:rStyle w:val="NormalTok"/>
        </w:rPr>
        <w:t xml:space="preserve">    }</w:t>
      </w:r>
      <w:r>
        <w:br/>
      </w:r>
      <w:r>
        <w:rPr>
          <w:rStyle w:val="NormalTok"/>
        </w:rPr>
        <w:t xml:space="preserve">    </w:t>
      </w:r>
      <w:r>
        <w:rPr>
          <w:rStyle w:val="FunctionTok"/>
        </w:rPr>
        <w:t>library</w:t>
      </w:r>
      <w:r>
        <w:rPr>
          <w:rStyle w:val="NormalTok"/>
        </w:rPr>
        <w:t>(pck,</w:t>
      </w:r>
      <w:r>
        <w:rPr>
          <w:rStyle w:val="AttributeTok"/>
        </w:rPr>
        <w:t>character.only =</w:t>
      </w:r>
      <w:r>
        <w:rPr>
          <w:rStyle w:val="NormalTok"/>
        </w:rPr>
        <w:t xml:space="preserve"> T)</w:t>
      </w:r>
      <w:r>
        <w:br/>
      </w:r>
      <w:r>
        <w:rPr>
          <w:rStyle w:val="NormalTok"/>
        </w:rPr>
        <w:t xml:space="preserve">    </w:t>
      </w:r>
      <w:r>
        <w:br/>
      </w:r>
      <w:r>
        <w:rPr>
          <w:rStyle w:val="NormalTok"/>
        </w:rPr>
        <w:t xml:space="preserve">  }</w:t>
      </w:r>
      <w:r>
        <w:br/>
      </w:r>
      <w:r>
        <w:rPr>
          <w:rStyle w:val="NormalTok"/>
        </w:rPr>
        <w:t xml:space="preserve">  Total.Area.ToCntrl.km </w:t>
      </w:r>
      <w:r>
        <w:rPr>
          <w:rStyle w:val="OtherTok"/>
        </w:rPr>
        <w:t>&lt;-</w:t>
      </w:r>
      <w:r>
        <w:rPr>
          <w:rStyle w:val="NormalTok"/>
        </w:rPr>
        <w:t xml:space="preserve"> </w:t>
      </w:r>
      <w:r>
        <w:rPr>
          <w:rStyle w:val="DecValTok"/>
        </w:rPr>
        <w:t>1000</w:t>
      </w:r>
      <w:r>
        <w:br/>
      </w:r>
      <w:r>
        <w:rPr>
          <w:rStyle w:val="NormalTok"/>
        </w:rPr>
        <w:t xml:space="preserve">  </w:t>
      </w:r>
      <w:r>
        <w:br/>
      </w:r>
      <w:r>
        <w:rPr>
          <w:rStyle w:val="NormalTok"/>
        </w:rPr>
        <w:t xml:space="preserve">  </w:t>
      </w:r>
      <w:r>
        <w:rPr>
          <w:rStyle w:val="CommentTok"/>
        </w:rPr>
        <w:t>#Bio</w:t>
      </w:r>
      <w:r>
        <w:br/>
      </w:r>
      <w:r>
        <w:rPr>
          <w:rStyle w:val="NormalTok"/>
        </w:rPr>
        <w:t xml:space="preserve">  r </w:t>
      </w:r>
      <w:r>
        <w:rPr>
          <w:rStyle w:val="OtherTok"/>
        </w:rPr>
        <w:t>=</w:t>
      </w:r>
      <w:r>
        <w:rPr>
          <w:rStyle w:val="NormalTok"/>
        </w:rPr>
        <w:t xml:space="preserve"> </w:t>
      </w:r>
      <w:r>
        <w:rPr>
          <w:rStyle w:val="DecValTok"/>
        </w:rPr>
        <w:t>1</w:t>
      </w:r>
      <w:r>
        <w:rPr>
          <w:rStyle w:val="SpecialCharTok"/>
        </w:rPr>
        <w:t>-</w:t>
      </w:r>
      <w:r>
        <w:rPr>
          <w:rStyle w:val="NormalTok"/>
        </w:rPr>
        <w:t>(FemalePercent</w:t>
      </w:r>
      <w:r>
        <w:rPr>
          <w:rStyle w:val="SpecialCharTok"/>
        </w:rPr>
        <w:t>/</w:t>
      </w:r>
      <w:r>
        <w:rPr>
          <w:rStyle w:val="DecValTok"/>
        </w:rPr>
        <w:t>100</w:t>
      </w:r>
      <w:r>
        <w:rPr>
          <w:rStyle w:val="NormalTok"/>
        </w:rPr>
        <w:t xml:space="preserve">) </w:t>
      </w:r>
      <w:r>
        <w:rPr>
          <w:rStyle w:val="CommentTok"/>
        </w:rPr>
        <w:t>#male proportion given female percent</w:t>
      </w:r>
      <w:r>
        <w:br/>
      </w:r>
      <w:r>
        <w:rPr>
          <w:rStyle w:val="NormalTok"/>
        </w:rPr>
        <w:t xml:space="preserve">  wildtypefmales </w:t>
      </w:r>
      <w:r>
        <w:rPr>
          <w:rStyle w:val="OtherTok"/>
        </w:rPr>
        <w:t>&lt;-</w:t>
      </w:r>
      <w:r>
        <w:rPr>
          <w:rStyle w:val="NormalTok"/>
        </w:rPr>
        <w:t xml:space="preserve"> </w:t>
      </w:r>
      <w:r>
        <w:rPr>
          <w:rStyle w:val="FloatTok"/>
        </w:rPr>
        <w:t>0.5</w:t>
      </w:r>
      <w:r>
        <w:br/>
      </w:r>
      <w:r>
        <w:rPr>
          <w:rStyle w:val="NormalTok"/>
        </w:rPr>
        <w:t xml:space="preserve">  WildType.Males.km </w:t>
      </w:r>
      <w:r>
        <w:rPr>
          <w:rStyle w:val="OtherTok"/>
        </w:rPr>
        <w:t>&lt;-</w:t>
      </w:r>
      <w:r>
        <w:rPr>
          <w:rStyle w:val="NormalTok"/>
        </w:rPr>
        <w:t xml:space="preserve"> </w:t>
      </w:r>
      <w:r>
        <w:rPr>
          <w:rStyle w:val="FunctionTok"/>
        </w:rPr>
        <w:t>round</w:t>
      </w:r>
      <w:r>
        <w:rPr>
          <w:rStyle w:val="NormalTok"/>
        </w:rPr>
        <w:t>((((Total.Area.ToCntrl.km</w:t>
      </w:r>
      <w:r>
        <w:rPr>
          <w:rStyle w:val="SpecialCharTok"/>
        </w:rPr>
        <w:t>*</w:t>
      </w:r>
      <w:r>
        <w:rPr>
          <w:rStyle w:val="NormalTok"/>
        </w:rPr>
        <w:t>Aedes.Mos.Density.km))</w:t>
      </w:r>
      <w:r>
        <w:rPr>
          <w:rStyle w:val="SpecialCharTok"/>
        </w:rPr>
        <w:t>/</w:t>
      </w:r>
      <w:r>
        <w:rPr>
          <w:rStyle w:val="NormalTok"/>
        </w:rPr>
        <w:t xml:space="preserve">(wildtypefmales)) </w:t>
      </w:r>
      <w:r>
        <w:rPr>
          <w:rStyle w:val="SpecialCharTok"/>
        </w:rPr>
        <w:t>*</w:t>
      </w:r>
      <w:r>
        <w:rPr>
          <w:rStyle w:val="NormalTok"/>
        </w:rPr>
        <w:t xml:space="preserve"> </w:t>
      </w:r>
      <w:r>
        <w:rPr>
          <w:rStyle w:val="FloatTok"/>
        </w:rPr>
        <w:t>0.5</w:t>
      </w:r>
      <w:r>
        <w:rPr>
          <w:rStyle w:val="NormalTok"/>
        </w:rPr>
        <w:t xml:space="preserve">) </w:t>
      </w:r>
      <w:r>
        <w:rPr>
          <w:rStyle w:val="CommentTok"/>
        </w:rPr>
        <w:t>#(Samuels et al. 2014 numbers are only for females) assumes wildtype e</w:t>
      </w:r>
      <w:r>
        <w:rPr>
          <w:rStyle w:val="CommentTok"/>
        </w:rPr>
        <w:t>qual sex ratio</w:t>
      </w:r>
      <w:r>
        <w:br/>
      </w:r>
      <w:r>
        <w:rPr>
          <w:rStyle w:val="NormalTok"/>
        </w:rPr>
        <w:t xml:space="preserve">  </w:t>
      </w:r>
      <w:r>
        <w:rPr>
          <w:rStyle w:val="CommentTok"/>
        </w:rPr>
        <w:t># OVerflooding ratio is defined as the ratio of sterile to wild males</w:t>
      </w:r>
      <w:r>
        <w:br/>
      </w:r>
      <w:r>
        <w:rPr>
          <w:rStyle w:val="NormalTok"/>
        </w:rPr>
        <w:t xml:space="preserve">  Wolb.Males.Needed.km </w:t>
      </w:r>
      <w:r>
        <w:rPr>
          <w:rStyle w:val="OtherTok"/>
        </w:rPr>
        <w:t>&lt;-</w:t>
      </w:r>
      <w:r>
        <w:rPr>
          <w:rStyle w:val="NormalTok"/>
        </w:rPr>
        <w:t xml:space="preserve"> </w:t>
      </w:r>
      <w:r>
        <w:rPr>
          <w:rStyle w:val="FunctionTok"/>
        </w:rPr>
        <w:t>round</w:t>
      </w:r>
      <w:r>
        <w:rPr>
          <w:rStyle w:val="NormalTok"/>
        </w:rPr>
        <w:t>(WildType.Males.km</w:t>
      </w:r>
      <w:r>
        <w:rPr>
          <w:rStyle w:val="SpecialCharTok"/>
        </w:rPr>
        <w:t>*</w:t>
      </w:r>
      <w:r>
        <w:rPr>
          <w:rStyle w:val="NormalTok"/>
        </w:rPr>
        <w:t>Overflooding_Multiplier)</w:t>
      </w:r>
      <w:r>
        <w:br/>
      </w:r>
      <w:r>
        <w:rPr>
          <w:rStyle w:val="NormalTok"/>
        </w:rPr>
        <w:t xml:space="preserve">  </w:t>
      </w:r>
      <w:r>
        <w:br/>
      </w:r>
      <w:r>
        <w:rPr>
          <w:rStyle w:val="NormalTok"/>
        </w:rPr>
        <w:t xml:space="preserve">  </w:t>
      </w:r>
      <w:r>
        <w:rPr>
          <w:rStyle w:val="CommentTok"/>
        </w:rPr>
        <w:t>#Office</w:t>
      </w:r>
      <w:r>
        <w:br/>
      </w:r>
      <w:r>
        <w:rPr>
          <w:rStyle w:val="NormalTok"/>
        </w:rPr>
        <w:t xml:space="preserve">  OfficeCosts </w:t>
      </w:r>
      <w:r>
        <w:rPr>
          <w:rStyle w:val="OtherTok"/>
        </w:rPr>
        <w:t>&lt;-</w:t>
      </w:r>
      <w:r>
        <w:rPr>
          <w:rStyle w:val="NormalTok"/>
        </w:rPr>
        <w:t xml:space="preserve"> LaboratorySpace </w:t>
      </w:r>
      <w:r>
        <w:rPr>
          <w:rStyle w:val="SpecialCharTok"/>
        </w:rPr>
        <w:t>+</w:t>
      </w:r>
      <w:r>
        <w:rPr>
          <w:rStyle w:val="NormalTok"/>
        </w:rPr>
        <w:t xml:space="preserve"> Electricity</w:t>
      </w:r>
      <w:r>
        <w:br/>
      </w:r>
      <w:r>
        <w:rPr>
          <w:rStyle w:val="NormalTok"/>
        </w:rPr>
        <w:t xml:space="preserve">  </w:t>
      </w:r>
      <w:r>
        <w:br/>
      </w:r>
      <w:r>
        <w:rPr>
          <w:rStyle w:val="NormalTok"/>
        </w:rPr>
        <w:t xml:space="preserve">  </w:t>
      </w:r>
      <w:r>
        <w:rPr>
          <w:rStyle w:val="CommentTok"/>
        </w:rPr>
        <w:t>#Personel</w:t>
      </w:r>
      <w:r>
        <w:br/>
      </w:r>
      <w:r>
        <w:rPr>
          <w:rStyle w:val="NormalTok"/>
        </w:rPr>
        <w:t xml:space="preserve">  Wage </w:t>
      </w:r>
      <w:r>
        <w:rPr>
          <w:rStyle w:val="OtherTok"/>
        </w:rPr>
        <w:t>&lt;-</w:t>
      </w:r>
      <w:r>
        <w:rPr>
          <w:rStyle w:val="NormalTok"/>
        </w:rPr>
        <w:t xml:space="preserve"> </w:t>
      </w:r>
      <w:r>
        <w:rPr>
          <w:rStyle w:val="FunctionTok"/>
        </w:rPr>
        <w:t>c</w:t>
      </w:r>
      <w:r>
        <w:rPr>
          <w:rStyle w:val="NormalTok"/>
        </w:rPr>
        <w:t>(Wage.Mass.Rearing, Wage.Quality.Control)</w:t>
      </w:r>
      <w:r>
        <w:br/>
      </w:r>
      <w:r>
        <w:rPr>
          <w:rStyle w:val="NormalTok"/>
        </w:rPr>
        <w:t xml:space="preserve">  Personel.CossA </w:t>
      </w:r>
      <w:r>
        <w:rPr>
          <w:rStyle w:val="OtherTok"/>
        </w:rPr>
        <w:t>&lt;-</w:t>
      </w:r>
      <w:r>
        <w:rPr>
          <w:rStyle w:val="NormalTok"/>
        </w:rPr>
        <w:t xml:space="preserve"> </w:t>
      </w:r>
      <w:r>
        <w:rPr>
          <w:rStyle w:val="FunctionTok"/>
        </w:rPr>
        <w:t>rep</w:t>
      </w:r>
      <w:r>
        <w:rPr>
          <w:rStyle w:val="NormalTok"/>
        </w:rPr>
        <w:t>(HoursPerYear</w:t>
      </w:r>
      <w:r>
        <w:rPr>
          <w:rStyle w:val="SpecialCharTok"/>
        </w:rPr>
        <w:t>*</w:t>
      </w:r>
      <w:r>
        <w:rPr>
          <w:rStyle w:val="NormalTok"/>
        </w:rPr>
        <w:t>Wage)</w:t>
      </w:r>
      <w:r>
        <w:rPr>
          <w:rStyle w:val="CommentTok"/>
        </w:rPr>
        <w:t>#, length(Personel.Des)) # 26</w:t>
      </w:r>
      <w:r>
        <w:rPr>
          <w:rStyle w:val="CommentTok"/>
        </w:rPr>
        <w:lastRenderedPageBreak/>
        <w:t>0 hours per year</w:t>
      </w:r>
      <w:r>
        <w:br/>
      </w:r>
      <w:r>
        <w:rPr>
          <w:rStyle w:val="NormalTok"/>
        </w:rPr>
        <w:t xml:space="preserve">  Personel.Costs </w:t>
      </w:r>
      <w:r>
        <w:rPr>
          <w:rStyle w:val="OtherTok"/>
        </w:rPr>
        <w:t>&lt;-</w:t>
      </w:r>
      <w:r>
        <w:rPr>
          <w:rStyle w:val="NormalTok"/>
        </w:rPr>
        <w:t xml:space="preserve"> Personel.CossA </w:t>
      </w:r>
      <w:r>
        <w:rPr>
          <w:rStyle w:val="CommentTok"/>
        </w:rPr>
        <w:t># removing 6 positions because community education and feild release</w:t>
      </w:r>
      <w:r>
        <w:br/>
      </w:r>
      <w:r>
        <w:rPr>
          <w:rStyle w:val="NormalTok"/>
        </w:rPr>
        <w:t xml:space="preserve">  Fringe.Costs </w:t>
      </w:r>
      <w:r>
        <w:rPr>
          <w:rStyle w:val="OtherTok"/>
        </w:rPr>
        <w:t>&lt;-</w:t>
      </w:r>
      <w:r>
        <w:rPr>
          <w:rStyle w:val="NormalTok"/>
        </w:rPr>
        <w:t xml:space="preserve"> Pers</w:t>
      </w:r>
      <w:r>
        <w:rPr>
          <w:rStyle w:val="NormalTok"/>
        </w:rPr>
        <w:t xml:space="preserve">onel.Costs </w:t>
      </w:r>
      <w:r>
        <w:rPr>
          <w:rStyle w:val="SpecialCharTok"/>
        </w:rPr>
        <w:t>*</w:t>
      </w:r>
      <w:r>
        <w:rPr>
          <w:rStyle w:val="NormalTok"/>
        </w:rPr>
        <w:t xml:space="preserve"> Fringe</w:t>
      </w:r>
      <w:r>
        <w:br/>
      </w:r>
      <w:r>
        <w:rPr>
          <w:rStyle w:val="NormalTok"/>
        </w:rPr>
        <w:t xml:space="preserve">  Tot.Pers.Costs </w:t>
      </w:r>
      <w:r>
        <w:rPr>
          <w:rStyle w:val="OtherTok"/>
        </w:rPr>
        <w:t>&lt;-</w:t>
      </w:r>
      <w:r>
        <w:rPr>
          <w:rStyle w:val="NormalTok"/>
        </w:rPr>
        <w:t xml:space="preserve"> (Personel.Costs </w:t>
      </w:r>
      <w:r>
        <w:rPr>
          <w:rStyle w:val="SpecialCharTok"/>
        </w:rPr>
        <w:t>+</w:t>
      </w:r>
      <w:r>
        <w:rPr>
          <w:rStyle w:val="NormalTok"/>
        </w:rPr>
        <w:t xml:space="preserve"> Fringe.Costs)  </w:t>
      </w:r>
      <w:r>
        <w:rPr>
          <w:rStyle w:val="SpecialCharTok"/>
        </w:rPr>
        <w:t>*</w:t>
      </w:r>
      <w:r>
        <w:rPr>
          <w:rStyle w:val="NormalTok"/>
        </w:rPr>
        <w:t xml:space="preserve"> </w:t>
      </w:r>
      <w:r>
        <w:rPr>
          <w:rStyle w:val="FunctionTok"/>
        </w:rPr>
        <w:t>c</w:t>
      </w:r>
      <w:r>
        <w:rPr>
          <w:rStyle w:val="NormalTok"/>
        </w:rPr>
        <w:t>(</w:t>
      </w:r>
      <w:r>
        <w:rPr>
          <w:rStyle w:val="DecValTok"/>
        </w:rPr>
        <w:t>8</w:t>
      </w:r>
      <w:r>
        <w:rPr>
          <w:rStyle w:val="NormalTok"/>
        </w:rPr>
        <w:t>,</w:t>
      </w:r>
      <w:r>
        <w:rPr>
          <w:rStyle w:val="DecValTok"/>
        </w:rPr>
        <w:t>3</w:t>
      </w:r>
      <w:r>
        <w:rPr>
          <w:rStyle w:val="NormalTok"/>
        </w:rPr>
        <w:t>)</w:t>
      </w:r>
      <w:r>
        <w:br/>
      </w:r>
      <w:r>
        <w:rPr>
          <w:rStyle w:val="NormalTok"/>
        </w:rPr>
        <w:t xml:space="preserve">  </w:t>
      </w:r>
      <w:r>
        <w:br/>
      </w:r>
      <w:r>
        <w:rPr>
          <w:rStyle w:val="NormalTok"/>
        </w:rPr>
        <w:t xml:space="preserve">  </w:t>
      </w:r>
      <w:r>
        <w:br/>
      </w:r>
      <w:r>
        <w:rPr>
          <w:rStyle w:val="NormalTok"/>
        </w:rPr>
        <w:t xml:space="preserve">  </w:t>
      </w:r>
      <w:r>
        <w:rPr>
          <w:rStyle w:val="CommentTok"/>
        </w:rPr>
        <w:t>#COSTS FOR A Facility 1-300k males</w:t>
      </w:r>
      <w:r>
        <w:br/>
      </w:r>
      <w:r>
        <w:rPr>
          <w:rStyle w:val="NormalTok"/>
        </w:rPr>
        <w:t xml:space="preserve">  </w:t>
      </w:r>
      <w:r>
        <w:rPr>
          <w:rStyle w:val="CommentTok"/>
        </w:rPr>
        <w:t># (defined by assuming that each 1 mosquito larvae rearing unit can</w:t>
      </w:r>
      <w:r>
        <w:br/>
      </w:r>
      <w:r>
        <w:rPr>
          <w:rStyle w:val="NormalTok"/>
        </w:rPr>
        <w:t xml:space="preserve">  </w:t>
      </w:r>
      <w:r>
        <w:rPr>
          <w:rStyle w:val="CommentTok"/>
        </w:rPr>
        <w:t># break 300k males)</w:t>
      </w:r>
      <w:r>
        <w:br/>
      </w:r>
      <w:r>
        <w:rPr>
          <w:rStyle w:val="NormalTok"/>
        </w:rPr>
        <w:t xml:space="preserve">  </w:t>
      </w:r>
      <w:r>
        <w:rPr>
          <w:rStyle w:val="CommentTok"/>
        </w:rPr>
        <w:t># what to rear a min. of 500 - 1 mill</w:t>
      </w:r>
      <w:r>
        <w:rPr>
          <w:rStyle w:val="CommentTok"/>
        </w:rPr>
        <w:t>ion males...</w:t>
      </w:r>
      <w:r>
        <w:br/>
      </w:r>
      <w:r>
        <w:rPr>
          <w:rStyle w:val="NormalTok"/>
        </w:rPr>
        <w:t xml:space="preserve">  </w:t>
      </w:r>
      <w:r>
        <w:rPr>
          <w:rStyle w:val="CommentTok"/>
        </w:rPr>
        <w:t># 1/1.5 = 0.6666667 initial cost estimates were for 1.5 million males.  This is for ~ 1 million</w:t>
      </w:r>
      <w:r>
        <w:br/>
      </w:r>
      <w:r>
        <w:rPr>
          <w:rStyle w:val="NormalTok"/>
        </w:rPr>
        <w:t xml:space="preserve">  </w:t>
      </w:r>
      <w:r>
        <w:rPr>
          <w:rStyle w:val="CommentTok"/>
        </w:rPr>
        <w:t># 0.5/1.5 = 0.3333333 this is for ~ 500k males</w:t>
      </w:r>
      <w:r>
        <w:br/>
      </w:r>
      <w:r>
        <w:rPr>
          <w:rStyle w:val="NormalTok"/>
        </w:rPr>
        <w:t xml:space="preserve">  Year1.Only.Costs</w:t>
      </w:r>
      <w:r>
        <w:rPr>
          <w:rStyle w:val="FloatTok"/>
        </w:rPr>
        <w:t>.300</w:t>
      </w:r>
      <w:r>
        <w:rPr>
          <w:rStyle w:val="NormalTok"/>
        </w:rPr>
        <w:t xml:space="preserve">k </w:t>
      </w:r>
      <w:r>
        <w:rPr>
          <w:rStyle w:val="OtherTok"/>
        </w:rPr>
        <w:t>&lt;-</w:t>
      </w:r>
      <w:r>
        <w:rPr>
          <w:rStyle w:val="NormalTok"/>
        </w:rPr>
        <w:t xml:space="preserve"> Year1.Only.Costs</w:t>
      </w:r>
      <w:r>
        <w:br/>
      </w:r>
      <w:r>
        <w:rPr>
          <w:rStyle w:val="NormalTok"/>
        </w:rPr>
        <w:t xml:space="preserve">  Year1.Only.Costs</w:t>
      </w:r>
      <w:r>
        <w:rPr>
          <w:rStyle w:val="FloatTok"/>
        </w:rPr>
        <w:t>.300</w:t>
      </w:r>
      <w:r>
        <w:rPr>
          <w:rStyle w:val="NormalTok"/>
        </w:rPr>
        <w:t>k[</w:t>
      </w:r>
      <w:r>
        <w:rPr>
          <w:rStyle w:val="DecValTok"/>
        </w:rPr>
        <w:t>2</w:t>
      </w:r>
      <w:r>
        <w:rPr>
          <w:rStyle w:val="SpecialCharTok"/>
        </w:rPr>
        <w:t>:</w:t>
      </w:r>
      <w:r>
        <w:rPr>
          <w:rStyle w:val="DecValTok"/>
        </w:rPr>
        <w:t>6</w:t>
      </w:r>
      <w:r>
        <w:rPr>
          <w:rStyle w:val="NormalTok"/>
        </w:rPr>
        <w:t xml:space="preserve">]  </w:t>
      </w:r>
      <w:r>
        <w:rPr>
          <w:rStyle w:val="OtherTok"/>
        </w:rPr>
        <w:t>&lt;-</w:t>
      </w:r>
      <w:r>
        <w:rPr>
          <w:rStyle w:val="NormalTok"/>
        </w:rPr>
        <w:t xml:space="preserve"> Year1.Only.Costs[</w:t>
      </w:r>
      <w:r>
        <w:rPr>
          <w:rStyle w:val="DecValTok"/>
        </w:rPr>
        <w:t>2</w:t>
      </w:r>
      <w:r>
        <w:rPr>
          <w:rStyle w:val="SpecialCharTok"/>
        </w:rPr>
        <w:t>:</w:t>
      </w:r>
      <w:r>
        <w:rPr>
          <w:rStyle w:val="DecValTok"/>
        </w:rPr>
        <w:t>6</w:t>
      </w:r>
      <w:r>
        <w:rPr>
          <w:rStyle w:val="NormalTok"/>
        </w:rPr>
        <w:t>]</w:t>
      </w:r>
      <w:r>
        <w:rPr>
          <w:rStyle w:val="SpecialCharTok"/>
        </w:rPr>
        <w:t>/</w:t>
      </w:r>
      <w:r>
        <w:rPr>
          <w:rStyle w:val="DecValTok"/>
        </w:rPr>
        <w:t>5</w:t>
      </w:r>
      <w:r>
        <w:br/>
      </w:r>
      <w:r>
        <w:rPr>
          <w:rStyle w:val="NormalTok"/>
        </w:rPr>
        <w:t xml:space="preserve">  OfficeCosts</w:t>
      </w:r>
      <w:r>
        <w:rPr>
          <w:rStyle w:val="FloatTok"/>
        </w:rPr>
        <w:t>.300</w:t>
      </w:r>
      <w:r>
        <w:rPr>
          <w:rStyle w:val="NormalTok"/>
        </w:rPr>
        <w:t xml:space="preserve">k </w:t>
      </w:r>
      <w:r>
        <w:rPr>
          <w:rStyle w:val="OtherTok"/>
        </w:rPr>
        <w:t>&lt;-</w:t>
      </w:r>
      <w:r>
        <w:rPr>
          <w:rStyle w:val="NormalTok"/>
        </w:rPr>
        <w:t xml:space="preserve"> OfficeCosts</w:t>
      </w:r>
      <w:r>
        <w:rPr>
          <w:rStyle w:val="SpecialCharTok"/>
        </w:rPr>
        <w:t>/</w:t>
      </w:r>
      <w:r>
        <w:rPr>
          <w:rStyle w:val="DecValTok"/>
        </w:rPr>
        <w:t>5</w:t>
      </w:r>
      <w:r>
        <w:rPr>
          <w:rStyle w:val="NormalTok"/>
        </w:rPr>
        <w:t xml:space="preserve"> </w:t>
      </w:r>
      <w:r>
        <w:rPr>
          <w:rStyle w:val="CommentTok"/>
        </w:rPr>
        <w:t># Assumes 2*24*26 ft containers is min at $120k</w:t>
      </w:r>
      <w:r>
        <w:br/>
      </w:r>
      <w:r>
        <w:rPr>
          <w:rStyle w:val="NormalTok"/>
        </w:rPr>
        <w:t xml:space="preserve">  Tot.Pers.Costs</w:t>
      </w:r>
      <w:r>
        <w:rPr>
          <w:rStyle w:val="FloatTok"/>
        </w:rPr>
        <w:t>.300</w:t>
      </w:r>
      <w:r>
        <w:rPr>
          <w:rStyle w:val="NormalTok"/>
        </w:rPr>
        <w:t xml:space="preserve">k </w:t>
      </w:r>
      <w:r>
        <w:rPr>
          <w:rStyle w:val="OtherTok"/>
        </w:rPr>
        <w:t>&lt;-</w:t>
      </w:r>
      <w:r>
        <w:rPr>
          <w:rStyle w:val="NormalTok"/>
        </w:rPr>
        <w:t xml:space="preserve"> (Personel.Costs </w:t>
      </w:r>
      <w:r>
        <w:rPr>
          <w:rStyle w:val="SpecialCharTok"/>
        </w:rPr>
        <w:t>+</w:t>
      </w:r>
      <w:r>
        <w:rPr>
          <w:rStyle w:val="NormalTok"/>
        </w:rPr>
        <w:t xml:space="preserve"> Fringe.Costs)  </w:t>
      </w:r>
      <w:r>
        <w:rPr>
          <w:rStyle w:val="SpecialCharTok"/>
        </w:rPr>
        <w:t>*</w:t>
      </w:r>
      <w:r>
        <w:rPr>
          <w:rStyle w:val="NormalTok"/>
        </w:rPr>
        <w:t xml:space="preserve"> (</w:t>
      </w:r>
      <w:r>
        <w:rPr>
          <w:rStyle w:val="FunctionTok"/>
        </w:rPr>
        <w:t>c</w:t>
      </w:r>
      <w:r>
        <w:rPr>
          <w:rStyle w:val="NormalTok"/>
        </w:rPr>
        <w:t>(</w:t>
      </w:r>
      <w:r>
        <w:rPr>
          <w:rStyle w:val="DecValTok"/>
        </w:rPr>
        <w:t>8</w:t>
      </w:r>
      <w:r>
        <w:rPr>
          <w:rStyle w:val="NormalTok"/>
        </w:rPr>
        <w:t>,</w:t>
      </w:r>
      <w:r>
        <w:rPr>
          <w:rStyle w:val="DecValTok"/>
        </w:rPr>
        <w:t>3</w:t>
      </w:r>
      <w:r>
        <w:rPr>
          <w:rStyle w:val="NormalTok"/>
        </w:rPr>
        <w:t>)</w:t>
      </w:r>
      <w:r>
        <w:rPr>
          <w:rStyle w:val="SpecialCharTok"/>
        </w:rPr>
        <w:t>/</w:t>
      </w:r>
      <w:r>
        <w:rPr>
          <w:rStyle w:val="DecValTok"/>
        </w:rPr>
        <w:t>5</w:t>
      </w:r>
      <w:r>
        <w:rPr>
          <w:rStyle w:val="NormalTok"/>
        </w:rPr>
        <w:t>)</w:t>
      </w:r>
      <w:r>
        <w:br/>
      </w:r>
      <w:r>
        <w:rPr>
          <w:rStyle w:val="NormalTok"/>
        </w:rPr>
        <w:t xml:space="preserve">  AllOtherYear.Costs</w:t>
      </w:r>
      <w:r>
        <w:rPr>
          <w:rStyle w:val="FloatTok"/>
        </w:rPr>
        <w:t>.300</w:t>
      </w:r>
      <w:r>
        <w:rPr>
          <w:rStyle w:val="NormalTok"/>
        </w:rPr>
        <w:t xml:space="preserve">k </w:t>
      </w:r>
      <w:r>
        <w:rPr>
          <w:rStyle w:val="OtherTok"/>
        </w:rPr>
        <w:t>&lt;-</w:t>
      </w:r>
      <w:r>
        <w:rPr>
          <w:rStyle w:val="NormalTok"/>
        </w:rPr>
        <w:t xml:space="preserve"> AllOtherYear.Costs</w:t>
      </w:r>
      <w:r>
        <w:rPr>
          <w:rStyle w:val="SpecialCharTok"/>
        </w:rPr>
        <w:t>/</w:t>
      </w:r>
      <w:r>
        <w:rPr>
          <w:rStyle w:val="DecValTok"/>
        </w:rPr>
        <w:t>5</w:t>
      </w:r>
      <w:r>
        <w:br/>
      </w:r>
      <w:r>
        <w:rPr>
          <w:rStyle w:val="NormalTok"/>
        </w:rPr>
        <w:t xml:space="preserve">  </w:t>
      </w:r>
      <w:r>
        <w:br/>
      </w:r>
      <w:r>
        <w:rPr>
          <w:rStyle w:val="NormalTok"/>
        </w:rPr>
        <w:t xml:space="preserve">  MaxCeiling </w:t>
      </w:r>
      <w:r>
        <w:rPr>
          <w:rStyle w:val="OtherTok"/>
        </w:rPr>
        <w:t>&lt;-</w:t>
      </w:r>
      <w:r>
        <w:rPr>
          <w:rStyle w:val="NormalTok"/>
        </w:rPr>
        <w:t xml:space="preserve"> </w:t>
      </w:r>
      <w:r>
        <w:rPr>
          <w:rStyle w:val="DecValTok"/>
        </w:rPr>
        <w:t>1000000</w:t>
      </w:r>
      <w:r>
        <w:rPr>
          <w:rStyle w:val="NormalTok"/>
        </w:rPr>
        <w:t xml:space="preserve"> </w:t>
      </w:r>
      <w:r>
        <w:rPr>
          <w:rStyle w:val="SpecialCharTok"/>
        </w:rPr>
        <w:t>*</w:t>
      </w:r>
      <w:r>
        <w:rPr>
          <w:rStyle w:val="NormalTok"/>
        </w:rPr>
        <w:t xml:space="preserve"> (r)</w:t>
      </w:r>
      <w:r>
        <w:rPr>
          <w:rStyle w:val="CommentTok"/>
        </w:rPr>
        <w:t># 1 million Culicidae per rearing unit</w:t>
      </w:r>
      <w:r>
        <w:br/>
      </w:r>
      <w:r>
        <w:rPr>
          <w:rStyle w:val="NormalTok"/>
        </w:rPr>
        <w:t xml:space="preserve">  </w:t>
      </w:r>
      <w:r>
        <w:br/>
      </w:r>
      <w:r>
        <w:rPr>
          <w:rStyle w:val="NormalTok"/>
        </w:rPr>
        <w:t xml:space="preserve">  Wolb.Males.Produced </w:t>
      </w:r>
      <w:r>
        <w:rPr>
          <w:rStyle w:val="OtherTok"/>
        </w:rPr>
        <w:t>&lt;-</w:t>
      </w:r>
      <w:r>
        <w:rPr>
          <w:rStyle w:val="NormalTok"/>
        </w:rPr>
        <w:t xml:space="preserve"> Wolb.Males.Needed.km </w:t>
      </w:r>
      <w:r>
        <w:rPr>
          <w:rStyle w:val="SpecialCharTok"/>
        </w:rPr>
        <w:t>*</w:t>
      </w:r>
      <w:r>
        <w:rPr>
          <w:rStyle w:val="NormalTok"/>
        </w:rPr>
        <w:t xml:space="preserve"> r</w:t>
      </w:r>
      <w:r>
        <w:br/>
      </w:r>
      <w:r>
        <w:rPr>
          <w:rStyle w:val="NormalTok"/>
        </w:rPr>
        <w:t xml:space="preserve">  </w:t>
      </w:r>
      <w:r>
        <w:br/>
      </w:r>
      <w:r>
        <w:rPr>
          <w:rStyle w:val="NormalTok"/>
        </w:rPr>
        <w:t xml:space="preserve">  PropWildToLab </w:t>
      </w:r>
      <w:r>
        <w:rPr>
          <w:rStyle w:val="OtherTok"/>
        </w:rPr>
        <w:t>&lt;-</w:t>
      </w:r>
      <w:r>
        <w:rPr>
          <w:rStyle w:val="NormalTok"/>
        </w:rPr>
        <w:t xml:space="preserve"> Wolb.Males.Produced</w:t>
      </w:r>
      <w:r>
        <w:rPr>
          <w:rStyle w:val="SpecialCharTok"/>
        </w:rPr>
        <w:t>/</w:t>
      </w:r>
      <w:r>
        <w:rPr>
          <w:rStyle w:val="NormalTok"/>
        </w:rPr>
        <w:t>Wolb.Males.Needed.km</w:t>
      </w:r>
      <w:r>
        <w:br/>
      </w:r>
      <w:r>
        <w:rPr>
          <w:rStyle w:val="NormalTok"/>
        </w:rPr>
        <w:t xml:space="preserve">  diff.ratio </w:t>
      </w:r>
      <w:r>
        <w:rPr>
          <w:rStyle w:val="OtherTok"/>
        </w:rPr>
        <w:t>&lt;-</w:t>
      </w:r>
      <w:r>
        <w:rPr>
          <w:rStyle w:val="NormalTok"/>
        </w:rPr>
        <w:t xml:space="preserve"> </w:t>
      </w:r>
      <w:r>
        <w:rPr>
          <w:rStyle w:val="FunctionTok"/>
        </w:rPr>
        <w:t>ceiling</w:t>
      </w:r>
      <w:r>
        <w:rPr>
          <w:rStyle w:val="NormalTok"/>
        </w:rPr>
        <w:t>(</w:t>
      </w:r>
      <w:r>
        <w:rPr>
          <w:rStyle w:val="FunctionTok"/>
        </w:rPr>
        <w:t>signif</w:t>
      </w:r>
      <w:r>
        <w:rPr>
          <w:rStyle w:val="NormalTok"/>
        </w:rPr>
        <w:t>(</w:t>
      </w:r>
      <w:r>
        <w:rPr>
          <w:rStyle w:val="FunctionTok"/>
        </w:rPr>
        <w:t>round</w:t>
      </w:r>
      <w:r>
        <w:rPr>
          <w:rStyle w:val="NormalTok"/>
        </w:rPr>
        <w:t>(Wolb.Males.Needed.km</w:t>
      </w:r>
      <w:r>
        <w:rPr>
          <w:rStyle w:val="SpecialCharTok"/>
        </w:rPr>
        <w:t>/</w:t>
      </w:r>
      <w:r>
        <w:rPr>
          <w:rStyle w:val="NormalTok"/>
        </w:rPr>
        <w:t xml:space="preserve">MaxCeiling, </w:t>
      </w:r>
      <w:r>
        <w:rPr>
          <w:rStyle w:val="DecValTok"/>
        </w:rPr>
        <w:t>2</w:t>
      </w:r>
      <w:r>
        <w:rPr>
          <w:rStyle w:val="NormalTok"/>
        </w:rPr>
        <w:t>),</w:t>
      </w:r>
      <w:r>
        <w:rPr>
          <w:rStyle w:val="DecValTok"/>
        </w:rPr>
        <w:t>2</w:t>
      </w:r>
      <w:r>
        <w:rPr>
          <w:rStyle w:val="NormalTok"/>
        </w:rPr>
        <w:t>))</w:t>
      </w:r>
      <w:r>
        <w:br/>
      </w:r>
      <w:r>
        <w:rPr>
          <w:rStyle w:val="NormalTok"/>
        </w:rPr>
        <w:t xml:space="preserve">  </w:t>
      </w:r>
      <w:r>
        <w:br/>
      </w:r>
      <w:r>
        <w:rPr>
          <w:rStyle w:val="NormalTok"/>
        </w:rPr>
        <w:t xml:space="preserve">  </w:t>
      </w:r>
      <w:r>
        <w:br/>
      </w:r>
      <w:r>
        <w:rPr>
          <w:rStyle w:val="NormalTok"/>
        </w:rPr>
        <w:t xml:space="preserve">  </w:t>
      </w:r>
      <w:r>
        <w:rPr>
          <w:rStyle w:val="CommentTok"/>
        </w:rPr>
        <w:t># ensureing a mi</w:t>
      </w:r>
      <w:r>
        <w:rPr>
          <w:rStyle w:val="CommentTok"/>
        </w:rPr>
        <w:t>n of a million mailes to be reared</w:t>
      </w:r>
      <w:r>
        <w:br/>
      </w:r>
      <w:r>
        <w:rPr>
          <w:rStyle w:val="NormalTok"/>
        </w:rPr>
        <w:t xml:space="preserve">  </w:t>
      </w:r>
      <w:r>
        <w:rPr>
          <w:rStyle w:val="CommentTok"/>
        </w:rPr>
        <w:t># diff.ratio[which(diff.ratio &lt; round(500000/MaxCeiling))] &lt;- ceiling(500000/MaxCeiling)</w:t>
      </w:r>
      <w:r>
        <w:br/>
      </w:r>
      <w:r>
        <w:rPr>
          <w:rStyle w:val="NormalTok"/>
        </w:rPr>
        <w:lastRenderedPageBreak/>
        <w:t xml:space="preserve">  </w:t>
      </w:r>
      <w:r>
        <w:br/>
      </w:r>
      <w:r>
        <w:rPr>
          <w:rStyle w:val="NormalTok"/>
        </w:rPr>
        <w:t xml:space="preserve">  </w:t>
      </w:r>
      <w:r>
        <w:rPr>
          <w:rStyle w:val="CommentTok"/>
        </w:rPr>
        <w:t># Defining the numbers for each scenario</w:t>
      </w:r>
      <w:r>
        <w:br/>
      </w:r>
      <w:r>
        <w:rPr>
          <w:rStyle w:val="NormalTok"/>
        </w:rPr>
        <w:t xml:space="preserve">  AmountNeeded </w:t>
      </w:r>
      <w:r>
        <w:rPr>
          <w:rStyle w:val="OtherTok"/>
        </w:rPr>
        <w:t>&lt;-</w:t>
      </w:r>
      <w:r>
        <w:rPr>
          <w:rStyle w:val="NormalTok"/>
        </w:rPr>
        <w:t xml:space="preserve"> </w:t>
      </w:r>
      <w:r>
        <w:rPr>
          <w:rStyle w:val="FunctionTok"/>
        </w:rPr>
        <w:t>data.frame</w:t>
      </w:r>
      <w:r>
        <w:rPr>
          <w:rStyle w:val="NormalTok"/>
        </w:rPr>
        <w:t>()</w:t>
      </w:r>
      <w:r>
        <w:br/>
      </w:r>
      <w:r>
        <w:rPr>
          <w:rStyle w:val="NormalTok"/>
        </w:rPr>
        <w:t xml:space="preserve">  </w:t>
      </w:r>
      <w:r>
        <w:rPr>
          <w:rStyle w:val="ControlFlowTok"/>
        </w:rPr>
        <w:t>for</w:t>
      </w:r>
      <w:r>
        <w:rPr>
          <w:rStyle w:val="NormalTok"/>
        </w:rPr>
        <w:t xml:space="preserve">(rate </w:t>
      </w:r>
      <w:r>
        <w:rPr>
          <w:rStyle w:val="ControlFlowTok"/>
        </w:rPr>
        <w:t>in</w:t>
      </w:r>
      <w:r>
        <w:rPr>
          <w:rStyle w:val="NormalTok"/>
        </w:rPr>
        <w:t xml:space="preserve"> diff.ratio){</w:t>
      </w:r>
      <w:r>
        <w:br/>
      </w:r>
      <w:r>
        <w:rPr>
          <w:rStyle w:val="NormalTok"/>
        </w:rPr>
        <w:t xml:space="preserve">    </w:t>
      </w:r>
      <w:r>
        <w:br/>
      </w:r>
      <w:r>
        <w:rPr>
          <w:rStyle w:val="NormalTok"/>
        </w:rPr>
        <w:t xml:space="preserve">    </w:t>
      </w:r>
      <w:r>
        <w:rPr>
          <w:rStyle w:val="CommentTok"/>
        </w:rPr>
        <w:t># YEAR 1 COSTS</w:t>
      </w:r>
      <w:r>
        <w:br/>
      </w:r>
      <w:r>
        <w:rPr>
          <w:rStyle w:val="NormalTok"/>
        </w:rPr>
        <w:t xml:space="preserve">    Yr1.ItemCostJnk </w:t>
      </w:r>
      <w:r>
        <w:rPr>
          <w:rStyle w:val="OtherTok"/>
        </w:rPr>
        <w:t>&lt;-</w:t>
      </w:r>
      <w:r>
        <w:rPr>
          <w:rStyle w:val="NormalTok"/>
        </w:rPr>
        <w:t xml:space="preserve"> Year1.Only.Costs</w:t>
      </w:r>
      <w:r>
        <w:rPr>
          <w:rStyle w:val="FloatTok"/>
        </w:rPr>
        <w:t>.300</w:t>
      </w:r>
      <w:r>
        <w:rPr>
          <w:rStyle w:val="NormalTok"/>
        </w:rPr>
        <w:t>k</w:t>
      </w:r>
      <w:r>
        <w:br/>
      </w:r>
      <w:r>
        <w:rPr>
          <w:rStyle w:val="NormalTok"/>
        </w:rPr>
        <w:t xml:space="preserve">    Yr1.ItemCostJnk[</w:t>
      </w:r>
      <w:r>
        <w:rPr>
          <w:rStyle w:val="DecValTok"/>
        </w:rPr>
        <w:t>2</w:t>
      </w:r>
      <w:r>
        <w:rPr>
          <w:rStyle w:val="SpecialCharTok"/>
        </w:rPr>
        <w:t>:</w:t>
      </w:r>
      <w:r>
        <w:rPr>
          <w:rStyle w:val="DecValTok"/>
        </w:rPr>
        <w:t>6</w:t>
      </w:r>
      <w:r>
        <w:rPr>
          <w:rStyle w:val="NormalTok"/>
        </w:rPr>
        <w:t xml:space="preserve">]  </w:t>
      </w:r>
      <w:r>
        <w:rPr>
          <w:rStyle w:val="OtherTok"/>
        </w:rPr>
        <w:t>&lt;-</w:t>
      </w:r>
      <w:r>
        <w:rPr>
          <w:rStyle w:val="NormalTok"/>
        </w:rPr>
        <w:t xml:space="preserve"> Year1.Only.Costs</w:t>
      </w:r>
      <w:r>
        <w:rPr>
          <w:rStyle w:val="FloatTok"/>
        </w:rPr>
        <w:t>.300</w:t>
      </w:r>
      <w:r>
        <w:rPr>
          <w:rStyle w:val="NormalTok"/>
        </w:rPr>
        <w:t>k[</w:t>
      </w:r>
      <w:r>
        <w:rPr>
          <w:rStyle w:val="DecValTok"/>
        </w:rPr>
        <w:t>2</w:t>
      </w:r>
      <w:r>
        <w:rPr>
          <w:rStyle w:val="SpecialCharTok"/>
        </w:rPr>
        <w:t>:</w:t>
      </w:r>
      <w:r>
        <w:rPr>
          <w:rStyle w:val="DecValTok"/>
        </w:rPr>
        <w:t>6</w:t>
      </w:r>
      <w:r>
        <w:rPr>
          <w:rStyle w:val="NormalTok"/>
        </w:rPr>
        <w:t xml:space="preserve">] </w:t>
      </w:r>
      <w:r>
        <w:rPr>
          <w:rStyle w:val="SpecialCharTok"/>
        </w:rPr>
        <w:t>*</w:t>
      </w:r>
      <w:r>
        <w:rPr>
          <w:rStyle w:val="NormalTok"/>
        </w:rPr>
        <w:t xml:space="preserve"> rate</w:t>
      </w:r>
      <w:r>
        <w:br/>
      </w:r>
      <w:r>
        <w:rPr>
          <w:rStyle w:val="NormalTok"/>
        </w:rPr>
        <w:t xml:space="preserve">    </w:t>
      </w:r>
      <w:r>
        <w:rPr>
          <w:rStyle w:val="CommentTok"/>
        </w:rPr>
        <w:t># PCR machine is for each 1.5 million so</w:t>
      </w:r>
      <w:r>
        <w:br/>
      </w:r>
      <w:r>
        <w:rPr>
          <w:rStyle w:val="NormalTok"/>
        </w:rPr>
        <w:t xml:space="preserve">    rate2 </w:t>
      </w:r>
      <w:r>
        <w:rPr>
          <w:rStyle w:val="OtherTok"/>
        </w:rPr>
        <w:t>&lt;-</w:t>
      </w:r>
      <w:r>
        <w:rPr>
          <w:rStyle w:val="NormalTok"/>
        </w:rPr>
        <w:t xml:space="preserve"> </w:t>
      </w:r>
      <w:r>
        <w:rPr>
          <w:rStyle w:val="FunctionTok"/>
        </w:rPr>
        <w:t>ceiling</w:t>
      </w:r>
      <w:r>
        <w:rPr>
          <w:rStyle w:val="NormalTok"/>
        </w:rPr>
        <w:t>(rate</w:t>
      </w:r>
      <w:r>
        <w:rPr>
          <w:rStyle w:val="SpecialCharTok"/>
        </w:rPr>
        <w:t>/</w:t>
      </w:r>
      <w:r>
        <w:rPr>
          <w:rStyle w:val="DecValTok"/>
        </w:rPr>
        <w:t>5</w:t>
      </w:r>
      <w:r>
        <w:rPr>
          <w:rStyle w:val="NormalTok"/>
        </w:rPr>
        <w:t>)</w:t>
      </w:r>
      <w:r>
        <w:br/>
      </w:r>
      <w:r>
        <w:rPr>
          <w:rStyle w:val="NormalTok"/>
        </w:rPr>
        <w:t xml:space="preserve">    Yr1.ItemCostJnk[</w:t>
      </w:r>
      <w:r>
        <w:rPr>
          <w:rStyle w:val="DecValTok"/>
        </w:rPr>
        <w:t>7</w:t>
      </w:r>
      <w:r>
        <w:rPr>
          <w:rStyle w:val="NormalTok"/>
        </w:rPr>
        <w:t xml:space="preserve">]  </w:t>
      </w:r>
      <w:r>
        <w:rPr>
          <w:rStyle w:val="OtherTok"/>
        </w:rPr>
        <w:t>&lt;-</w:t>
      </w:r>
      <w:r>
        <w:rPr>
          <w:rStyle w:val="NormalTok"/>
        </w:rPr>
        <w:t xml:space="preserve"> Year1.Only.Costs</w:t>
      </w:r>
      <w:r>
        <w:rPr>
          <w:rStyle w:val="FloatTok"/>
        </w:rPr>
        <w:t>.300</w:t>
      </w:r>
      <w:r>
        <w:rPr>
          <w:rStyle w:val="NormalTok"/>
        </w:rPr>
        <w:t>k[</w:t>
      </w:r>
      <w:r>
        <w:rPr>
          <w:rStyle w:val="DecValTok"/>
        </w:rPr>
        <w:t>7</w:t>
      </w:r>
      <w:r>
        <w:rPr>
          <w:rStyle w:val="NormalTok"/>
        </w:rPr>
        <w:t xml:space="preserve">] </w:t>
      </w:r>
      <w:r>
        <w:rPr>
          <w:rStyle w:val="SpecialCharTok"/>
        </w:rPr>
        <w:t>*</w:t>
      </w:r>
      <w:r>
        <w:rPr>
          <w:rStyle w:val="NormalTok"/>
        </w:rPr>
        <w:t xml:space="preserve"> rate2</w:t>
      </w:r>
      <w:r>
        <w:br/>
      </w:r>
      <w:r>
        <w:rPr>
          <w:rStyle w:val="NormalTok"/>
        </w:rPr>
        <w:t xml:space="preserve">    </w:t>
      </w:r>
      <w:r>
        <w:br/>
      </w:r>
      <w:r>
        <w:rPr>
          <w:rStyle w:val="NormalTok"/>
        </w:rPr>
        <w:t xml:space="preserve">    Yr1.P</w:t>
      </w:r>
      <w:r>
        <w:rPr>
          <w:rStyle w:val="NormalTok"/>
        </w:rPr>
        <w:t xml:space="preserve">ersCostJnk </w:t>
      </w:r>
      <w:r>
        <w:rPr>
          <w:rStyle w:val="OtherTok"/>
        </w:rPr>
        <w:t>&lt;-</w:t>
      </w:r>
      <w:r>
        <w:rPr>
          <w:rStyle w:val="NormalTok"/>
        </w:rPr>
        <w:t xml:space="preserve"> (Personel.Costs </w:t>
      </w:r>
      <w:r>
        <w:rPr>
          <w:rStyle w:val="SpecialCharTok"/>
        </w:rPr>
        <w:t>+</w:t>
      </w:r>
      <w:r>
        <w:rPr>
          <w:rStyle w:val="NormalTok"/>
        </w:rPr>
        <w:t xml:space="preserve"> Fringe.Costs)  </w:t>
      </w:r>
      <w:r>
        <w:rPr>
          <w:rStyle w:val="SpecialCharTok"/>
        </w:rPr>
        <w:t>*</w:t>
      </w:r>
      <w:r>
        <w:rPr>
          <w:rStyle w:val="NormalTok"/>
        </w:rPr>
        <w:t xml:space="preserve"> ((</w:t>
      </w:r>
      <w:r>
        <w:rPr>
          <w:rStyle w:val="FunctionTok"/>
        </w:rPr>
        <w:t>c</w:t>
      </w:r>
      <w:r>
        <w:rPr>
          <w:rStyle w:val="NormalTok"/>
        </w:rPr>
        <w:t>(</w:t>
      </w:r>
      <w:r>
        <w:rPr>
          <w:rStyle w:val="DecValTok"/>
        </w:rPr>
        <w:t>8</w:t>
      </w:r>
      <w:r>
        <w:rPr>
          <w:rStyle w:val="NormalTok"/>
        </w:rPr>
        <w:t>,</w:t>
      </w:r>
      <w:r>
        <w:rPr>
          <w:rStyle w:val="DecValTok"/>
        </w:rPr>
        <w:t>3</w:t>
      </w:r>
      <w:r>
        <w:rPr>
          <w:rStyle w:val="NormalTok"/>
        </w:rPr>
        <w:t>)</w:t>
      </w:r>
      <w:r>
        <w:rPr>
          <w:rStyle w:val="SpecialCharTok"/>
        </w:rPr>
        <w:t>/</w:t>
      </w:r>
      <w:r>
        <w:rPr>
          <w:rStyle w:val="DecValTok"/>
        </w:rPr>
        <w:t>5</w:t>
      </w:r>
      <w:r>
        <w:rPr>
          <w:rStyle w:val="NormalTok"/>
        </w:rPr>
        <w:t>)</w:t>
      </w:r>
      <w:r>
        <w:rPr>
          <w:rStyle w:val="SpecialCharTok"/>
        </w:rPr>
        <w:t>*</w:t>
      </w:r>
      <w:r>
        <w:rPr>
          <w:rStyle w:val="NormalTok"/>
        </w:rPr>
        <w:t>rate)</w:t>
      </w:r>
      <w:r>
        <w:br/>
      </w:r>
      <w:r>
        <w:rPr>
          <w:rStyle w:val="NormalTok"/>
        </w:rPr>
        <w:t xml:space="preserve">    Yr1.MiscJnk </w:t>
      </w:r>
      <w:r>
        <w:rPr>
          <w:rStyle w:val="OtherTok"/>
        </w:rPr>
        <w:t>&lt;-</w:t>
      </w:r>
      <w:r>
        <w:rPr>
          <w:rStyle w:val="NormalTok"/>
        </w:rPr>
        <w:t xml:space="preserve"> AllOtherYear.Costs</w:t>
      </w:r>
      <w:r>
        <w:rPr>
          <w:rStyle w:val="FloatTok"/>
        </w:rPr>
        <w:t>.300</w:t>
      </w:r>
      <w:r>
        <w:rPr>
          <w:rStyle w:val="NormalTok"/>
        </w:rPr>
        <w:t>k</w:t>
      </w:r>
      <w:r>
        <w:rPr>
          <w:rStyle w:val="SpecialCharTok"/>
        </w:rPr>
        <w:t>*</w:t>
      </w:r>
      <w:r>
        <w:rPr>
          <w:rStyle w:val="NormalTok"/>
        </w:rPr>
        <w:t>rate</w:t>
      </w:r>
      <w:r>
        <w:br/>
      </w:r>
      <w:r>
        <w:rPr>
          <w:rStyle w:val="NormalTok"/>
        </w:rPr>
        <w:t xml:space="preserve">    </w:t>
      </w:r>
      <w:r>
        <w:br/>
      </w:r>
      <w:r>
        <w:rPr>
          <w:rStyle w:val="NormalTok"/>
        </w:rPr>
        <w:t xml:space="preserve">    rate3 </w:t>
      </w:r>
      <w:r>
        <w:rPr>
          <w:rStyle w:val="OtherTok"/>
        </w:rPr>
        <w:t>&lt;-</w:t>
      </w:r>
      <w:r>
        <w:rPr>
          <w:rStyle w:val="NormalTok"/>
        </w:rPr>
        <w:t xml:space="preserve"> rate</w:t>
      </w:r>
      <w:r>
        <w:rPr>
          <w:rStyle w:val="CommentTok"/>
        </w:rPr>
        <w:t>#ceiling(rate/2.5)</w:t>
      </w:r>
      <w:r>
        <w:br/>
      </w:r>
      <w:r>
        <w:rPr>
          <w:rStyle w:val="NormalTok"/>
        </w:rPr>
        <w:t xml:space="preserve">    Yr1.OfficeCostsJnk </w:t>
      </w:r>
      <w:r>
        <w:rPr>
          <w:rStyle w:val="OtherTok"/>
        </w:rPr>
        <w:t>&lt;-</w:t>
      </w:r>
      <w:r>
        <w:rPr>
          <w:rStyle w:val="NormalTok"/>
        </w:rPr>
        <w:t xml:space="preserve"> OfficeCosts</w:t>
      </w:r>
      <w:r>
        <w:rPr>
          <w:rStyle w:val="FloatTok"/>
        </w:rPr>
        <w:t>.300</w:t>
      </w:r>
      <w:r>
        <w:rPr>
          <w:rStyle w:val="NormalTok"/>
        </w:rPr>
        <w:t xml:space="preserve">k </w:t>
      </w:r>
      <w:r>
        <w:rPr>
          <w:rStyle w:val="SpecialCharTok"/>
        </w:rPr>
        <w:t>*</w:t>
      </w:r>
      <w:r>
        <w:rPr>
          <w:rStyle w:val="NormalTok"/>
        </w:rPr>
        <w:t xml:space="preserve"> rate3</w:t>
      </w:r>
      <w:r>
        <w:br/>
      </w:r>
      <w:r>
        <w:rPr>
          <w:rStyle w:val="NormalTok"/>
        </w:rPr>
        <w:t xml:space="preserve">    Yr1.TotalCosts </w:t>
      </w:r>
      <w:r>
        <w:rPr>
          <w:rStyle w:val="OtherTok"/>
        </w:rPr>
        <w:t>&lt;-</w:t>
      </w:r>
      <w:r>
        <w:rPr>
          <w:rStyle w:val="NormalTok"/>
        </w:rPr>
        <w:t xml:space="preserve"> </w:t>
      </w:r>
      <w:r>
        <w:rPr>
          <w:rStyle w:val="FunctionTok"/>
        </w:rPr>
        <w:t>currency</w:t>
      </w:r>
      <w:r>
        <w:rPr>
          <w:rStyle w:val="NormalTok"/>
        </w:rPr>
        <w:t>(</w:t>
      </w:r>
      <w:r>
        <w:rPr>
          <w:rStyle w:val="FunctionTok"/>
        </w:rPr>
        <w:t>sum</w:t>
      </w:r>
      <w:r>
        <w:rPr>
          <w:rStyle w:val="NormalTok"/>
        </w:rPr>
        <w:t>(Yr1.ItemCostJnk, Yr1.PersCostJnk, Yr1.MiscJnk, Yr1.OfficeCostsJnk))</w:t>
      </w:r>
      <w:r>
        <w:br/>
      </w:r>
      <w:r>
        <w:rPr>
          <w:rStyle w:val="NormalTok"/>
        </w:rPr>
        <w:t xml:space="preserve">    </w:t>
      </w:r>
      <w:r>
        <w:br/>
      </w:r>
      <w:r>
        <w:rPr>
          <w:rStyle w:val="NormalTok"/>
        </w:rPr>
        <w:t xml:space="preserve">    </w:t>
      </w:r>
      <w:r>
        <w:br/>
      </w:r>
      <w:r>
        <w:rPr>
          <w:rStyle w:val="NormalTok"/>
        </w:rPr>
        <w:t xml:space="preserve">    </w:t>
      </w:r>
      <w:r>
        <w:rPr>
          <w:rStyle w:val="CommentTok"/>
        </w:rPr>
        <w:t># SUBSEQUENT YEAR COSTS</w:t>
      </w:r>
      <w:r>
        <w:br/>
      </w:r>
      <w:r>
        <w:rPr>
          <w:rStyle w:val="NormalTok"/>
        </w:rPr>
        <w:t xml:space="preserve">    SUB.PersCostJnk </w:t>
      </w:r>
      <w:r>
        <w:rPr>
          <w:rStyle w:val="OtherTok"/>
        </w:rPr>
        <w:t>&lt;-</w:t>
      </w:r>
      <w:r>
        <w:rPr>
          <w:rStyle w:val="NormalTok"/>
        </w:rPr>
        <w:t xml:space="preserve"> (Personel.Costs </w:t>
      </w:r>
      <w:r>
        <w:rPr>
          <w:rStyle w:val="SpecialCharTok"/>
        </w:rPr>
        <w:t>+</w:t>
      </w:r>
      <w:r>
        <w:rPr>
          <w:rStyle w:val="NormalTok"/>
        </w:rPr>
        <w:t xml:space="preserve"> Fringe.Costs)  </w:t>
      </w:r>
      <w:r>
        <w:rPr>
          <w:rStyle w:val="SpecialCharTok"/>
        </w:rPr>
        <w:t>*</w:t>
      </w:r>
      <w:r>
        <w:rPr>
          <w:rStyle w:val="NormalTok"/>
        </w:rPr>
        <w:t xml:space="preserve"> ((</w:t>
      </w:r>
      <w:r>
        <w:rPr>
          <w:rStyle w:val="FunctionTok"/>
        </w:rPr>
        <w:t>c</w:t>
      </w:r>
      <w:r>
        <w:rPr>
          <w:rStyle w:val="NormalTok"/>
        </w:rPr>
        <w:t>(</w:t>
      </w:r>
      <w:r>
        <w:rPr>
          <w:rStyle w:val="DecValTok"/>
        </w:rPr>
        <w:t>8</w:t>
      </w:r>
      <w:r>
        <w:rPr>
          <w:rStyle w:val="NormalTok"/>
        </w:rPr>
        <w:t>,</w:t>
      </w:r>
      <w:r>
        <w:rPr>
          <w:rStyle w:val="DecValTok"/>
        </w:rPr>
        <w:t>3</w:t>
      </w:r>
      <w:r>
        <w:rPr>
          <w:rStyle w:val="NormalTok"/>
        </w:rPr>
        <w:t>)</w:t>
      </w:r>
      <w:r>
        <w:rPr>
          <w:rStyle w:val="SpecialCharTok"/>
        </w:rPr>
        <w:t>/</w:t>
      </w:r>
      <w:r>
        <w:rPr>
          <w:rStyle w:val="DecValTok"/>
        </w:rPr>
        <w:t>5</w:t>
      </w:r>
      <w:r>
        <w:rPr>
          <w:rStyle w:val="NormalTok"/>
        </w:rPr>
        <w:t>)</w:t>
      </w:r>
      <w:r>
        <w:rPr>
          <w:rStyle w:val="SpecialCharTok"/>
        </w:rPr>
        <w:t>*</w:t>
      </w:r>
      <w:r>
        <w:rPr>
          <w:rStyle w:val="NormalTok"/>
        </w:rPr>
        <w:t>rate)</w:t>
      </w:r>
      <w:r>
        <w:br/>
      </w:r>
      <w:r>
        <w:rPr>
          <w:rStyle w:val="NormalTok"/>
        </w:rPr>
        <w:t xml:space="preserve">    SUB.MiscJnk </w:t>
      </w:r>
      <w:r>
        <w:rPr>
          <w:rStyle w:val="OtherTok"/>
        </w:rPr>
        <w:t>&lt;-</w:t>
      </w:r>
      <w:r>
        <w:rPr>
          <w:rStyle w:val="NormalTok"/>
        </w:rPr>
        <w:t xml:space="preserve"> AllOtherYear.Costs</w:t>
      </w:r>
      <w:r>
        <w:rPr>
          <w:rStyle w:val="FloatTok"/>
        </w:rPr>
        <w:t>.300</w:t>
      </w:r>
      <w:r>
        <w:rPr>
          <w:rStyle w:val="NormalTok"/>
        </w:rPr>
        <w:t>k</w:t>
      </w:r>
      <w:r>
        <w:rPr>
          <w:rStyle w:val="SpecialCharTok"/>
        </w:rPr>
        <w:t>*</w:t>
      </w:r>
      <w:r>
        <w:rPr>
          <w:rStyle w:val="NormalTok"/>
        </w:rPr>
        <w:t>rate</w:t>
      </w:r>
      <w:r>
        <w:br/>
      </w:r>
      <w:r>
        <w:rPr>
          <w:rStyle w:val="NormalTok"/>
        </w:rPr>
        <w:t xml:space="preserve">    SUB.OfficeCostsJnk </w:t>
      </w:r>
      <w:r>
        <w:rPr>
          <w:rStyle w:val="OtherTok"/>
        </w:rPr>
        <w:t>&lt;-</w:t>
      </w:r>
      <w:r>
        <w:rPr>
          <w:rStyle w:val="NormalTok"/>
        </w:rPr>
        <w:t xml:space="preserve"> Electricity </w:t>
      </w:r>
      <w:r>
        <w:rPr>
          <w:rStyle w:val="SpecialCharTok"/>
        </w:rPr>
        <w:t>*</w:t>
      </w:r>
      <w:r>
        <w:rPr>
          <w:rStyle w:val="NormalTok"/>
        </w:rPr>
        <w:t xml:space="preserve"> rate3</w:t>
      </w:r>
      <w:r>
        <w:br/>
      </w:r>
      <w:r>
        <w:rPr>
          <w:rStyle w:val="NormalTok"/>
        </w:rPr>
        <w:t xml:space="preserve">    SUB.TotalCosts </w:t>
      </w:r>
      <w:r>
        <w:rPr>
          <w:rStyle w:val="OtherTok"/>
        </w:rPr>
        <w:t>&lt;-</w:t>
      </w:r>
      <w:r>
        <w:rPr>
          <w:rStyle w:val="NormalTok"/>
        </w:rPr>
        <w:t xml:space="preserve"> </w:t>
      </w:r>
      <w:r>
        <w:rPr>
          <w:rStyle w:val="FunctionTok"/>
        </w:rPr>
        <w:t>currency</w:t>
      </w:r>
      <w:r>
        <w:rPr>
          <w:rStyle w:val="NormalTok"/>
        </w:rPr>
        <w:t>(</w:t>
      </w:r>
      <w:r>
        <w:rPr>
          <w:rStyle w:val="FunctionTok"/>
        </w:rPr>
        <w:t>sum</w:t>
      </w:r>
      <w:r>
        <w:rPr>
          <w:rStyle w:val="NormalTok"/>
        </w:rPr>
        <w:t>(SUB.PersCostJnk, SUB.MiscJnk, SUB.OfficeCostsJnk))</w:t>
      </w:r>
      <w:r>
        <w:br/>
      </w:r>
      <w:r>
        <w:rPr>
          <w:rStyle w:val="NormalTok"/>
        </w:rPr>
        <w:t xml:space="preserve">    </w:t>
      </w:r>
      <w:r>
        <w:br/>
      </w:r>
      <w:r>
        <w:rPr>
          <w:rStyle w:val="NormalTok"/>
        </w:rPr>
        <w:t xml:space="preserve">    AmountNeeded </w:t>
      </w:r>
      <w:r>
        <w:rPr>
          <w:rStyle w:val="OtherTok"/>
        </w:rPr>
        <w:t>&lt;-</w:t>
      </w:r>
      <w:r>
        <w:rPr>
          <w:rStyle w:val="NormalTok"/>
        </w:rPr>
        <w:t xml:space="preserve"> </w:t>
      </w:r>
      <w:r>
        <w:rPr>
          <w:rStyle w:val="FunctionTok"/>
        </w:rPr>
        <w:t>rbind</w:t>
      </w:r>
      <w:r>
        <w:rPr>
          <w:rStyle w:val="NormalTok"/>
        </w:rPr>
        <w:t xml:space="preserve">(AmountNeeded, </w:t>
      </w:r>
      <w:r>
        <w:rPr>
          <w:rStyle w:val="FunctionTok"/>
        </w:rPr>
        <w:t>cbind</w:t>
      </w:r>
      <w:r>
        <w:rPr>
          <w:rStyle w:val="NormalTok"/>
        </w:rPr>
        <w:t xml:space="preserve">(rate, </w:t>
      </w:r>
      <w:r>
        <w:rPr>
          <w:rStyle w:val="FunctionTok"/>
        </w:rPr>
        <w:t>round</w:t>
      </w:r>
      <w:r>
        <w:rPr>
          <w:rStyle w:val="NormalTok"/>
        </w:rPr>
        <w:t xml:space="preserve">(Yr1.TotalCosts), </w:t>
      </w:r>
      <w:r>
        <w:rPr>
          <w:rStyle w:val="FunctionTok"/>
        </w:rPr>
        <w:t>round</w:t>
      </w:r>
      <w:r>
        <w:rPr>
          <w:rStyle w:val="NormalTok"/>
        </w:rPr>
        <w:t>(SUB.TotalCosts)))</w:t>
      </w:r>
      <w:r>
        <w:rPr>
          <w:rStyle w:val="CommentTok"/>
        </w:rPr>
        <w:t>#Total.Area.ToCntrl.km,</w:t>
      </w:r>
      <w:r>
        <w:br/>
      </w:r>
      <w:r>
        <w:rPr>
          <w:rStyle w:val="NormalTok"/>
        </w:rPr>
        <w:t xml:space="preserve">    </w:t>
      </w:r>
      <w:r>
        <w:br/>
      </w:r>
      <w:r>
        <w:rPr>
          <w:rStyle w:val="NormalTok"/>
        </w:rPr>
        <w:lastRenderedPageBreak/>
        <w:t xml:space="preserve">  }</w:t>
      </w:r>
      <w:r>
        <w:br/>
      </w:r>
      <w:r>
        <w:rPr>
          <w:rStyle w:val="NormalTok"/>
        </w:rPr>
        <w:t xml:space="preserve">  AmountNeeded</w:t>
      </w:r>
      <w:r>
        <w:rPr>
          <w:rStyle w:val="SpecialCharTok"/>
        </w:rPr>
        <w:t>$</w:t>
      </w:r>
      <w:r>
        <w:rPr>
          <w:rStyle w:val="NormalTok"/>
        </w:rPr>
        <w:t xml:space="preserve">V3 </w:t>
      </w:r>
      <w:r>
        <w:rPr>
          <w:rStyle w:val="OtherTok"/>
        </w:rPr>
        <w:t>&lt;-</w:t>
      </w:r>
      <w:r>
        <w:rPr>
          <w:rStyle w:val="NormalTok"/>
        </w:rPr>
        <w:t xml:space="preserve"> </w:t>
      </w:r>
      <w:r>
        <w:rPr>
          <w:rStyle w:val="FunctionTok"/>
        </w:rPr>
        <w:t>currency</w:t>
      </w:r>
      <w:r>
        <w:rPr>
          <w:rStyle w:val="NormalTok"/>
        </w:rPr>
        <w:t>(AmountNeeded</w:t>
      </w:r>
      <w:r>
        <w:rPr>
          <w:rStyle w:val="SpecialCharTok"/>
        </w:rPr>
        <w:t>$</w:t>
      </w:r>
      <w:r>
        <w:rPr>
          <w:rStyle w:val="NormalTok"/>
        </w:rPr>
        <w:t>V3)</w:t>
      </w:r>
      <w:r>
        <w:br/>
      </w:r>
      <w:r>
        <w:rPr>
          <w:rStyle w:val="NormalTok"/>
        </w:rPr>
        <w:t xml:space="preserve">  AmountNeeded</w:t>
      </w:r>
      <w:r>
        <w:rPr>
          <w:rStyle w:val="SpecialCharTok"/>
        </w:rPr>
        <w:t>$</w:t>
      </w:r>
      <w:r>
        <w:rPr>
          <w:rStyle w:val="NormalTok"/>
        </w:rPr>
        <w:t xml:space="preserve">V2 </w:t>
      </w:r>
      <w:r>
        <w:rPr>
          <w:rStyle w:val="OtherTok"/>
        </w:rPr>
        <w:t>&lt;-</w:t>
      </w:r>
      <w:r>
        <w:rPr>
          <w:rStyle w:val="NormalTok"/>
        </w:rPr>
        <w:t xml:space="preserve"> </w:t>
      </w:r>
      <w:r>
        <w:rPr>
          <w:rStyle w:val="FunctionTok"/>
        </w:rPr>
        <w:t>currency</w:t>
      </w:r>
      <w:r>
        <w:rPr>
          <w:rStyle w:val="NormalTok"/>
        </w:rPr>
        <w:t>(AmountNeeded</w:t>
      </w:r>
      <w:r>
        <w:rPr>
          <w:rStyle w:val="SpecialCharTok"/>
        </w:rPr>
        <w:t>$</w:t>
      </w:r>
      <w:r>
        <w:rPr>
          <w:rStyle w:val="NormalTok"/>
        </w:rPr>
        <w:t>V2)</w:t>
      </w:r>
      <w:r>
        <w:br/>
      </w:r>
      <w:r>
        <w:rPr>
          <w:rStyle w:val="NormalTok"/>
        </w:rPr>
        <w:t xml:space="preserve">  </w:t>
      </w:r>
      <w:r>
        <w:br/>
      </w:r>
      <w:r>
        <w:rPr>
          <w:rStyle w:val="NormalTok"/>
        </w:rPr>
        <w:t xml:space="preserve">  </w:t>
      </w:r>
      <w:r>
        <w:br/>
      </w:r>
      <w:r>
        <w:rPr>
          <w:rStyle w:val="NormalTok"/>
        </w:rPr>
        <w:t xml:space="preserve">  AmountNeeded2 </w:t>
      </w:r>
      <w:r>
        <w:rPr>
          <w:rStyle w:val="OtherTok"/>
        </w:rPr>
        <w:t>&lt;-</w:t>
      </w:r>
      <w:r>
        <w:rPr>
          <w:rStyle w:val="NormalTok"/>
        </w:rPr>
        <w:t xml:space="preserve"> </w:t>
      </w:r>
      <w:r>
        <w:rPr>
          <w:rStyle w:val="FunctionTok"/>
        </w:rPr>
        <w:t>data.frame</w:t>
      </w:r>
      <w:r>
        <w:rPr>
          <w:rStyle w:val="NormalTok"/>
        </w:rPr>
        <w:t>(</w:t>
      </w:r>
      <w:r>
        <w:rPr>
          <w:rStyle w:val="FunctionTok"/>
        </w:rPr>
        <w:t>cbind</w:t>
      </w:r>
      <w:r>
        <w:rPr>
          <w:rStyle w:val="NormalTok"/>
        </w:rPr>
        <w:t>(Aedes.Mos.Density.km, Aedes.Mos.Sites, WildType.Males.km, Wolb.Males.Needed.km, AmountNeeded))</w:t>
      </w:r>
      <w:r>
        <w:rPr>
          <w:rStyle w:val="CommentTok"/>
        </w:rPr>
        <w:t>#</w:t>
      </w:r>
      <w:r>
        <w:br/>
      </w:r>
      <w:r>
        <w:rPr>
          <w:rStyle w:val="NormalTok"/>
        </w:rPr>
        <w:t xml:space="preserve">  </w:t>
      </w:r>
      <w:r>
        <w:rPr>
          <w:rStyle w:val="CommentTok"/>
        </w:rPr>
        <w:t># Aedes.Elev.m,</w:t>
      </w:r>
      <w:r>
        <w:br/>
      </w:r>
      <w:r>
        <w:rPr>
          <w:rStyle w:val="NormalTok"/>
        </w:rPr>
        <w:t xml:space="preserve">  </w:t>
      </w:r>
      <w:r>
        <w:rPr>
          <w:rStyle w:val="FunctionTok"/>
        </w:rPr>
        <w:t>coln</w:t>
      </w:r>
      <w:r>
        <w:rPr>
          <w:rStyle w:val="FunctionTok"/>
        </w:rPr>
        <w:t>ames</w:t>
      </w:r>
      <w:r>
        <w:rPr>
          <w:rStyle w:val="NormalTok"/>
        </w:rPr>
        <w:t xml:space="preserve">(AmountNeeded2) </w:t>
      </w:r>
      <w:r>
        <w:rPr>
          <w:rStyle w:val="OtherTok"/>
        </w:rPr>
        <w:t>&lt;-</w:t>
      </w:r>
      <w:r>
        <w:rPr>
          <w:rStyle w:val="NormalTok"/>
        </w:rPr>
        <w:t xml:space="preserve"> </w:t>
      </w:r>
      <w:r>
        <w:rPr>
          <w:rStyle w:val="FunctionTok"/>
        </w:rPr>
        <w:t>capitalize</w:t>
      </w:r>
      <w:r>
        <w:rPr>
          <w:rStyle w:val="NormalTok"/>
        </w:rPr>
        <w:t>(</w:t>
      </w:r>
      <w:r>
        <w:rPr>
          <w:rStyle w:val="FunctionTok"/>
        </w:rPr>
        <w:t>c</w:t>
      </w:r>
      <w:r>
        <w:rPr>
          <w:rStyle w:val="NormalTok"/>
        </w:rPr>
        <w:t>(</w:t>
      </w:r>
      <w:r>
        <w:rPr>
          <w:rStyle w:val="StringTok"/>
        </w:rPr>
        <w:t>'Culicid Density per Km2'</w:t>
      </w:r>
      <w:r>
        <w:rPr>
          <w:rStyle w:val="NormalTok"/>
        </w:rPr>
        <w:t>,</w:t>
      </w:r>
      <w:r>
        <w:rPr>
          <w:rStyle w:val="StringTok"/>
        </w:rPr>
        <w:t>'Flight Distance meters'</w:t>
      </w:r>
      <w:r>
        <w:rPr>
          <w:rStyle w:val="NormalTok"/>
        </w:rPr>
        <w:t xml:space="preserve">, </w:t>
      </w:r>
      <w:r>
        <w:rPr>
          <w:rStyle w:val="StringTok"/>
        </w:rPr>
        <w:t>'Wild Type Males'</w:t>
      </w:r>
      <w:r>
        <w:rPr>
          <w:rStyle w:val="NormalTok"/>
        </w:rPr>
        <w:t xml:space="preserve">, </w:t>
      </w:r>
      <w:r>
        <w:rPr>
          <w:rStyle w:val="StringTok"/>
        </w:rPr>
        <w:t>'IIT:Wild Type Males (10:1)'</w:t>
      </w:r>
      <w:r>
        <w:rPr>
          <w:rStyle w:val="NormalTok"/>
        </w:rPr>
        <w:t xml:space="preserve">, </w:t>
      </w:r>
      <w:r>
        <w:br/>
      </w:r>
      <w:r>
        <w:rPr>
          <w:rStyle w:val="NormalTok"/>
        </w:rPr>
        <w:t xml:space="preserve">                                          </w:t>
      </w:r>
      <w:r>
        <w:rPr>
          <w:rStyle w:val="StringTok"/>
        </w:rPr>
        <w:t>'Rate Used'</w:t>
      </w:r>
      <w:r>
        <w:rPr>
          <w:rStyle w:val="NormalTok"/>
        </w:rPr>
        <w:t xml:space="preserve">, </w:t>
      </w:r>
      <w:r>
        <w:rPr>
          <w:rStyle w:val="StringTok"/>
        </w:rPr>
        <w:t>'First Year Cost ($)'</w:t>
      </w:r>
      <w:r>
        <w:rPr>
          <w:rStyle w:val="NormalTok"/>
        </w:rPr>
        <w:t xml:space="preserve">, </w:t>
      </w:r>
      <w:r>
        <w:rPr>
          <w:rStyle w:val="StringTok"/>
        </w:rPr>
        <w:t>'Subsequent Year Costs ($)'</w:t>
      </w:r>
      <w:r>
        <w:rPr>
          <w:rStyle w:val="NormalTok"/>
        </w:rPr>
        <w:t>))</w:t>
      </w:r>
      <w:r>
        <w:br/>
      </w:r>
      <w:r>
        <w:rPr>
          <w:rStyle w:val="NormalTok"/>
        </w:rPr>
        <w:t xml:space="preserve">  </w:t>
      </w:r>
      <w:r>
        <w:br/>
      </w:r>
      <w:r>
        <w:rPr>
          <w:rStyle w:val="ControlFlowTok"/>
        </w:rPr>
        <w:t>for</w:t>
      </w:r>
      <w:r>
        <w:rPr>
          <w:rStyle w:val="NormalTok"/>
        </w:rPr>
        <w:t>(toc</w:t>
      </w:r>
      <w:r>
        <w:rPr>
          <w:rStyle w:val="NormalTok"/>
        </w:rPr>
        <w:t xml:space="preserve">omma </w:t>
      </w:r>
      <w:r>
        <w:rPr>
          <w:rStyle w:val="ControlFlowTok"/>
        </w:rPr>
        <w:t>in</w:t>
      </w:r>
      <w:r>
        <w:rPr>
          <w:rStyle w:val="NormalTok"/>
        </w:rPr>
        <w:t xml:space="preserve"> </w:t>
      </w:r>
      <w:r>
        <w:rPr>
          <w:rStyle w:val="DecValTok"/>
        </w:rPr>
        <w:t>2</w:t>
      </w:r>
      <w:r>
        <w:rPr>
          <w:rStyle w:val="SpecialCharTok"/>
        </w:rPr>
        <w:t>:</w:t>
      </w:r>
      <w:r>
        <w:rPr>
          <w:rStyle w:val="DecValTok"/>
        </w:rPr>
        <w:t>4</w:t>
      </w:r>
      <w:r>
        <w:rPr>
          <w:rStyle w:val="NormalTok"/>
        </w:rPr>
        <w:t>){</w:t>
      </w:r>
      <w:r>
        <w:br/>
      </w:r>
      <w:r>
        <w:rPr>
          <w:rStyle w:val="NormalTok"/>
        </w:rPr>
        <w:t xml:space="preserve">  AmountNeeded2[,tocomma] </w:t>
      </w:r>
      <w:r>
        <w:rPr>
          <w:rStyle w:val="OtherTok"/>
        </w:rPr>
        <w:t>&lt;-</w:t>
      </w:r>
      <w:r>
        <w:rPr>
          <w:rStyle w:val="NormalTok"/>
        </w:rPr>
        <w:t xml:space="preserve"> </w:t>
      </w:r>
      <w:r>
        <w:rPr>
          <w:rStyle w:val="FunctionTok"/>
        </w:rPr>
        <w:t>comma</w:t>
      </w:r>
      <w:r>
        <w:rPr>
          <w:rStyle w:val="NormalTok"/>
        </w:rPr>
        <w:t xml:space="preserve">(AmountNeeded2[, tocomma], </w:t>
      </w:r>
      <w:r>
        <w:rPr>
          <w:rStyle w:val="AttributeTok"/>
        </w:rPr>
        <w:t>digits =</w:t>
      </w:r>
      <w:r>
        <w:rPr>
          <w:rStyle w:val="NormalTok"/>
        </w:rPr>
        <w:t xml:space="preserve"> 0L)</w:t>
      </w:r>
      <w:r>
        <w:br/>
      </w:r>
      <w:r>
        <w:rPr>
          <w:rStyle w:val="NormalTok"/>
        </w:rPr>
        <w:t>}</w:t>
      </w:r>
      <w:r>
        <w:br/>
      </w:r>
      <w:r>
        <w:br/>
      </w:r>
      <w:r>
        <w:br/>
      </w:r>
      <w:r>
        <w:br/>
      </w:r>
      <w:r>
        <w:rPr>
          <w:rStyle w:val="CommentTok"/>
        </w:rPr>
        <w:t># Partitions &lt;- c(5,7)</w:t>
      </w:r>
      <w:r>
        <w:br/>
      </w:r>
      <w:r>
        <w:rPr>
          <w:rStyle w:val="CommentTok"/>
        </w:rPr>
        <w:t xml:space="preserve">#'Area of Control (sqr. km.)', </w:t>
      </w:r>
      <w:r>
        <w:br/>
      </w:r>
      <w:r>
        <w:rPr>
          <w:rStyle w:val="NormalTok"/>
        </w:rPr>
        <w:t xml:space="preserve">PrCntrlTable </w:t>
      </w:r>
      <w:r>
        <w:rPr>
          <w:rStyle w:val="OtherTok"/>
        </w:rPr>
        <w:t>&lt;-</w:t>
      </w:r>
      <w:r>
        <w:rPr>
          <w:rStyle w:val="NormalTok"/>
        </w:rPr>
        <w:t xml:space="preserve"> </w:t>
      </w:r>
      <w:r>
        <w:rPr>
          <w:rStyle w:val="FunctionTok"/>
        </w:rPr>
        <w:t>kable</w:t>
      </w:r>
      <w:r>
        <w:rPr>
          <w:rStyle w:val="NormalTok"/>
        </w:rPr>
        <w:t xml:space="preserve">(AmountNeeded2, </w:t>
      </w:r>
      <w:r>
        <w:rPr>
          <w:rStyle w:val="CommentTok"/>
        </w:rPr>
        <w:t>#title = "&lt;b&gt;IIT/SIT Male &lt;i&gt;Aedes aegypti&lt;/i&gt; Mass Release Production and Costs",</w:t>
      </w:r>
      <w:r>
        <w:br/>
      </w:r>
      <w:r>
        <w:rPr>
          <w:rStyle w:val="NormalTok"/>
        </w:rPr>
        <w:t xml:space="preserve">                      </w:t>
      </w:r>
      <w:r>
        <w:rPr>
          <w:rStyle w:val="AttributeTok"/>
        </w:rPr>
        <w:t>caption =</w:t>
      </w:r>
      <w:r>
        <w:rPr>
          <w:rStyle w:val="NormalTok"/>
        </w:rPr>
        <w:t xml:space="preserve"> </w:t>
      </w:r>
      <w:r>
        <w:rPr>
          <w:rStyle w:val="FunctionTok"/>
        </w:rPr>
        <w:t>paste0</w:t>
      </w:r>
      <w:r>
        <w:rPr>
          <w:rStyle w:val="NormalTok"/>
        </w:rPr>
        <w:t>(</w:t>
      </w:r>
      <w:r>
        <w:rPr>
          <w:rStyle w:val="StringTok"/>
        </w:rPr>
        <w:t>'&lt;b&gt;IIT/SIT Male &lt;i&gt;Aedes aegypti&lt;/i&gt; Mass Release Production and Costs for a '</w:t>
      </w:r>
      <w:r>
        <w:rPr>
          <w:rStyle w:val="NormalTok"/>
        </w:rPr>
        <w:t xml:space="preserve">, </w:t>
      </w:r>
      <w:r>
        <w:br/>
      </w:r>
      <w:r>
        <w:rPr>
          <w:rStyle w:val="NormalTok"/>
        </w:rPr>
        <w:t xml:space="preserve">                                       Total.Area.To</w:t>
      </w:r>
      <w:r>
        <w:rPr>
          <w:rStyle w:val="NormalTok"/>
        </w:rPr>
        <w:t xml:space="preserve">Cntrl.km, </w:t>
      </w:r>
      <w:r>
        <w:br/>
      </w:r>
      <w:r>
        <w:rPr>
          <w:rStyle w:val="NormalTok"/>
        </w:rPr>
        <w:t xml:space="preserve">                                       </w:t>
      </w:r>
      <w:r>
        <w:rPr>
          <w:rStyle w:val="StringTok"/>
        </w:rPr>
        <w:t>' km&lt;sup&gt;2&lt;/sup&gt; area.  In the table a rate of 1 is equivalent to the production of &amp;le; 500,000 IIT/SIT males.</w:t>
      </w:r>
      <w:r>
        <w:br/>
      </w:r>
      <w:r>
        <w:rPr>
          <w:rStyle w:val="StringTok"/>
        </w:rPr>
        <w:t xml:space="preserve">                                                      This does NOT include costs associated w</w:t>
      </w:r>
      <w:r>
        <w:rPr>
          <w:rStyle w:val="StringTok"/>
        </w:rPr>
        <w:t>ith community outreach or field releases. Rows h</w:t>
      </w:r>
      <w:r>
        <w:rPr>
          <w:rStyle w:val="StringTok"/>
        </w:rPr>
        <w:lastRenderedPageBreak/>
        <w:t>iglighted in red denote</w:t>
      </w:r>
      <w:r>
        <w:br/>
      </w:r>
      <w:r>
        <w:rPr>
          <w:rStyle w:val="StringTok"/>
        </w:rPr>
        <w:t xml:space="preserve">                                       possible flight distances derived from Verdonschot &lt;i&gt;et al.&lt;/i&gt; (2014), and those in blue represent the average distance </w:t>
      </w:r>
      <w:r>
        <w:br/>
      </w:r>
      <w:r>
        <w:rPr>
          <w:rStyle w:val="StringTok"/>
        </w:rPr>
        <w:t xml:space="preserve">                      </w:t>
      </w:r>
      <w:r>
        <w:rPr>
          <w:rStyle w:val="StringTok"/>
        </w:rPr>
        <w:t xml:space="preserve">                 &lt;i&gt;Aedes aegypti&lt;/i&gt; adults fly in a lifetime, derived from the World Health Organization (WHO) estimate.&lt;/b&gt;'</w:t>
      </w:r>
      <w:r>
        <w:rPr>
          <w:rStyle w:val="NormalTok"/>
        </w:rPr>
        <w:t xml:space="preserve">), </w:t>
      </w:r>
      <w:r>
        <w:br/>
      </w:r>
      <w:r>
        <w:rPr>
          <w:rStyle w:val="NormalTok"/>
        </w:rPr>
        <w:t xml:space="preserve">                      </w:t>
      </w:r>
      <w:r>
        <w:rPr>
          <w:rStyle w:val="AttributeTok"/>
        </w:rPr>
        <w:t>escape =</w:t>
      </w:r>
      <w:r>
        <w:rPr>
          <w:rStyle w:val="NormalTok"/>
        </w:rPr>
        <w:t xml:space="preserve"> F, </w:t>
      </w:r>
      <w:r>
        <w:rPr>
          <w:rStyle w:val="AttributeTok"/>
        </w:rPr>
        <w:t>format =</w:t>
      </w:r>
      <w:r>
        <w:rPr>
          <w:rStyle w:val="NormalTok"/>
        </w:rPr>
        <w:t xml:space="preserve"> </w:t>
      </w:r>
      <w:r>
        <w:rPr>
          <w:rStyle w:val="StringTok"/>
        </w:rPr>
        <w:t>'html'</w:t>
      </w:r>
      <w:r>
        <w:rPr>
          <w:rStyle w:val="NormalTok"/>
        </w:rPr>
        <w:t xml:space="preserve">) </w:t>
      </w:r>
      <w:r>
        <w:rPr>
          <w:rStyle w:val="SpecialCharTok"/>
        </w:rPr>
        <w:t>%&gt;%</w:t>
      </w:r>
      <w:r>
        <w:br/>
      </w:r>
      <w:r>
        <w:rPr>
          <w:rStyle w:val="NormalTok"/>
        </w:rPr>
        <w:t xml:space="preserve">  </w:t>
      </w:r>
      <w:r>
        <w:rPr>
          <w:rStyle w:val="FunctionTok"/>
        </w:rPr>
        <w:t>kable_styling</w:t>
      </w:r>
      <w:r>
        <w:rPr>
          <w:rStyle w:val="NormalTok"/>
        </w:rPr>
        <w:t>(</w:t>
      </w:r>
      <w:r>
        <w:rPr>
          <w:rStyle w:val="StringTok"/>
        </w:rPr>
        <w:t>"striped"</w:t>
      </w:r>
      <w:r>
        <w:rPr>
          <w:rStyle w:val="NormalTok"/>
        </w:rPr>
        <w:t xml:space="preserve">, </w:t>
      </w:r>
      <w:r>
        <w:rPr>
          <w:rStyle w:val="AttributeTok"/>
        </w:rPr>
        <w:t>full_width =</w:t>
      </w:r>
      <w:r>
        <w:rPr>
          <w:rStyle w:val="NormalTok"/>
        </w:rPr>
        <w:t xml:space="preserve"> F) </w:t>
      </w:r>
      <w:r>
        <w:rPr>
          <w:rStyle w:val="SpecialCharTok"/>
        </w:rPr>
        <w:t>%&gt;%</w:t>
      </w:r>
      <w:r>
        <w:br/>
      </w:r>
      <w:r>
        <w:rPr>
          <w:rStyle w:val="NormalTok"/>
        </w:rPr>
        <w:t xml:space="preserve">  </w:t>
      </w:r>
      <w:r>
        <w:rPr>
          <w:rStyle w:val="CommentTok"/>
        </w:rPr>
        <w:t># group_rows(toupper(</w:t>
      </w:r>
      <w:r>
        <w:rPr>
          <w:rStyle w:val="CommentTok"/>
        </w:rPr>
        <w:t>paste0("Low Elevation")), 1, Partitions[1]-1, indent = F) %&gt;%</w:t>
      </w:r>
      <w:r>
        <w:br/>
      </w:r>
      <w:r>
        <w:rPr>
          <w:rStyle w:val="NormalTok"/>
        </w:rPr>
        <w:t xml:space="preserve">  </w:t>
      </w:r>
      <w:r>
        <w:rPr>
          <w:rStyle w:val="CommentTok"/>
        </w:rPr>
        <w:t># group_rows(toupper(paste0("Mid Elevation")), Partitions[1], Partitions[2], indent = F) %&gt;%</w:t>
      </w:r>
      <w:r>
        <w:br/>
      </w:r>
      <w:r>
        <w:rPr>
          <w:rStyle w:val="NormalTok"/>
        </w:rPr>
        <w:t xml:space="preserve">  </w:t>
      </w:r>
      <w:r>
        <w:rPr>
          <w:rStyle w:val="FunctionTok"/>
        </w:rPr>
        <w:t>row_spec</w:t>
      </w:r>
      <w:r>
        <w:rPr>
          <w:rStyle w:val="NormalTok"/>
        </w:rPr>
        <w:t>(</w:t>
      </w:r>
      <w:r>
        <w:rPr>
          <w:rStyle w:val="AttributeTok"/>
        </w:rPr>
        <w:t>row =</w:t>
      </w:r>
      <w:r>
        <w:rPr>
          <w:rStyle w:val="NormalTok"/>
        </w:rPr>
        <w:t xml:space="preserve"> </w:t>
      </w:r>
      <w:r>
        <w:rPr>
          <w:rStyle w:val="DecValTok"/>
        </w:rPr>
        <w:t>0</w:t>
      </w:r>
      <w:r>
        <w:rPr>
          <w:rStyle w:val="NormalTok"/>
        </w:rPr>
        <w:t xml:space="preserve">, </w:t>
      </w:r>
      <w:r>
        <w:rPr>
          <w:rStyle w:val="AttributeTok"/>
        </w:rPr>
        <w:t>bold =</w:t>
      </w:r>
      <w:r>
        <w:rPr>
          <w:rStyle w:val="NormalTok"/>
        </w:rPr>
        <w:t xml:space="preserve"> T, </w:t>
      </w:r>
      <w:r>
        <w:rPr>
          <w:rStyle w:val="AttributeTok"/>
        </w:rPr>
        <w:t>align =</w:t>
      </w:r>
      <w:r>
        <w:rPr>
          <w:rStyle w:val="NormalTok"/>
        </w:rPr>
        <w:t xml:space="preserve"> </w:t>
      </w:r>
      <w:r>
        <w:rPr>
          <w:rStyle w:val="StringTok"/>
        </w:rPr>
        <w:t>'center'</w:t>
      </w:r>
      <w:r>
        <w:rPr>
          <w:rStyle w:val="NormalTok"/>
        </w:rPr>
        <w:t xml:space="preserve">) </w:t>
      </w:r>
      <w:r>
        <w:rPr>
          <w:rStyle w:val="SpecialCharTok"/>
        </w:rPr>
        <w:t>%&gt;%</w:t>
      </w:r>
      <w:r>
        <w:br/>
      </w:r>
      <w:r>
        <w:rPr>
          <w:rStyle w:val="NormalTok"/>
        </w:rPr>
        <w:t xml:space="preserve">  </w:t>
      </w:r>
      <w:r>
        <w:rPr>
          <w:rStyle w:val="FunctionTok"/>
        </w:rPr>
        <w:t>row_spec</w:t>
      </w:r>
      <w:r>
        <w:rPr>
          <w:rStyle w:val="NormalTok"/>
        </w:rPr>
        <w:t>(</w:t>
      </w:r>
      <w:r>
        <w:rPr>
          <w:rStyle w:val="AttributeTok"/>
        </w:rPr>
        <w:t>row =</w:t>
      </w:r>
      <w:r>
        <w:rPr>
          <w:rStyle w:val="NormalTok"/>
        </w:rPr>
        <w:t xml:space="preserve"> </w:t>
      </w:r>
      <w:r>
        <w:rPr>
          <w:rStyle w:val="DecValTok"/>
        </w:rPr>
        <w:t>1</w:t>
      </w:r>
      <w:r>
        <w:rPr>
          <w:rStyle w:val="SpecialCharTok"/>
        </w:rPr>
        <w:t>:</w:t>
      </w:r>
      <w:r>
        <w:rPr>
          <w:rStyle w:val="FunctionTok"/>
        </w:rPr>
        <w:t>nrow</w:t>
      </w:r>
      <w:r>
        <w:rPr>
          <w:rStyle w:val="NormalTok"/>
        </w:rPr>
        <w:t xml:space="preserve">(AmountNeeded2), </w:t>
      </w:r>
      <w:r>
        <w:rPr>
          <w:rStyle w:val="AttributeTok"/>
        </w:rPr>
        <w:t>align =</w:t>
      </w:r>
      <w:r>
        <w:rPr>
          <w:rStyle w:val="NormalTok"/>
        </w:rPr>
        <w:t xml:space="preserve"> </w:t>
      </w:r>
      <w:r>
        <w:rPr>
          <w:rStyle w:val="StringTok"/>
        </w:rPr>
        <w:t>'center'</w:t>
      </w:r>
      <w:r>
        <w:rPr>
          <w:rStyle w:val="NormalTok"/>
        </w:rPr>
        <w:t xml:space="preserve">) </w:t>
      </w:r>
      <w:r>
        <w:rPr>
          <w:rStyle w:val="SpecialCharTok"/>
        </w:rPr>
        <w:t>%&gt;%</w:t>
      </w:r>
      <w:r>
        <w:br/>
      </w:r>
      <w:r>
        <w:rPr>
          <w:rStyle w:val="NormalTok"/>
        </w:rPr>
        <w:t xml:space="preserve">  </w:t>
      </w:r>
      <w:r>
        <w:rPr>
          <w:rStyle w:val="FunctionTok"/>
        </w:rPr>
        <w:t>row_spec</w:t>
      </w:r>
      <w:r>
        <w:rPr>
          <w:rStyle w:val="NormalTok"/>
        </w:rPr>
        <w:t>(</w:t>
      </w:r>
      <w:r>
        <w:rPr>
          <w:rStyle w:val="DecValTok"/>
        </w:rPr>
        <w:t>3</w:t>
      </w:r>
      <w:r>
        <w:rPr>
          <w:rStyle w:val="SpecialCharTok"/>
        </w:rPr>
        <w:t>:</w:t>
      </w:r>
      <w:r>
        <w:rPr>
          <w:rStyle w:val="DecValTok"/>
        </w:rPr>
        <w:t>4</w:t>
      </w:r>
      <w:r>
        <w:rPr>
          <w:rStyle w:val="NormalTok"/>
        </w:rPr>
        <w:t xml:space="preserve">, </w:t>
      </w:r>
      <w:r>
        <w:rPr>
          <w:rStyle w:val="AttributeTok"/>
        </w:rPr>
        <w:t>bold =</w:t>
      </w:r>
      <w:r>
        <w:rPr>
          <w:rStyle w:val="NormalTok"/>
        </w:rPr>
        <w:t xml:space="preserve"> T,  </w:t>
      </w:r>
      <w:r>
        <w:rPr>
          <w:rStyle w:val="AttributeTok"/>
        </w:rPr>
        <w:t>color =</w:t>
      </w:r>
      <w:r>
        <w:rPr>
          <w:rStyle w:val="NormalTok"/>
        </w:rPr>
        <w:t xml:space="preserve"> </w:t>
      </w:r>
      <w:r>
        <w:rPr>
          <w:rStyle w:val="StringTok"/>
        </w:rPr>
        <w:t>"white"</w:t>
      </w:r>
      <w:r>
        <w:rPr>
          <w:rStyle w:val="NormalTok"/>
        </w:rPr>
        <w:t xml:space="preserve">, </w:t>
      </w:r>
      <w:r>
        <w:rPr>
          <w:rStyle w:val="AttributeTok"/>
        </w:rPr>
        <w:t>background =</w:t>
      </w:r>
      <w:r>
        <w:rPr>
          <w:rStyle w:val="NormalTok"/>
        </w:rPr>
        <w:t xml:space="preserve"> </w:t>
      </w:r>
      <w:r>
        <w:rPr>
          <w:rStyle w:val="StringTok"/>
        </w:rPr>
        <w:t>"darkred"</w:t>
      </w:r>
      <w:r>
        <w:rPr>
          <w:rStyle w:val="NormalTok"/>
        </w:rPr>
        <w:t xml:space="preserve">) </w:t>
      </w:r>
      <w:r>
        <w:rPr>
          <w:rStyle w:val="SpecialCharTok"/>
        </w:rPr>
        <w:t>%&gt;%</w:t>
      </w:r>
      <w:r>
        <w:br/>
      </w:r>
      <w:r>
        <w:rPr>
          <w:rStyle w:val="FunctionTok"/>
        </w:rPr>
        <w:t>row_spec</w:t>
      </w:r>
      <w:r>
        <w:rPr>
          <w:rStyle w:val="NormalTok"/>
        </w:rPr>
        <w:t>(</w:t>
      </w:r>
      <w:r>
        <w:rPr>
          <w:rStyle w:val="DecValTok"/>
        </w:rPr>
        <w:t>8</w:t>
      </w:r>
      <w:r>
        <w:rPr>
          <w:rStyle w:val="NormalTok"/>
        </w:rPr>
        <w:t xml:space="preserve">, </w:t>
      </w:r>
      <w:r>
        <w:rPr>
          <w:rStyle w:val="AttributeTok"/>
        </w:rPr>
        <w:t>bold =</w:t>
      </w:r>
      <w:r>
        <w:rPr>
          <w:rStyle w:val="NormalTok"/>
        </w:rPr>
        <w:t xml:space="preserve"> T,  </w:t>
      </w:r>
      <w:r>
        <w:rPr>
          <w:rStyle w:val="AttributeTok"/>
        </w:rPr>
        <w:t>color =</w:t>
      </w:r>
      <w:r>
        <w:rPr>
          <w:rStyle w:val="NormalTok"/>
        </w:rPr>
        <w:t xml:space="preserve"> </w:t>
      </w:r>
      <w:r>
        <w:rPr>
          <w:rStyle w:val="StringTok"/>
        </w:rPr>
        <w:t>"white"</w:t>
      </w:r>
      <w:r>
        <w:rPr>
          <w:rStyle w:val="NormalTok"/>
        </w:rPr>
        <w:t xml:space="preserve">, </w:t>
      </w:r>
      <w:r>
        <w:rPr>
          <w:rStyle w:val="AttributeTok"/>
        </w:rPr>
        <w:t>background =</w:t>
      </w:r>
      <w:r>
        <w:rPr>
          <w:rStyle w:val="NormalTok"/>
        </w:rPr>
        <w:t xml:space="preserve"> </w:t>
      </w:r>
      <w:r>
        <w:rPr>
          <w:rStyle w:val="StringTok"/>
        </w:rPr>
        <w:t>"darkblue"</w:t>
      </w:r>
      <w:r>
        <w:rPr>
          <w:rStyle w:val="NormalTok"/>
        </w:rPr>
        <w:t>)</w:t>
      </w:r>
      <w:r>
        <w:rPr>
          <w:rStyle w:val="SpecialCharTok"/>
        </w:rPr>
        <w:t>%&gt;%</w:t>
      </w:r>
      <w:r>
        <w:br/>
      </w:r>
      <w:r>
        <w:rPr>
          <w:rStyle w:val="NormalTok"/>
        </w:rPr>
        <w:t xml:space="preserve">  </w:t>
      </w:r>
      <w:r>
        <w:rPr>
          <w:rStyle w:val="FunctionTok"/>
        </w:rPr>
        <w:t>add_footnote</w:t>
      </w:r>
      <w:r>
        <w:rPr>
          <w:rStyle w:val="NormalTok"/>
        </w:rPr>
        <w:t>(</w:t>
      </w:r>
      <w:r>
        <w:rPr>
          <w:rStyle w:val="FunctionTok"/>
        </w:rPr>
        <w:t>c</w:t>
      </w:r>
      <w:r>
        <w:rPr>
          <w:rStyle w:val="NormalTok"/>
        </w:rPr>
        <w:t>(</w:t>
      </w:r>
      <w:r>
        <w:rPr>
          <w:rStyle w:val="StringTok"/>
        </w:rPr>
        <w:t>'Note: Verdonschot, Piet F.M., and Anna A. Besse-Lototskaya. Limnologica 45 (March 2014): 69â79. https://doi.org/10.1016/j.limno.2013.11.002.'</w:t>
      </w:r>
      <w:r>
        <w:rPr>
          <w:rStyle w:val="NormalTok"/>
        </w:rPr>
        <w:t>,</w:t>
      </w:r>
      <w:r>
        <w:br/>
      </w:r>
      <w:r>
        <w:rPr>
          <w:rStyle w:val="NormalTok"/>
        </w:rPr>
        <w:t xml:space="preserve">                 </w:t>
      </w:r>
      <w:r>
        <w:rPr>
          <w:rStyle w:val="StringTok"/>
        </w:rPr>
        <w:t>'Note: World Health Organization (WHO) flight distance information (accessed 4/18/2020): http</w:t>
      </w:r>
      <w:r>
        <w:rPr>
          <w:rStyle w:val="StringTok"/>
        </w:rPr>
        <w:t>s://www.who.int/denguecontrol/mosquito/en/'</w:t>
      </w:r>
      <w:r>
        <w:rPr>
          <w:rStyle w:val="NormalTok"/>
        </w:rPr>
        <w:t>,</w:t>
      </w:r>
      <w:r>
        <w:br/>
      </w:r>
      <w:r>
        <w:rPr>
          <w:rStyle w:val="NormalTok"/>
        </w:rPr>
        <w:t xml:space="preserve">                 </w:t>
      </w:r>
      <w:r>
        <w:rPr>
          <w:rStyle w:val="StringTok"/>
        </w:rPr>
        <w:t>'Note: This does not include mosquito dispersal/application costs.'</w:t>
      </w:r>
      <w:r>
        <w:rPr>
          <w:rStyle w:val="NormalTok"/>
        </w:rPr>
        <w:t xml:space="preserve">), </w:t>
      </w:r>
      <w:r>
        <w:rPr>
          <w:rStyle w:val="AttributeTok"/>
        </w:rPr>
        <w:t>notation =</w:t>
      </w:r>
      <w:r>
        <w:rPr>
          <w:rStyle w:val="NormalTok"/>
        </w:rPr>
        <w:t xml:space="preserve"> </w:t>
      </w:r>
      <w:r>
        <w:rPr>
          <w:rStyle w:val="StringTok"/>
        </w:rPr>
        <w:t>'number'</w:t>
      </w:r>
      <w:r>
        <w:rPr>
          <w:rStyle w:val="NormalTok"/>
        </w:rPr>
        <w:t>)</w:t>
      </w:r>
      <w:r>
        <w:br/>
      </w:r>
      <w:r>
        <w:br/>
      </w:r>
      <w:r>
        <w:rPr>
          <w:rStyle w:val="CommentTok"/>
        </w:rPr>
        <w:t xml:space="preserve"># </w:t>
      </w:r>
      <w:r>
        <w:br/>
      </w:r>
      <w:r>
        <w:rPr>
          <w:rStyle w:val="CommentTok"/>
        </w:rPr>
        <w:t xml:space="preserve"># </w:t>
      </w:r>
      <w:r>
        <w:br/>
      </w:r>
      <w:r>
        <w:rPr>
          <w:rStyle w:val="NormalTok"/>
        </w:rPr>
        <w:t>kableExtra</w:t>
      </w:r>
      <w:r>
        <w:rPr>
          <w:rStyle w:val="SpecialCharTok"/>
        </w:rPr>
        <w:t>:::</w:t>
      </w:r>
      <w:r>
        <w:rPr>
          <w:rStyle w:val="FunctionTok"/>
        </w:rPr>
        <w:t>as_image</w:t>
      </w:r>
      <w:r>
        <w:rPr>
          <w:rStyle w:val="NormalTok"/>
        </w:rPr>
        <w:t xml:space="preserve">(PrCntrlTable, </w:t>
      </w:r>
      <w:r>
        <w:rPr>
          <w:rStyle w:val="AttributeTok"/>
        </w:rPr>
        <w:t>file =</w:t>
      </w:r>
      <w:r>
        <w:rPr>
          <w:rStyle w:val="NormalTok"/>
        </w:rPr>
        <w:t xml:space="preserve"> </w:t>
      </w:r>
      <w:r>
        <w:rPr>
          <w:rStyle w:val="FunctionTok"/>
        </w:rPr>
        <w:t>paste0</w:t>
      </w:r>
      <w:r>
        <w:rPr>
          <w:rStyle w:val="NormalTok"/>
        </w:rPr>
        <w:t xml:space="preserve">(WorkFolder, </w:t>
      </w:r>
      <w:r>
        <w:rPr>
          <w:rStyle w:val="StringTok"/>
        </w:rPr>
        <w:t>'Rearing Costs for '</w:t>
      </w:r>
      <w:r>
        <w:rPr>
          <w:rStyle w:val="NormalTok"/>
        </w:rPr>
        <w:t>,</w:t>
      </w:r>
      <w:r>
        <w:br/>
      </w:r>
      <w:r>
        <w:rPr>
          <w:rStyle w:val="NormalTok"/>
        </w:rPr>
        <w:t xml:space="preserve">            </w:t>
      </w:r>
      <w:r>
        <w:rPr>
          <w:rStyle w:val="NormalTok"/>
        </w:rPr>
        <w:t xml:space="preserve">                                      Total.Area.ToCntrl.km , </w:t>
      </w:r>
      <w:r>
        <w:rPr>
          <w:rStyle w:val="StringTok"/>
        </w:rPr>
        <w:t>'sqr.km_1.html'</w:t>
      </w:r>
      <w:r>
        <w:rPr>
          <w:rStyle w:val="NormalTok"/>
        </w:rPr>
        <w:t>))</w:t>
      </w:r>
      <w:r>
        <w:br/>
      </w:r>
      <w:r>
        <w:rPr>
          <w:rStyle w:val="CommentTok"/>
        </w:rPr>
        <w:t xml:space="preserve"># </w:t>
      </w:r>
      <w:r>
        <w:br/>
      </w:r>
      <w:r>
        <w:lastRenderedPageBreak/>
        <w:br/>
      </w:r>
      <w:r>
        <w:rPr>
          <w:rStyle w:val="CommentTok"/>
        </w:rPr>
        <w:t xml:space="preserve"># as_image(PrCntrlTable, file = paste0(WorkFolder, 'Rearing Costs for ', </w:t>
      </w:r>
      <w:r>
        <w:br/>
      </w:r>
      <w:r>
        <w:rPr>
          <w:rStyle w:val="CommentTok"/>
        </w:rPr>
        <w:t>#                                      Total.Area.ToCntrl.km , 'sqr.km_2.pdf'))rm(list = ls())</w:t>
      </w:r>
      <w:r>
        <w:br/>
      </w:r>
      <w:r>
        <w:br/>
      </w:r>
      <w:r>
        <w:br/>
      </w:r>
      <w:r>
        <w:rPr>
          <w:rStyle w:val="NormalTok"/>
        </w:rPr>
        <w:t xml:space="preserve"> </w:t>
      </w:r>
      <w:r>
        <w:rPr>
          <w:rStyle w:val="CommentTok"/>
        </w:rPr>
        <w:t xml:space="preserve"># caption = paste0('&lt;b&gt;IIT/SIT Male &lt;i&gt;Aedes aegypti&lt;/i&gt; Mass Release Production and Costs for a ', </w:t>
      </w:r>
      <w:r>
        <w:br/>
      </w:r>
      <w:r>
        <w:rPr>
          <w:rStyle w:val="NormalTok"/>
        </w:rPr>
        <w:t xml:space="preserve"> </w:t>
      </w:r>
      <w:r>
        <w:rPr>
          <w:rStyle w:val="CommentTok"/>
        </w:rPr>
        <w:t xml:space="preserve">#                                       Total.Area.ToCntrl.km, </w:t>
      </w:r>
      <w:r>
        <w:br/>
      </w:r>
      <w:r>
        <w:rPr>
          <w:rStyle w:val="NormalTok"/>
        </w:rPr>
        <w:t xml:space="preserve"> </w:t>
      </w:r>
      <w:r>
        <w:rPr>
          <w:rStyle w:val="CommentTok"/>
        </w:rPr>
        <w:t xml:space="preserve">#                                       ' km&lt;sup&gt;2&lt;/sup&gt; area.  In the table a rate of 1 </w:t>
      </w:r>
      <w:r>
        <w:rPr>
          <w:rStyle w:val="CommentTok"/>
        </w:rPr>
        <w:t>is equivalent to the production of &amp;le; 500,000 IIT/SIT males.</w:t>
      </w:r>
      <w:r>
        <w:br/>
      </w:r>
      <w:r>
        <w:rPr>
          <w:rStyle w:val="NormalTok"/>
        </w:rPr>
        <w:t xml:space="preserve"> </w:t>
      </w:r>
      <w:r>
        <w:rPr>
          <w:rStyle w:val="CommentTok"/>
        </w:rPr>
        <w:t>#                                                      This does NOT include costs associated with community outreach or field releases. Rows higlighted in red denote</w:t>
      </w:r>
      <w:r>
        <w:br/>
      </w:r>
      <w:r>
        <w:rPr>
          <w:rStyle w:val="NormalTok"/>
        </w:rPr>
        <w:t xml:space="preserve"> </w:t>
      </w:r>
      <w:r>
        <w:rPr>
          <w:rStyle w:val="CommentTok"/>
        </w:rPr>
        <w:t xml:space="preserve">#                       </w:t>
      </w:r>
      <w:r>
        <w:rPr>
          <w:rStyle w:val="CommentTok"/>
        </w:rPr>
        <w:t xml:space="preserve">                possible flight distances derived from Verdonschot &lt;i&gt;et al.&lt;/i&gt; (2014), and those in blue represent the average distance </w:t>
      </w:r>
      <w:r>
        <w:br/>
      </w:r>
      <w:r>
        <w:rPr>
          <w:rStyle w:val="NormalTok"/>
        </w:rPr>
        <w:t xml:space="preserve"> </w:t>
      </w:r>
      <w:r>
        <w:rPr>
          <w:rStyle w:val="CommentTok"/>
        </w:rPr>
        <w:t>#                                       &lt;i&gt;Aedes aegypti&lt;/i&gt; adults fly in a lifetime, derived from the World Health</w:t>
      </w:r>
      <w:r>
        <w:rPr>
          <w:rStyle w:val="CommentTok"/>
        </w:rPr>
        <w:t xml:space="preserve"> Organization (WHO) estimate.&lt;/b&gt;')</w:t>
      </w:r>
      <w:r>
        <w:br/>
      </w:r>
      <w:r>
        <w:rPr>
          <w:rStyle w:val="NormalTok"/>
        </w:rPr>
        <w:t xml:space="preserve"> </w:t>
      </w:r>
      <w:r>
        <w:rPr>
          <w:rStyle w:val="CommentTok"/>
        </w:rPr>
        <w:t>#  add_footnote(c('Note: Verdonschot, Piet F.M., and Anna A. Besse-Lototskaya. Limnologica 45 (March 2014): 69â79. https://doi.org/10.1016/j.limno.2013.11.002.',</w:t>
      </w:r>
      <w:r>
        <w:br/>
      </w:r>
      <w:r>
        <w:rPr>
          <w:rStyle w:val="NormalTok"/>
        </w:rPr>
        <w:t xml:space="preserve"> </w:t>
      </w:r>
      <w:r>
        <w:rPr>
          <w:rStyle w:val="CommentTok"/>
        </w:rPr>
        <w:t>#                 'Note: World Health Organization (WH</w:t>
      </w:r>
      <w:r>
        <w:rPr>
          <w:rStyle w:val="CommentTok"/>
        </w:rPr>
        <w:t>O) flight distance information (accessed 4/18/2020): https://www.who.int/denguecontrol/mosquito/en/',</w:t>
      </w:r>
      <w:r>
        <w:br/>
      </w:r>
      <w:r>
        <w:rPr>
          <w:rStyle w:val="NormalTok"/>
        </w:rPr>
        <w:t xml:space="preserve"> </w:t>
      </w:r>
      <w:r>
        <w:rPr>
          <w:rStyle w:val="CommentTok"/>
        </w:rPr>
        <w:t>#                 'Note: This does not include mosquito dispersal/application costs.'), notation = 'number')</w:t>
      </w:r>
    </w:p>
    <w:p w:rsidR="00BA146B" w:rsidRDefault="00B04067">
      <w:pPr>
        <w:pStyle w:val="Heading2"/>
      </w:pPr>
      <w:bookmarkStart w:id="24" w:name="X7263cee4dc539e64a7bb297c1252a38bae9678b"/>
      <w:bookmarkEnd w:id="23"/>
      <w:r>
        <w:t xml:space="preserve">Cost estimator function with table output for </w:t>
      </w:r>
      <w:r>
        <w:rPr>
          <w:i/>
          <w:iCs/>
        </w:rPr>
        <w:t>A. aegypti</w:t>
      </w:r>
      <w:r>
        <w:t xml:space="preserve"> cost calculator</w:t>
      </w:r>
    </w:p>
    <w:p w:rsidR="00BA146B" w:rsidRDefault="00B04067">
      <w:pPr>
        <w:pStyle w:val="SourceCode"/>
      </w:pPr>
      <w:r>
        <w:rPr>
          <w:rStyle w:val="CommentTok"/>
        </w:rPr>
        <w:t xml:space="preserve"># For further information about this calculator please contact the author at: </w:t>
      </w:r>
      <w:r>
        <w:br/>
      </w:r>
      <w:r>
        <w:rPr>
          <w:rStyle w:val="CommentTok"/>
        </w:rPr>
        <w:lastRenderedPageBreak/>
        <w:t xml:space="preserve">#   </w:t>
      </w:r>
      <w:r>
        <w:br/>
      </w:r>
      <w:r>
        <w:rPr>
          <w:rStyle w:val="CommentTok"/>
        </w:rPr>
        <w:t># Adam E. Vorsino, Ph.D.</w:t>
      </w:r>
      <w:r>
        <w:br/>
      </w:r>
      <w:r>
        <w:rPr>
          <w:rStyle w:val="CommentTok"/>
        </w:rPr>
        <w:t># Strategic Habitat Conservation Division</w:t>
      </w:r>
      <w:r>
        <w:br/>
      </w:r>
      <w:r>
        <w:rPr>
          <w:rStyle w:val="CommentTok"/>
        </w:rPr>
        <w:t># Pacific Island Fish and Wildli</w:t>
      </w:r>
      <w:r>
        <w:rPr>
          <w:rStyle w:val="CommentTok"/>
        </w:rPr>
        <w:t>fe Office</w:t>
      </w:r>
      <w:r>
        <w:br/>
      </w:r>
      <w:r>
        <w:rPr>
          <w:rStyle w:val="CommentTok"/>
        </w:rPr>
        <w:t># 300 Ala Moana Blvd. Ste. 3-122</w:t>
      </w:r>
      <w:r>
        <w:br/>
      </w:r>
      <w:r>
        <w:rPr>
          <w:rStyle w:val="CommentTok"/>
        </w:rPr>
        <w:t># adam_vorsino@fws.gov</w:t>
      </w:r>
      <w:r>
        <w:br/>
      </w:r>
      <w:r>
        <w:rPr>
          <w:rStyle w:val="CommentTok"/>
        </w:rPr>
        <w:t># (808)792-9431</w:t>
      </w:r>
      <w:r>
        <w:br/>
      </w:r>
      <w:r>
        <w:rPr>
          <w:rStyle w:val="NormalTok"/>
        </w:rPr>
        <w:t xml:space="preserve">LaboratorySpaceA </w:t>
      </w:r>
      <w:r>
        <w:rPr>
          <w:rStyle w:val="OtherTok"/>
        </w:rPr>
        <w:t>&lt;-</w:t>
      </w:r>
      <w:r>
        <w:rPr>
          <w:rStyle w:val="NormalTok"/>
        </w:rPr>
        <w:t xml:space="preserve"> </w:t>
      </w:r>
      <w:r>
        <w:rPr>
          <w:rStyle w:val="DecValTok"/>
        </w:rPr>
        <w:t>800</w:t>
      </w:r>
      <w:r>
        <w:rPr>
          <w:rStyle w:val="NormalTok"/>
        </w:rPr>
        <w:t xml:space="preserve"> </w:t>
      </w:r>
      <w:r>
        <w:rPr>
          <w:rStyle w:val="SpecialCharTok"/>
        </w:rPr>
        <w:t>*</w:t>
      </w:r>
      <w:r>
        <w:rPr>
          <w:rStyle w:val="NormalTok"/>
        </w:rPr>
        <w:t xml:space="preserve"> </w:t>
      </w:r>
      <w:r>
        <w:rPr>
          <w:rStyle w:val="FunctionTok"/>
        </w:rPr>
        <w:t>median</w:t>
      </w:r>
      <w:r>
        <w:rPr>
          <w:rStyle w:val="NormalTok"/>
        </w:rPr>
        <w:t>(</w:t>
      </w:r>
      <w:r>
        <w:rPr>
          <w:rStyle w:val="FunctionTok"/>
        </w:rPr>
        <w:t>c</w:t>
      </w:r>
      <w:r>
        <w:rPr>
          <w:rStyle w:val="NormalTok"/>
        </w:rPr>
        <w:t>((</w:t>
      </w:r>
      <w:r>
        <w:rPr>
          <w:rStyle w:val="DecValTok"/>
        </w:rPr>
        <w:t>171000</w:t>
      </w:r>
      <w:r>
        <w:rPr>
          <w:rStyle w:val="SpecialCharTok"/>
        </w:rPr>
        <w:t>/</w:t>
      </w:r>
      <w:r>
        <w:rPr>
          <w:rStyle w:val="NormalTok"/>
        </w:rPr>
        <w:t>((</w:t>
      </w:r>
      <w:r>
        <w:rPr>
          <w:rStyle w:val="DecValTok"/>
        </w:rPr>
        <w:t>72</w:t>
      </w:r>
      <w:r>
        <w:rPr>
          <w:rStyle w:val="SpecialCharTok"/>
        </w:rPr>
        <w:t>*</w:t>
      </w:r>
      <w:r>
        <w:rPr>
          <w:rStyle w:val="DecValTok"/>
        </w:rPr>
        <w:t>60</w:t>
      </w:r>
      <w:r>
        <w:rPr>
          <w:rStyle w:val="NormalTok"/>
        </w:rPr>
        <w:t>)</w:t>
      </w:r>
      <w:r>
        <w:rPr>
          <w:rStyle w:val="SpecialCharTok"/>
        </w:rPr>
        <w:t>*</w:t>
      </w:r>
      <w:r>
        <w:rPr>
          <w:rStyle w:val="NormalTok"/>
        </w:rPr>
        <w:t xml:space="preserve"> </w:t>
      </w:r>
      <w:r>
        <w:rPr>
          <w:rStyle w:val="FloatTok"/>
        </w:rPr>
        <w:t>0.092903</w:t>
      </w:r>
      <w:r>
        <w:rPr>
          <w:rStyle w:val="NormalTok"/>
        </w:rPr>
        <w:t xml:space="preserve">)), </w:t>
      </w:r>
      <w:r>
        <w:br/>
      </w:r>
      <w:r>
        <w:rPr>
          <w:rStyle w:val="NormalTok"/>
        </w:rPr>
        <w:t xml:space="preserve">                                    (</w:t>
      </w:r>
      <w:r>
        <w:rPr>
          <w:rStyle w:val="DecValTok"/>
        </w:rPr>
        <w:t>150000</w:t>
      </w:r>
      <w:r>
        <w:rPr>
          <w:rStyle w:val="SpecialCharTok"/>
        </w:rPr>
        <w:t>/</w:t>
      </w:r>
      <w:r>
        <w:rPr>
          <w:rStyle w:val="NormalTok"/>
        </w:rPr>
        <w:t>((</w:t>
      </w:r>
      <w:r>
        <w:rPr>
          <w:rStyle w:val="DecValTok"/>
        </w:rPr>
        <w:t>60</w:t>
      </w:r>
      <w:r>
        <w:rPr>
          <w:rStyle w:val="SpecialCharTok"/>
        </w:rPr>
        <w:t>*</w:t>
      </w:r>
      <w:r>
        <w:rPr>
          <w:rStyle w:val="DecValTok"/>
        </w:rPr>
        <w:t>60</w:t>
      </w:r>
      <w:r>
        <w:rPr>
          <w:rStyle w:val="NormalTok"/>
        </w:rPr>
        <w:t>)</w:t>
      </w:r>
      <w:r>
        <w:rPr>
          <w:rStyle w:val="SpecialCharTok"/>
        </w:rPr>
        <w:t>*</w:t>
      </w:r>
      <w:r>
        <w:rPr>
          <w:rStyle w:val="NormalTok"/>
        </w:rPr>
        <w:t xml:space="preserve"> </w:t>
      </w:r>
      <w:r>
        <w:rPr>
          <w:rStyle w:val="FloatTok"/>
        </w:rPr>
        <w:t>0.092903</w:t>
      </w:r>
      <w:r>
        <w:rPr>
          <w:rStyle w:val="NormalTok"/>
        </w:rPr>
        <w:t xml:space="preserve">)), </w:t>
      </w:r>
      <w:r>
        <w:br/>
      </w:r>
      <w:r>
        <w:rPr>
          <w:rStyle w:val="NormalTok"/>
        </w:rPr>
        <w:t xml:space="preserve">                                    (</w:t>
      </w:r>
      <w:r>
        <w:rPr>
          <w:rStyle w:val="DecValTok"/>
        </w:rPr>
        <w:t>1800</w:t>
      </w:r>
      <w:r>
        <w:rPr>
          <w:rStyle w:val="DecValTok"/>
        </w:rPr>
        <w:t>00</w:t>
      </w:r>
      <w:r>
        <w:rPr>
          <w:rStyle w:val="SpecialCharTok"/>
        </w:rPr>
        <w:t>/</w:t>
      </w:r>
      <w:r>
        <w:rPr>
          <w:rStyle w:val="NormalTok"/>
        </w:rPr>
        <w:t>((</w:t>
      </w:r>
      <w:r>
        <w:rPr>
          <w:rStyle w:val="DecValTok"/>
        </w:rPr>
        <w:t>60</w:t>
      </w:r>
      <w:r>
        <w:rPr>
          <w:rStyle w:val="SpecialCharTok"/>
        </w:rPr>
        <w:t>*</w:t>
      </w:r>
      <w:r>
        <w:rPr>
          <w:rStyle w:val="DecValTok"/>
        </w:rPr>
        <w:t>48</w:t>
      </w:r>
      <w:r>
        <w:rPr>
          <w:rStyle w:val="NormalTok"/>
        </w:rPr>
        <w:t>)</w:t>
      </w:r>
      <w:r>
        <w:rPr>
          <w:rStyle w:val="SpecialCharTok"/>
        </w:rPr>
        <w:t>*</w:t>
      </w:r>
      <w:r>
        <w:rPr>
          <w:rStyle w:val="NormalTok"/>
        </w:rPr>
        <w:t xml:space="preserve"> </w:t>
      </w:r>
      <w:r>
        <w:rPr>
          <w:rStyle w:val="FloatTok"/>
        </w:rPr>
        <w:t>0.092903</w:t>
      </w:r>
      <w:r>
        <w:rPr>
          <w:rStyle w:val="NormalTok"/>
        </w:rPr>
        <w:t>))))</w:t>
      </w:r>
      <w:r>
        <w:br/>
      </w:r>
      <w:r>
        <w:rPr>
          <w:rStyle w:val="NormalTok"/>
        </w:rPr>
        <w:t xml:space="preserve">IrradiatorA </w:t>
      </w:r>
      <w:r>
        <w:rPr>
          <w:rStyle w:val="OtherTok"/>
        </w:rPr>
        <w:t>&lt;-</w:t>
      </w:r>
      <w:r>
        <w:rPr>
          <w:rStyle w:val="NormalTok"/>
        </w:rPr>
        <w:t xml:space="preserve"> </w:t>
      </w:r>
      <w:r>
        <w:rPr>
          <w:rStyle w:val="DecValTok"/>
        </w:rPr>
        <w:t>200000</w:t>
      </w:r>
      <w:r>
        <w:br/>
      </w:r>
      <w:r>
        <w:rPr>
          <w:rStyle w:val="NormalTok"/>
        </w:rPr>
        <w:t xml:space="preserve">Aed_CostEst </w:t>
      </w:r>
      <w:r>
        <w:rPr>
          <w:rStyle w:val="OtherTok"/>
        </w:rPr>
        <w:t>&lt;-</w:t>
      </w:r>
      <w:r>
        <w:rPr>
          <w:rStyle w:val="NormalTok"/>
        </w:rPr>
        <w:t xml:space="preserve"> </w:t>
      </w:r>
      <w:r>
        <w:rPr>
          <w:rStyle w:val="ControlFlowTok"/>
        </w:rPr>
        <w:t>function</w:t>
      </w:r>
      <w:r>
        <w:rPr>
          <w:rStyle w:val="NormalTok"/>
        </w:rPr>
        <w:t xml:space="preserve">(FemalePercent, Overflooding_Multiplier, Area, LaboratorySpace, </w:t>
      </w:r>
      <w:r>
        <w:rPr>
          <w:rStyle w:val="AttributeTok"/>
        </w:rPr>
        <w:t>Irradiator =</w:t>
      </w:r>
      <w:r>
        <w:rPr>
          <w:rStyle w:val="NormalTok"/>
        </w:rPr>
        <w:t xml:space="preserve"> IrradiatorA){</w:t>
      </w:r>
      <w:r>
        <w:br/>
      </w:r>
      <w:r>
        <w:rPr>
          <w:rStyle w:val="NormalTok"/>
        </w:rPr>
        <w:t xml:space="preserve">  </w:t>
      </w:r>
      <w:r>
        <w:br/>
      </w:r>
      <w:r>
        <w:rPr>
          <w:rStyle w:val="NormalTok"/>
        </w:rPr>
        <w:t xml:space="preserve">  </w:t>
      </w:r>
      <w:r>
        <w:rPr>
          <w:rStyle w:val="CommentTok"/>
        </w:rPr>
        <w:t># # Verdonschot, Piet F.M., and Anna A. Besse-Lototskaya. âFlight Distance of Mosquitoe</w:t>
      </w:r>
      <w:r>
        <w:rPr>
          <w:rStyle w:val="CommentTok"/>
        </w:rPr>
        <w:t xml:space="preserve">s (Culicidae): </w:t>
      </w:r>
      <w:r>
        <w:br/>
      </w:r>
      <w:r>
        <w:rPr>
          <w:rStyle w:val="CommentTok"/>
        </w:rPr>
        <w:t xml:space="preserve"># #   A Metadata Analysis to Support the Management of Barrier Zones around Rewetted and Newly </w:t>
      </w:r>
      <w:r>
        <w:br/>
      </w:r>
      <w:r>
        <w:rPr>
          <w:rStyle w:val="CommentTok"/>
        </w:rPr>
        <w:t># #   Constructed Wetlands.â Limnologica 45 (March 2014): 69â79. https://doi.org/10.1016/j.limno.2013.11.002.</w:t>
      </w:r>
      <w:r>
        <w:br/>
      </w:r>
      <w:r>
        <w:rPr>
          <w:rStyle w:val="NormalTok"/>
        </w:rPr>
        <w:t xml:space="preserve">  maxRadius </w:t>
      </w:r>
      <w:r>
        <w:rPr>
          <w:rStyle w:val="OtherTok"/>
        </w:rPr>
        <w:t>&lt;-</w:t>
      </w:r>
      <w:r>
        <w:rPr>
          <w:rStyle w:val="NormalTok"/>
        </w:rPr>
        <w:t xml:space="preserve"> </w:t>
      </w:r>
      <w:r>
        <w:rPr>
          <w:rStyle w:val="FunctionTok"/>
        </w:rPr>
        <w:t>seq</w:t>
      </w:r>
      <w:r>
        <w:rPr>
          <w:rStyle w:val="NormalTok"/>
        </w:rPr>
        <w:t>(</w:t>
      </w:r>
      <w:r>
        <w:rPr>
          <w:rStyle w:val="DecValTok"/>
        </w:rPr>
        <w:t>50</w:t>
      </w:r>
      <w:r>
        <w:rPr>
          <w:rStyle w:val="NormalTok"/>
        </w:rPr>
        <w:t xml:space="preserve">, </w:t>
      </w:r>
      <w:r>
        <w:rPr>
          <w:rStyle w:val="DecValTok"/>
        </w:rPr>
        <w:t>400</w:t>
      </w:r>
      <w:r>
        <w:rPr>
          <w:rStyle w:val="NormalTok"/>
        </w:rPr>
        <w:t xml:space="preserve">, </w:t>
      </w:r>
      <w:r>
        <w:rPr>
          <w:rStyle w:val="DecValTok"/>
        </w:rPr>
        <w:t>50</w:t>
      </w:r>
      <w:r>
        <w:rPr>
          <w:rStyle w:val="NormalTok"/>
        </w:rPr>
        <w:t xml:space="preserve">) </w:t>
      </w:r>
      <w:r>
        <w:rPr>
          <w:rStyle w:val="CommentTok"/>
        </w:rPr>
        <w:t># max meters Ae can fly from cite (above) and WHO website https://www.who.int/denguecontrol/mosquito/en/</w:t>
      </w:r>
      <w:r>
        <w:br/>
      </w:r>
      <w:r>
        <w:rPr>
          <w:rStyle w:val="NormalTok"/>
        </w:rPr>
        <w:t xml:space="preserve">  treatmentArea </w:t>
      </w:r>
      <w:r>
        <w:rPr>
          <w:rStyle w:val="OtherTok"/>
        </w:rPr>
        <w:t>&lt;-</w:t>
      </w:r>
      <w:r>
        <w:rPr>
          <w:rStyle w:val="NormalTok"/>
        </w:rPr>
        <w:t xml:space="preserve"> Area </w:t>
      </w:r>
      <w:r>
        <w:rPr>
          <w:rStyle w:val="CommentTok"/>
        </w:rPr>
        <w:t># number of square km (from Lincoln Wells DOH)</w:t>
      </w:r>
      <w:r>
        <w:br/>
      </w:r>
      <w:r>
        <w:rPr>
          <w:rStyle w:val="NormalTok"/>
        </w:rPr>
        <w:t xml:space="preserve">  MaxCollection </w:t>
      </w:r>
      <w:r>
        <w:rPr>
          <w:rStyle w:val="OtherTok"/>
        </w:rPr>
        <w:t>&lt;-</w:t>
      </w:r>
      <w:r>
        <w:rPr>
          <w:rStyle w:val="NormalTok"/>
        </w:rPr>
        <w:t xml:space="preserve"> </w:t>
      </w:r>
      <w:r>
        <w:rPr>
          <w:rStyle w:val="DecValTok"/>
        </w:rPr>
        <w:t>181</w:t>
      </w:r>
      <w:r>
        <w:rPr>
          <w:rStyle w:val="NormalTok"/>
        </w:rPr>
        <w:t xml:space="preserve"> </w:t>
      </w:r>
      <w:r>
        <w:rPr>
          <w:rStyle w:val="CommentTok"/>
        </w:rPr>
        <w:t>#Max number collected by BG on HI (from Lincoln Wells D</w:t>
      </w:r>
      <w:r>
        <w:rPr>
          <w:rStyle w:val="CommentTok"/>
        </w:rPr>
        <w:t>OH)</w:t>
      </w:r>
      <w:r>
        <w:br/>
      </w:r>
      <w:r>
        <w:rPr>
          <w:rStyle w:val="NormalTok"/>
        </w:rPr>
        <w:t xml:space="preserve">  MeanCollection </w:t>
      </w:r>
      <w:r>
        <w:rPr>
          <w:rStyle w:val="OtherTok"/>
        </w:rPr>
        <w:t>&lt;-</w:t>
      </w:r>
      <w:r>
        <w:rPr>
          <w:rStyle w:val="NormalTok"/>
        </w:rPr>
        <w:t xml:space="preserve"> </w:t>
      </w:r>
      <w:r>
        <w:rPr>
          <w:rStyle w:val="DecValTok"/>
        </w:rPr>
        <w:t>15</w:t>
      </w:r>
      <w:r>
        <w:rPr>
          <w:rStyle w:val="NormalTok"/>
        </w:rPr>
        <w:t xml:space="preserve"> </w:t>
      </w:r>
      <w:r>
        <w:rPr>
          <w:rStyle w:val="CommentTok"/>
        </w:rPr>
        <w:t># Mean number collected by BG on HI (from Lincoln Wells DOH)</w:t>
      </w:r>
      <w:r>
        <w:br/>
      </w:r>
      <w:r>
        <w:rPr>
          <w:rStyle w:val="NormalTok"/>
        </w:rPr>
        <w:t xml:space="preserve">  MaxDensity1000km2 </w:t>
      </w:r>
      <w:r>
        <w:rPr>
          <w:rStyle w:val="OtherTok"/>
        </w:rPr>
        <w:t>&lt;-</w:t>
      </w:r>
      <w:r>
        <w:rPr>
          <w:rStyle w:val="NormalTok"/>
        </w:rPr>
        <w:t xml:space="preserve"> ((MaxCollection</w:t>
      </w:r>
      <w:r>
        <w:rPr>
          <w:rStyle w:val="SpecialCharTok"/>
        </w:rPr>
        <w:t>/</w:t>
      </w:r>
      <w:r>
        <w:rPr>
          <w:rStyle w:val="NormalTok"/>
        </w:rPr>
        <w:t>(pi</w:t>
      </w:r>
      <w:r>
        <w:rPr>
          <w:rStyle w:val="SpecialCharTok"/>
        </w:rPr>
        <w:t>*</w:t>
      </w:r>
      <w:r>
        <w:rPr>
          <w:rStyle w:val="NormalTok"/>
        </w:rPr>
        <w:t>maxRadius</w:t>
      </w:r>
      <w:r>
        <w:rPr>
          <w:rStyle w:val="SpecialCharTok"/>
        </w:rPr>
        <w:t>^</w:t>
      </w:r>
      <w:r>
        <w:rPr>
          <w:rStyle w:val="DecValTok"/>
        </w:rPr>
        <w:t>2</w:t>
      </w:r>
      <w:r>
        <w:rPr>
          <w:rStyle w:val="NormalTok"/>
        </w:rPr>
        <w:t>))</w:t>
      </w:r>
      <w:r>
        <w:rPr>
          <w:rStyle w:val="SpecialCharTok"/>
        </w:rPr>
        <w:t>*</w:t>
      </w:r>
      <w:r>
        <w:rPr>
          <w:rStyle w:val="DecValTok"/>
        </w:rPr>
        <w:t>1000000</w:t>
      </w:r>
      <w:r>
        <w:rPr>
          <w:rStyle w:val="NormalTok"/>
        </w:rPr>
        <w:t xml:space="preserve">) </w:t>
      </w:r>
      <w:r>
        <w:rPr>
          <w:rStyle w:val="CommentTok"/>
        </w:rPr>
        <w:t>#* treatmentArea # 1000000m = 1 km^2</w:t>
      </w:r>
      <w:r>
        <w:br/>
      </w:r>
      <w:r>
        <w:rPr>
          <w:rStyle w:val="NormalTok"/>
        </w:rPr>
        <w:t xml:space="preserve">  MeanDensity1000km2</w:t>
      </w:r>
      <w:r>
        <w:rPr>
          <w:rStyle w:val="OtherTok"/>
        </w:rPr>
        <w:t>&lt;-</w:t>
      </w:r>
      <w:r>
        <w:rPr>
          <w:rStyle w:val="NormalTok"/>
        </w:rPr>
        <w:t xml:space="preserve"> ((MeanCollection</w:t>
      </w:r>
      <w:r>
        <w:rPr>
          <w:rStyle w:val="SpecialCharTok"/>
        </w:rPr>
        <w:t>/</w:t>
      </w:r>
      <w:r>
        <w:rPr>
          <w:rStyle w:val="NormalTok"/>
        </w:rPr>
        <w:t>(pi</w:t>
      </w:r>
      <w:r>
        <w:rPr>
          <w:rStyle w:val="SpecialCharTok"/>
        </w:rPr>
        <w:t>*</w:t>
      </w:r>
      <w:r>
        <w:rPr>
          <w:rStyle w:val="NormalTok"/>
        </w:rPr>
        <w:t>maxRadius</w:t>
      </w:r>
      <w:r>
        <w:rPr>
          <w:rStyle w:val="SpecialCharTok"/>
        </w:rPr>
        <w:t>^</w:t>
      </w:r>
      <w:r>
        <w:rPr>
          <w:rStyle w:val="DecValTok"/>
        </w:rPr>
        <w:t>2</w:t>
      </w:r>
      <w:r>
        <w:rPr>
          <w:rStyle w:val="NormalTok"/>
        </w:rPr>
        <w:t>))</w:t>
      </w:r>
      <w:r>
        <w:rPr>
          <w:rStyle w:val="SpecialCharTok"/>
        </w:rPr>
        <w:t>*</w:t>
      </w:r>
      <w:r>
        <w:rPr>
          <w:rStyle w:val="DecValTok"/>
        </w:rPr>
        <w:t>1000000</w:t>
      </w:r>
      <w:r>
        <w:rPr>
          <w:rStyle w:val="NormalTok"/>
        </w:rPr>
        <w:t xml:space="preserve">) </w:t>
      </w:r>
      <w:r>
        <w:rPr>
          <w:rStyle w:val="CommentTok"/>
        </w:rPr>
        <w:t xml:space="preserve">#* treatmentArea </w:t>
      </w:r>
      <w:r>
        <w:br/>
      </w:r>
      <w:r>
        <w:rPr>
          <w:rStyle w:val="NormalTok"/>
        </w:rPr>
        <w:t xml:space="preserve">  </w:t>
      </w:r>
      <w:r>
        <w:br/>
      </w:r>
      <w:r>
        <w:rPr>
          <w:rStyle w:val="NormalTok"/>
        </w:rPr>
        <w:t xml:space="preserve">  Aedes.Mos.Density.km </w:t>
      </w:r>
      <w:r>
        <w:rPr>
          <w:rStyle w:val="OtherTok"/>
        </w:rPr>
        <w:t>&lt;-</w:t>
      </w:r>
      <w:r>
        <w:rPr>
          <w:rStyle w:val="NormalTok"/>
        </w:rPr>
        <w:t xml:space="preserve"> MaxDensity1000km2</w:t>
      </w:r>
      <w:r>
        <w:br/>
      </w:r>
      <w:r>
        <w:rPr>
          <w:rStyle w:val="NormalTok"/>
        </w:rPr>
        <w:lastRenderedPageBreak/>
        <w:t xml:space="preserve">  Aedes.Mos.Sites </w:t>
      </w:r>
      <w:r>
        <w:rPr>
          <w:rStyle w:val="OtherTok"/>
        </w:rPr>
        <w:t>&lt;-</w:t>
      </w:r>
      <w:r>
        <w:rPr>
          <w:rStyle w:val="NormalTok"/>
        </w:rPr>
        <w:t xml:space="preserve"> maxRadius</w:t>
      </w:r>
      <w:r>
        <w:rPr>
          <w:rStyle w:val="CommentTok"/>
        </w:rPr>
        <w:t>#c('Malama Ki','Nanawale',"Bryson's",'Waiakea','Cooper','Crater',"Pu'u")#,'CJR',"Solomon's")</w:t>
      </w:r>
      <w:r>
        <w:br/>
      </w:r>
      <w:r>
        <w:rPr>
          <w:rStyle w:val="NormalTok"/>
        </w:rPr>
        <w:t xml:space="preserve">  Aedes.Elev.m </w:t>
      </w:r>
      <w:r>
        <w:rPr>
          <w:rStyle w:val="OtherTok"/>
        </w:rPr>
        <w:t>&lt;-</w:t>
      </w:r>
      <w:r>
        <w:rPr>
          <w:rStyle w:val="NormalTok"/>
        </w:rPr>
        <w:t xml:space="preserve"> maxRadius</w:t>
      </w:r>
      <w:r>
        <w:rPr>
          <w:rStyle w:val="CommentTok"/>
        </w:rPr>
        <w:t># c(25, 36, 314,    885,    1024,   117</w:t>
      </w:r>
      <w:r>
        <w:rPr>
          <w:rStyle w:val="CommentTok"/>
        </w:rPr>
        <w:t>7,   1247)#, 1678,   1686)</w:t>
      </w:r>
      <w:r>
        <w:br/>
      </w:r>
      <w:r>
        <w:rPr>
          <w:rStyle w:val="NormalTok"/>
        </w:rPr>
        <w:t xml:space="preserve">  Total.Area.ToCntrl.km </w:t>
      </w:r>
      <w:r>
        <w:rPr>
          <w:rStyle w:val="OtherTok"/>
        </w:rPr>
        <w:t>&lt;-</w:t>
      </w:r>
      <w:r>
        <w:rPr>
          <w:rStyle w:val="NormalTok"/>
        </w:rPr>
        <w:t xml:space="preserve"> treatmentArea</w:t>
      </w:r>
      <w:r>
        <w:rPr>
          <w:rStyle w:val="CommentTok"/>
        </w:rPr>
        <w:t>#24# kilometers squared</w:t>
      </w:r>
      <w:r>
        <w:br/>
      </w:r>
      <w:r>
        <w:rPr>
          <w:rStyle w:val="NormalTok"/>
        </w:rPr>
        <w:t xml:space="preserve">  </w:t>
      </w:r>
      <w:r>
        <w:rPr>
          <w:rStyle w:val="CommentTok"/>
        </w:rPr>
        <w:t># FemalePercent &lt;- 70 # Sex ratio</w:t>
      </w:r>
      <w:r>
        <w:br/>
      </w:r>
      <w:r>
        <w:rPr>
          <w:rStyle w:val="NormalTok"/>
        </w:rPr>
        <w:t xml:space="preserve">  </w:t>
      </w:r>
      <w:r>
        <w:rPr>
          <w:rStyle w:val="CommentTok"/>
        </w:rPr>
        <w:t># Overflooding_Multiplier &lt;- 10 # Multiplier to derive the ratio needed for control</w:t>
      </w:r>
      <w:r>
        <w:br/>
      </w:r>
      <w:r>
        <w:rPr>
          <w:rStyle w:val="NormalTok"/>
        </w:rPr>
        <w:t xml:space="preserve">  </w:t>
      </w:r>
      <w:r>
        <w:br/>
      </w:r>
      <w:r>
        <w:rPr>
          <w:rStyle w:val="NormalTok"/>
        </w:rPr>
        <w:t xml:space="preserve">  </w:t>
      </w:r>
      <w:r>
        <w:rPr>
          <w:rStyle w:val="CommentTok"/>
        </w:rPr>
        <w:t># Operations/Supplies Costs</w:t>
      </w:r>
      <w:r>
        <w:br/>
      </w:r>
      <w:r>
        <w:rPr>
          <w:rStyle w:val="NormalTok"/>
        </w:rPr>
        <w:t xml:space="preserve">  Year1.Only.Items </w:t>
      </w:r>
      <w:r>
        <w:rPr>
          <w:rStyle w:val="OtherTok"/>
        </w:rPr>
        <w:t>&lt;-</w:t>
      </w:r>
      <w:r>
        <w:rPr>
          <w:rStyle w:val="NormalTok"/>
        </w:rPr>
        <w:t xml:space="preserve"> </w:t>
      </w:r>
      <w:r>
        <w:rPr>
          <w:rStyle w:val="FunctionTok"/>
        </w:rPr>
        <w:t>c</w:t>
      </w:r>
      <w:r>
        <w:rPr>
          <w:rStyle w:val="NormalTok"/>
        </w:rPr>
        <w:t>(</w:t>
      </w:r>
      <w:r>
        <w:rPr>
          <w:rStyle w:val="StringTok"/>
        </w:rPr>
        <w:t>'Iradiator'</w:t>
      </w:r>
      <w:r>
        <w:rPr>
          <w:rStyle w:val="NormalTok"/>
        </w:rPr>
        <w:t xml:space="preserve">, </w:t>
      </w:r>
      <w:r>
        <w:rPr>
          <w:rStyle w:val="StringTok"/>
        </w:rPr>
        <w:t>'Mosquito.Sex.Sorters (6)'</w:t>
      </w:r>
      <w:r>
        <w:rPr>
          <w:rStyle w:val="NormalTok"/>
        </w:rPr>
        <w:t xml:space="preserve">, </w:t>
      </w:r>
      <w:r>
        <w:rPr>
          <w:rStyle w:val="StringTok"/>
        </w:rPr>
        <w:t>'larvae Rearing Units (5)'</w:t>
      </w:r>
      <w:r>
        <w:rPr>
          <w:rStyle w:val="NormalTok"/>
        </w:rPr>
        <w:t>,</w:t>
      </w:r>
      <w:r>
        <w:br/>
      </w:r>
      <w:r>
        <w:rPr>
          <w:rStyle w:val="NormalTok"/>
        </w:rPr>
        <w:t xml:space="preserve">                        </w:t>
      </w:r>
      <w:r>
        <w:rPr>
          <w:rStyle w:val="StringTok"/>
        </w:rPr>
        <w:t>'adult cages (100)'</w:t>
      </w:r>
      <w:r>
        <w:rPr>
          <w:rStyle w:val="NormalTok"/>
        </w:rPr>
        <w:t xml:space="preserve">, </w:t>
      </w:r>
      <w:r>
        <w:rPr>
          <w:rStyle w:val="StringTok"/>
        </w:rPr>
        <w:t>'ovitraps (300)'</w:t>
      </w:r>
      <w:r>
        <w:rPr>
          <w:rStyle w:val="NormalTok"/>
        </w:rPr>
        <w:t xml:space="preserve">, </w:t>
      </w:r>
      <w:r>
        <w:rPr>
          <w:rStyle w:val="StringTok"/>
        </w:rPr>
        <w:t>'BG traps (50)'</w:t>
      </w:r>
      <w:r>
        <w:rPr>
          <w:rStyle w:val="NormalTok"/>
        </w:rPr>
        <w:t xml:space="preserve">, </w:t>
      </w:r>
      <w:r>
        <w:rPr>
          <w:rStyle w:val="StringTok"/>
        </w:rPr>
        <w:t>'PCR Machine'</w:t>
      </w:r>
      <w:r>
        <w:rPr>
          <w:rStyle w:val="NormalTok"/>
        </w:rPr>
        <w:t>)</w:t>
      </w:r>
      <w:r>
        <w:rPr>
          <w:rStyle w:val="CommentTok"/>
        </w:rPr>
        <w:t xml:space="preserve">#, 'modulare office (60x24ft)') </w:t>
      </w:r>
      <w:r>
        <w:br/>
      </w:r>
      <w:r>
        <w:rPr>
          <w:rStyle w:val="NormalTok"/>
        </w:rPr>
        <w:t xml:space="preserve">  Year1.Only.Costs </w:t>
      </w:r>
      <w:r>
        <w:rPr>
          <w:rStyle w:val="OtherTok"/>
        </w:rPr>
        <w:t>&lt;-</w:t>
      </w:r>
      <w:r>
        <w:rPr>
          <w:rStyle w:val="NormalTok"/>
        </w:rPr>
        <w:t xml:space="preserve"> </w:t>
      </w:r>
      <w:r>
        <w:rPr>
          <w:rStyle w:val="FunctionTok"/>
        </w:rPr>
        <w:t>c</w:t>
      </w:r>
      <w:r>
        <w:rPr>
          <w:rStyle w:val="NormalTok"/>
        </w:rPr>
        <w:t xml:space="preserve">(Irradiator, </w:t>
      </w:r>
      <w:r>
        <w:rPr>
          <w:rStyle w:val="DecValTok"/>
        </w:rPr>
        <w:t>6900</w:t>
      </w:r>
      <w:r>
        <w:rPr>
          <w:rStyle w:val="NormalTok"/>
        </w:rPr>
        <w:t xml:space="preserve">, </w:t>
      </w:r>
      <w:r>
        <w:rPr>
          <w:rStyle w:val="DecValTok"/>
        </w:rPr>
        <w:t>134500</w:t>
      </w:r>
      <w:r>
        <w:rPr>
          <w:rStyle w:val="NormalTok"/>
        </w:rPr>
        <w:t xml:space="preserve">, </w:t>
      </w:r>
      <w:r>
        <w:rPr>
          <w:rStyle w:val="DecValTok"/>
        </w:rPr>
        <w:t>11040</w:t>
      </w:r>
      <w:r>
        <w:rPr>
          <w:rStyle w:val="NormalTok"/>
        </w:rPr>
        <w:t xml:space="preserve">, </w:t>
      </w:r>
      <w:r>
        <w:rPr>
          <w:rStyle w:val="DecValTok"/>
        </w:rPr>
        <w:t>2400</w:t>
      </w:r>
      <w:r>
        <w:rPr>
          <w:rStyle w:val="NormalTok"/>
        </w:rPr>
        <w:t xml:space="preserve">, </w:t>
      </w:r>
      <w:r>
        <w:rPr>
          <w:rStyle w:val="DecValTok"/>
        </w:rPr>
        <w:t>7500</w:t>
      </w:r>
      <w:r>
        <w:rPr>
          <w:rStyle w:val="NormalTok"/>
        </w:rPr>
        <w:t xml:space="preserve">, </w:t>
      </w:r>
      <w:r>
        <w:rPr>
          <w:rStyle w:val="DecValTok"/>
        </w:rPr>
        <w:t>47000</w:t>
      </w:r>
      <w:r>
        <w:rPr>
          <w:rStyle w:val="NormalTok"/>
        </w:rPr>
        <w:t>)</w:t>
      </w:r>
      <w:r>
        <w:rPr>
          <w:rStyle w:val="CommentTok"/>
        </w:rPr>
        <w:t>#, 40000)</w:t>
      </w:r>
      <w:r>
        <w:br/>
      </w:r>
      <w:r>
        <w:rPr>
          <w:rStyle w:val="NormalTok"/>
        </w:rPr>
        <w:t xml:space="preserve">  </w:t>
      </w:r>
      <w:r>
        <w:br/>
      </w:r>
      <w:r>
        <w:rPr>
          <w:rStyle w:val="NormalTok"/>
        </w:rPr>
        <w:t xml:space="preserve">  </w:t>
      </w:r>
      <w:r>
        <w:rPr>
          <w:rStyle w:val="CommentTok"/>
        </w:rPr>
        <w:t># Office Space &lt;- #, 'modulare office (60x24ft)' can be split with $800/month utilities</w:t>
      </w:r>
      <w:r>
        <w:br/>
      </w:r>
      <w:r>
        <w:rPr>
          <w:rStyle w:val="NormalTok"/>
        </w:rPr>
        <w:t xml:space="preserve">  </w:t>
      </w:r>
      <w:r>
        <w:rPr>
          <w:rStyle w:val="CommentTok"/>
        </w:rPr>
        <w:t># https://www.willscot.com/mobile-offices/modular-complexes/60-x-24-Modular-Office</w:t>
      </w:r>
      <w:r>
        <w:br/>
      </w:r>
      <w:r>
        <w:rPr>
          <w:rStyle w:val="NormalTok"/>
        </w:rPr>
        <w:t xml:space="preserve">  </w:t>
      </w:r>
      <w:r>
        <w:rPr>
          <w:rStyle w:val="CommentTok"/>
        </w:rPr>
        <w:t># or</w:t>
      </w:r>
      <w:r>
        <w:br/>
      </w:r>
      <w:r>
        <w:rPr>
          <w:rStyle w:val="NormalTok"/>
        </w:rPr>
        <w:t xml:space="preserve">  </w:t>
      </w:r>
      <w:r>
        <w:rPr>
          <w:rStyle w:val="CommentTok"/>
        </w:rPr>
        <w:t># https://www.willsc</w:t>
      </w:r>
      <w:r>
        <w:rPr>
          <w:rStyle w:val="CommentTok"/>
        </w:rPr>
        <w:t>ot.com/FLEX</w:t>
      </w:r>
      <w:r>
        <w:br/>
      </w:r>
      <w:r>
        <w:rPr>
          <w:rStyle w:val="NormalTok"/>
        </w:rPr>
        <w:t xml:space="preserve">  Electricity </w:t>
      </w:r>
      <w:r>
        <w:rPr>
          <w:rStyle w:val="OtherTok"/>
        </w:rPr>
        <w:t>&lt;-</w:t>
      </w:r>
      <w:r>
        <w:rPr>
          <w:rStyle w:val="NormalTok"/>
        </w:rPr>
        <w:t xml:space="preserve"> </w:t>
      </w:r>
      <w:r>
        <w:rPr>
          <w:rStyle w:val="DecValTok"/>
        </w:rPr>
        <w:t>2000</w:t>
      </w:r>
      <w:r>
        <w:rPr>
          <w:rStyle w:val="NormalTok"/>
        </w:rPr>
        <w:t xml:space="preserve"> </w:t>
      </w:r>
      <w:r>
        <w:rPr>
          <w:rStyle w:val="SpecialCharTok"/>
        </w:rPr>
        <w:t>*</w:t>
      </w:r>
      <w:r>
        <w:rPr>
          <w:rStyle w:val="NormalTok"/>
        </w:rPr>
        <w:t xml:space="preserve"> </w:t>
      </w:r>
      <w:r>
        <w:rPr>
          <w:rStyle w:val="DecValTok"/>
        </w:rPr>
        <w:t>12</w:t>
      </w:r>
      <w:r>
        <w:br/>
      </w:r>
      <w:r>
        <w:rPr>
          <w:rStyle w:val="NormalTok"/>
        </w:rPr>
        <w:t xml:space="preserve">  </w:t>
      </w:r>
      <w:r>
        <w:rPr>
          <w:rStyle w:val="CommentTok"/>
        </w:rPr>
        <w:t># From Dr. Zhiyong Xi:</w:t>
      </w:r>
      <w:r>
        <w:br/>
      </w:r>
      <w:r>
        <w:rPr>
          <w:rStyle w:val="NormalTok"/>
        </w:rPr>
        <w:t xml:space="preserve">  </w:t>
      </w:r>
      <w:r>
        <w:rPr>
          <w:rStyle w:val="CommentTok"/>
        </w:rPr>
        <w:t># "Normally I would suggest starting with a space 300-500 m2 and targeting for producing 1 million males per week (see the attached PPT that I used for IAEA meeting last year). It would make</w:t>
      </w:r>
      <w:r>
        <w:rPr>
          <w:rStyle w:val="CommentTok"/>
        </w:rPr>
        <w:t xml:space="preserve"> too costly and not feasible if the production scale is low (e.g, 100-200k) as you will still need space for adult, larvae rearing, sex separation, irradiator, adult package and quality control. In another word, you may not save too much space with a low p</w:t>
      </w:r>
      <w:r>
        <w:rPr>
          <w:rStyle w:val="CommentTok"/>
        </w:rPr>
        <w:t>roduction scale. Thus, when you mention “to house 1 rearing unit associated staff etc., a facility would need at minimum</w:t>
      </w:r>
      <w:r>
        <w:rPr>
          <w:rStyle w:val="CommentTok"/>
        </w:rPr>
        <w:lastRenderedPageBreak/>
        <w:t xml:space="preserve"> a 12x30 foot laboratory space”, I am afraid this space is not enough for you to produce this amount. I think a minimum size of mass rea</w:t>
      </w:r>
      <w:r>
        <w:rPr>
          <w:rStyle w:val="CommentTok"/>
        </w:rPr>
        <w:t>ring facility would need two mobile 24x60 foot laboratories, which should be able to produce 500k to 1 million males per week (or even more if system optimized)..."</w:t>
      </w:r>
      <w:r>
        <w:br/>
      </w:r>
      <w:r>
        <w:rPr>
          <w:rStyle w:val="NormalTok"/>
        </w:rPr>
        <w:t xml:space="preserve">  </w:t>
      </w:r>
      <w:r>
        <w:rPr>
          <w:rStyle w:val="CommentTok"/>
        </w:rPr>
        <w:t xml:space="preserve"># LaboratorySpace &lt;- 800 * median(c((171000/((72*60)* 0.092903)), </w:t>
      </w:r>
      <w:r>
        <w:br/>
      </w:r>
      <w:r>
        <w:rPr>
          <w:rStyle w:val="NormalTok"/>
        </w:rPr>
        <w:t xml:space="preserve">  </w:t>
      </w:r>
      <w:r>
        <w:rPr>
          <w:rStyle w:val="CommentTok"/>
        </w:rPr>
        <w:t xml:space="preserve">#                   </w:t>
      </w:r>
      <w:r>
        <w:rPr>
          <w:rStyle w:val="CommentTok"/>
        </w:rPr>
        <w:t xml:space="preserve">                (150000/((60*60)* 0.092903)), </w:t>
      </w:r>
      <w:r>
        <w:br/>
      </w:r>
      <w:r>
        <w:rPr>
          <w:rStyle w:val="NormalTok"/>
        </w:rPr>
        <w:t xml:space="preserve">  </w:t>
      </w:r>
      <w:r>
        <w:rPr>
          <w:rStyle w:val="CommentTok"/>
        </w:rPr>
        <w:t>#                                   (180000/((60*48)* 0.092903))))</w:t>
      </w:r>
      <w:r>
        <w:br/>
      </w:r>
      <w:r>
        <w:rPr>
          <w:rStyle w:val="NormalTok"/>
        </w:rPr>
        <w:t xml:space="preserve">  </w:t>
      </w:r>
      <w:r>
        <w:br/>
      </w:r>
      <w:r>
        <w:rPr>
          <w:rStyle w:val="NormalTok"/>
        </w:rPr>
        <w:t xml:space="preserve">  </w:t>
      </w:r>
      <w:r>
        <w:rPr>
          <w:rStyle w:val="CommentTok"/>
        </w:rPr>
        <w:t># Personel Costs</w:t>
      </w:r>
      <w:r>
        <w:br/>
      </w:r>
      <w:r>
        <w:rPr>
          <w:rStyle w:val="NormalTok"/>
        </w:rPr>
        <w:t xml:space="preserve">  Personel.Des </w:t>
      </w:r>
      <w:r>
        <w:rPr>
          <w:rStyle w:val="OtherTok"/>
        </w:rPr>
        <w:t>&lt;-</w:t>
      </w:r>
      <w:r>
        <w:rPr>
          <w:rStyle w:val="NormalTok"/>
        </w:rPr>
        <w:t xml:space="preserve"> </w:t>
      </w:r>
      <w:r>
        <w:rPr>
          <w:rStyle w:val="FunctionTok"/>
        </w:rPr>
        <w:t>c</w:t>
      </w:r>
      <w:r>
        <w:rPr>
          <w:rStyle w:val="NormalTok"/>
        </w:rPr>
        <w:t>(</w:t>
      </w:r>
      <w:r>
        <w:rPr>
          <w:rStyle w:val="StringTok"/>
        </w:rPr>
        <w:t>'Mass Rearing'</w:t>
      </w:r>
      <w:r>
        <w:rPr>
          <w:rStyle w:val="NormalTok"/>
        </w:rPr>
        <w:t xml:space="preserve">, </w:t>
      </w:r>
      <w:r>
        <w:rPr>
          <w:rStyle w:val="StringTok"/>
        </w:rPr>
        <w:t>'Quality Control'</w:t>
      </w:r>
      <w:r>
        <w:rPr>
          <w:rStyle w:val="NormalTok"/>
        </w:rPr>
        <w:t>)</w:t>
      </w:r>
      <w:r>
        <w:rPr>
          <w:rStyle w:val="CommentTok"/>
        </w:rPr>
        <w:t>#, 'Feild Release', 'Community Education')</w:t>
      </w:r>
      <w:r>
        <w:br/>
      </w:r>
      <w:r>
        <w:rPr>
          <w:rStyle w:val="NormalTok"/>
        </w:rPr>
        <w:t xml:space="preserve">  Wage.Mass.Rearing </w:t>
      </w:r>
      <w:r>
        <w:rPr>
          <w:rStyle w:val="OtherTok"/>
        </w:rPr>
        <w:t>&lt;-</w:t>
      </w:r>
      <w:r>
        <w:rPr>
          <w:rStyle w:val="NormalTok"/>
        </w:rPr>
        <w:t xml:space="preserve"> </w:t>
      </w:r>
      <w:r>
        <w:rPr>
          <w:rStyle w:val="DecValTok"/>
        </w:rPr>
        <w:t>15</w:t>
      </w:r>
      <w:r>
        <w:rPr>
          <w:rStyle w:val="NormalTok"/>
        </w:rPr>
        <w:t xml:space="preserve"> </w:t>
      </w:r>
      <w:r>
        <w:rPr>
          <w:rStyle w:val="CommentTok"/>
        </w:rPr>
        <w:t>#15 dollars/hour</w:t>
      </w:r>
      <w:r>
        <w:br/>
      </w:r>
      <w:r>
        <w:rPr>
          <w:rStyle w:val="NormalTok"/>
        </w:rPr>
        <w:t xml:space="preserve">  Wage.Quality.Control </w:t>
      </w:r>
      <w:r>
        <w:rPr>
          <w:rStyle w:val="OtherTok"/>
        </w:rPr>
        <w:t>&lt;-</w:t>
      </w:r>
      <w:r>
        <w:rPr>
          <w:rStyle w:val="NormalTok"/>
        </w:rPr>
        <w:t xml:space="preserve"> </w:t>
      </w:r>
      <w:r>
        <w:rPr>
          <w:rStyle w:val="DecValTok"/>
        </w:rPr>
        <w:t>17</w:t>
      </w:r>
      <w:r>
        <w:rPr>
          <w:rStyle w:val="NormalTok"/>
        </w:rPr>
        <w:t xml:space="preserve"> </w:t>
      </w:r>
      <w:r>
        <w:rPr>
          <w:rStyle w:val="CommentTok"/>
        </w:rPr>
        <w:t>#17 dollars/hour</w:t>
      </w:r>
      <w:r>
        <w:br/>
      </w:r>
      <w:r>
        <w:rPr>
          <w:rStyle w:val="NormalTok"/>
        </w:rPr>
        <w:t xml:space="preserve">  HoursPerYear </w:t>
      </w:r>
      <w:r>
        <w:rPr>
          <w:rStyle w:val="OtherTok"/>
        </w:rPr>
        <w:t>&lt;-</w:t>
      </w:r>
      <w:r>
        <w:rPr>
          <w:rStyle w:val="NormalTok"/>
        </w:rPr>
        <w:t xml:space="preserve"> </w:t>
      </w:r>
      <w:r>
        <w:rPr>
          <w:rStyle w:val="DecValTok"/>
        </w:rPr>
        <w:t>260</w:t>
      </w:r>
      <w:r>
        <w:rPr>
          <w:rStyle w:val="NormalTok"/>
        </w:rPr>
        <w:t xml:space="preserve"> </w:t>
      </w:r>
      <w:r>
        <w:rPr>
          <w:rStyle w:val="SpecialCharTok"/>
        </w:rPr>
        <w:t>*</w:t>
      </w:r>
      <w:r>
        <w:rPr>
          <w:rStyle w:val="NormalTok"/>
        </w:rPr>
        <w:t xml:space="preserve"> </w:t>
      </w:r>
      <w:r>
        <w:rPr>
          <w:rStyle w:val="DecValTok"/>
        </w:rPr>
        <w:t>8</w:t>
      </w:r>
      <w:r>
        <w:rPr>
          <w:rStyle w:val="NormalTok"/>
        </w:rPr>
        <w:t xml:space="preserve"> </w:t>
      </w:r>
      <w:r>
        <w:rPr>
          <w:rStyle w:val="CommentTok"/>
        </w:rPr>
        <w:t># 260 is 52 weeks/year 5 days/week * 8 hours per day</w:t>
      </w:r>
      <w:r>
        <w:br/>
      </w:r>
      <w:r>
        <w:rPr>
          <w:rStyle w:val="NormalTok"/>
        </w:rPr>
        <w:t xml:space="preserve">  </w:t>
      </w:r>
      <w:r>
        <w:rPr>
          <w:rStyle w:val="CommentTok"/>
        </w:rPr>
        <w:t># RCUH fringe is set at 61.56% for 2018 see:</w:t>
      </w:r>
      <w:r>
        <w:br/>
      </w:r>
      <w:r>
        <w:rPr>
          <w:rStyle w:val="NormalTok"/>
        </w:rPr>
        <w:t xml:space="preserve">  </w:t>
      </w:r>
      <w:r>
        <w:rPr>
          <w:rStyle w:val="CommentTok"/>
        </w:rPr>
        <w:t># http://www.ors.hawaii.edu/index.php/apply/budget-developm</w:t>
      </w:r>
      <w:r>
        <w:rPr>
          <w:rStyle w:val="CommentTok"/>
        </w:rPr>
        <w:t>ent/fringe-benefit-rates</w:t>
      </w:r>
      <w:r>
        <w:br/>
      </w:r>
      <w:r>
        <w:rPr>
          <w:rStyle w:val="NormalTok"/>
        </w:rPr>
        <w:t xml:space="preserve">  Fringe </w:t>
      </w:r>
      <w:r>
        <w:rPr>
          <w:rStyle w:val="OtherTok"/>
        </w:rPr>
        <w:t>&lt;-</w:t>
      </w:r>
      <w:r>
        <w:rPr>
          <w:rStyle w:val="NormalTok"/>
        </w:rPr>
        <w:t xml:space="preserve"> </w:t>
      </w:r>
      <w:r>
        <w:rPr>
          <w:rStyle w:val="FloatTok"/>
        </w:rPr>
        <w:t>0.6156</w:t>
      </w:r>
      <w:r>
        <w:br/>
      </w:r>
      <w:r>
        <w:rPr>
          <w:rStyle w:val="NormalTok"/>
        </w:rPr>
        <w:t xml:space="preserve">  </w:t>
      </w:r>
      <w:r>
        <w:br/>
      </w:r>
      <w:r>
        <w:rPr>
          <w:rStyle w:val="NormalTok"/>
        </w:rPr>
        <w:t xml:space="preserve">  </w:t>
      </w:r>
      <w:r>
        <w:rPr>
          <w:rStyle w:val="CommentTok"/>
        </w:rPr>
        <w:t># Misc Costs</w:t>
      </w:r>
      <w:r>
        <w:br/>
      </w:r>
      <w:r>
        <w:rPr>
          <w:rStyle w:val="NormalTok"/>
        </w:rPr>
        <w:t xml:space="preserve">  AllOtherYear.Items </w:t>
      </w:r>
      <w:r>
        <w:rPr>
          <w:rStyle w:val="OtherTok"/>
        </w:rPr>
        <w:t>&lt;-</w:t>
      </w:r>
      <w:r>
        <w:rPr>
          <w:rStyle w:val="NormalTok"/>
        </w:rPr>
        <w:t xml:space="preserve"> </w:t>
      </w:r>
      <w:r>
        <w:rPr>
          <w:rStyle w:val="StringTok"/>
        </w:rPr>
        <w:t>'Misc PCR/Lab/Feild Supplies'</w:t>
      </w:r>
      <w:r>
        <w:br/>
      </w:r>
      <w:r>
        <w:rPr>
          <w:rStyle w:val="NormalTok"/>
        </w:rPr>
        <w:t xml:space="preserve">  AllOtherYear.Costs </w:t>
      </w:r>
      <w:r>
        <w:rPr>
          <w:rStyle w:val="OtherTok"/>
        </w:rPr>
        <w:t>&lt;-</w:t>
      </w:r>
      <w:r>
        <w:rPr>
          <w:rStyle w:val="NormalTok"/>
        </w:rPr>
        <w:t xml:space="preserve"> </w:t>
      </w:r>
      <w:r>
        <w:rPr>
          <w:rStyle w:val="DecValTok"/>
        </w:rPr>
        <w:t>30000</w:t>
      </w:r>
      <w:r>
        <w:rPr>
          <w:rStyle w:val="NormalTok"/>
        </w:rPr>
        <w:t xml:space="preserve"> </w:t>
      </w:r>
      <w:r>
        <w:rPr>
          <w:rStyle w:val="CommentTok"/>
        </w:rPr>
        <w:t># ensureing that it only changes for every 0.5 increment</w:t>
      </w:r>
      <w:r>
        <w:br/>
      </w:r>
      <w:r>
        <w:rPr>
          <w:rStyle w:val="NormalTok"/>
        </w:rPr>
        <w:t xml:space="preserve">  </w:t>
      </w:r>
      <w:r>
        <w:br/>
      </w:r>
      <w:r>
        <w:rPr>
          <w:rStyle w:val="NormalTok"/>
        </w:rPr>
        <w:t xml:space="preserve">  </w:t>
      </w:r>
      <w:r>
        <w:rPr>
          <w:rStyle w:val="DocumentationTok"/>
        </w:rPr>
        <w:t>################################################</w:t>
      </w:r>
      <w:r>
        <w:rPr>
          <w:rStyle w:val="DocumentationTok"/>
        </w:rPr>
        <w:t>##################################</w:t>
      </w:r>
      <w:r>
        <w:br/>
      </w:r>
      <w:r>
        <w:rPr>
          <w:rStyle w:val="NormalTok"/>
        </w:rPr>
        <w:t xml:space="preserve">  </w:t>
      </w:r>
      <w:r>
        <w:rPr>
          <w:rStyle w:val="DocumentationTok"/>
        </w:rPr>
        <w:t>###########DO NOT MODIFY PAST THIS SECTION########################################</w:t>
      </w:r>
      <w:r>
        <w:br/>
      </w:r>
      <w:r>
        <w:rPr>
          <w:rStyle w:val="NormalTok"/>
        </w:rPr>
        <w:t xml:space="preserve">  </w:t>
      </w:r>
      <w:r>
        <w:rPr>
          <w:rStyle w:val="DocumentationTok"/>
        </w:rPr>
        <w:t>##################################################################################</w:t>
      </w:r>
      <w:r>
        <w:br/>
      </w:r>
      <w:r>
        <w:rPr>
          <w:rStyle w:val="NormalTok"/>
        </w:rPr>
        <w:t xml:space="preserve">  </w:t>
      </w:r>
      <w:r>
        <w:br/>
      </w:r>
      <w:r>
        <w:rPr>
          <w:rStyle w:val="NormalTok"/>
        </w:rPr>
        <w:lastRenderedPageBreak/>
        <w:t xml:space="preserve">  pckgs </w:t>
      </w:r>
      <w:r>
        <w:rPr>
          <w:rStyle w:val="OtherTok"/>
        </w:rPr>
        <w:t>&lt;-</w:t>
      </w:r>
      <w:r>
        <w:rPr>
          <w:rStyle w:val="NormalTok"/>
        </w:rPr>
        <w:t xml:space="preserve"> </w:t>
      </w:r>
      <w:r>
        <w:rPr>
          <w:rStyle w:val="FunctionTok"/>
        </w:rPr>
        <w:t>c</w:t>
      </w:r>
      <w:r>
        <w:rPr>
          <w:rStyle w:val="NormalTok"/>
        </w:rPr>
        <w:t>(</w:t>
      </w:r>
      <w:r>
        <w:rPr>
          <w:rStyle w:val="StringTok"/>
        </w:rPr>
        <w:t>'stringr'</w:t>
      </w:r>
      <w:r>
        <w:rPr>
          <w:rStyle w:val="NormalTok"/>
        </w:rPr>
        <w:t xml:space="preserve">, </w:t>
      </w:r>
      <w:r>
        <w:rPr>
          <w:rStyle w:val="StringTok"/>
        </w:rPr>
        <w:t>'kableExtra'</w:t>
      </w:r>
      <w:r>
        <w:rPr>
          <w:rStyle w:val="NormalTok"/>
        </w:rPr>
        <w:t xml:space="preserve">, </w:t>
      </w:r>
      <w:r>
        <w:rPr>
          <w:rStyle w:val="StringTok"/>
        </w:rPr>
        <w:t>'Hmisc'</w:t>
      </w:r>
      <w:r>
        <w:rPr>
          <w:rStyle w:val="NormalTok"/>
        </w:rPr>
        <w:t xml:space="preserve">, </w:t>
      </w:r>
      <w:r>
        <w:rPr>
          <w:rStyle w:val="StringTok"/>
        </w:rPr>
        <w:t>'</w:t>
      </w:r>
      <w:r>
        <w:rPr>
          <w:rStyle w:val="StringTok"/>
        </w:rPr>
        <w:t>formattable'</w:t>
      </w:r>
      <w:r>
        <w:rPr>
          <w:rStyle w:val="NormalTok"/>
        </w:rPr>
        <w:t xml:space="preserve">, </w:t>
      </w:r>
      <w:r>
        <w:rPr>
          <w:rStyle w:val="StringTok"/>
        </w:rPr>
        <w:t>'flextable'</w:t>
      </w:r>
      <w:r>
        <w:rPr>
          <w:rStyle w:val="NormalTok"/>
        </w:rPr>
        <w:t>)</w:t>
      </w:r>
      <w:r>
        <w:br/>
      </w:r>
      <w:r>
        <w:rPr>
          <w:rStyle w:val="NormalTok"/>
        </w:rPr>
        <w:t xml:space="preserve">  </w:t>
      </w:r>
      <w:r>
        <w:br/>
      </w:r>
      <w:r>
        <w:rPr>
          <w:rStyle w:val="NormalTok"/>
        </w:rPr>
        <w:t xml:space="preserve">  </w:t>
      </w:r>
      <w:r>
        <w:rPr>
          <w:rStyle w:val="ControlFlowTok"/>
        </w:rPr>
        <w:t>for</w:t>
      </w:r>
      <w:r>
        <w:rPr>
          <w:rStyle w:val="NormalTok"/>
        </w:rPr>
        <w:t xml:space="preserve">(pck </w:t>
      </w:r>
      <w:r>
        <w:rPr>
          <w:rStyle w:val="ControlFlowTok"/>
        </w:rPr>
        <w:t>in</w:t>
      </w:r>
      <w:r>
        <w:rPr>
          <w:rStyle w:val="NormalTok"/>
        </w:rPr>
        <w:t xml:space="preserve"> pckgs){</w:t>
      </w:r>
      <w:r>
        <w:br/>
      </w:r>
      <w:r>
        <w:rPr>
          <w:rStyle w:val="NormalTok"/>
        </w:rPr>
        <w:t xml:space="preserve">    </w:t>
      </w:r>
      <w:r>
        <w:rPr>
          <w:rStyle w:val="ControlFlowTok"/>
        </w:rPr>
        <w:t>if</w:t>
      </w:r>
      <w:r>
        <w:rPr>
          <w:rStyle w:val="NormalTok"/>
        </w:rPr>
        <w:t xml:space="preserve"> ((</w:t>
      </w:r>
      <w:r>
        <w:rPr>
          <w:rStyle w:val="FunctionTok"/>
        </w:rPr>
        <w:t>is.na</w:t>
      </w:r>
      <w:r>
        <w:rPr>
          <w:rStyle w:val="NormalTok"/>
        </w:rPr>
        <w:t>(</w:t>
      </w:r>
      <w:r>
        <w:rPr>
          <w:rStyle w:val="FunctionTok"/>
        </w:rPr>
        <w:t>installed.packages</w:t>
      </w:r>
      <w:r>
        <w:rPr>
          <w:rStyle w:val="NormalTok"/>
        </w:rPr>
        <w:t>()[,</w:t>
      </w:r>
      <w:r>
        <w:rPr>
          <w:rStyle w:val="StringTok"/>
        </w:rPr>
        <w:t>"Package"</w:t>
      </w:r>
      <w:r>
        <w:rPr>
          <w:rStyle w:val="NormalTok"/>
        </w:rPr>
        <w:t>][pck]))</w:t>
      </w:r>
      <w:r>
        <w:rPr>
          <w:rStyle w:val="SpecialCharTok"/>
        </w:rPr>
        <w:t>==</w:t>
      </w:r>
      <w:r>
        <w:rPr>
          <w:rStyle w:val="NormalTok"/>
        </w:rPr>
        <w:t>T){</w:t>
      </w:r>
      <w:r>
        <w:br/>
      </w:r>
      <w:r>
        <w:rPr>
          <w:rStyle w:val="NormalTok"/>
        </w:rPr>
        <w:t xml:space="preserve">      </w:t>
      </w:r>
      <w:r>
        <w:rPr>
          <w:rStyle w:val="FunctionTok"/>
        </w:rPr>
        <w:t>install.packages</w:t>
      </w:r>
      <w:r>
        <w:rPr>
          <w:rStyle w:val="NormalTok"/>
        </w:rPr>
        <w:t xml:space="preserve">(pck, </w:t>
      </w:r>
      <w:r>
        <w:rPr>
          <w:rStyle w:val="AttributeTok"/>
        </w:rPr>
        <w:t>dependencies =</w:t>
      </w:r>
      <w:r>
        <w:rPr>
          <w:rStyle w:val="NormalTok"/>
        </w:rPr>
        <w:t xml:space="preserve"> T)</w:t>
      </w:r>
      <w:r>
        <w:br/>
      </w:r>
      <w:r>
        <w:rPr>
          <w:rStyle w:val="NormalTok"/>
        </w:rPr>
        <w:t xml:space="preserve">    }</w:t>
      </w:r>
      <w:r>
        <w:br/>
      </w:r>
      <w:r>
        <w:rPr>
          <w:rStyle w:val="NormalTok"/>
        </w:rPr>
        <w:t xml:space="preserve">    </w:t>
      </w:r>
      <w:r>
        <w:rPr>
          <w:rStyle w:val="FunctionTok"/>
        </w:rPr>
        <w:t>library</w:t>
      </w:r>
      <w:r>
        <w:rPr>
          <w:rStyle w:val="NormalTok"/>
        </w:rPr>
        <w:t>(pck,</w:t>
      </w:r>
      <w:r>
        <w:rPr>
          <w:rStyle w:val="AttributeTok"/>
        </w:rPr>
        <w:t>character.only =</w:t>
      </w:r>
      <w:r>
        <w:rPr>
          <w:rStyle w:val="NormalTok"/>
        </w:rPr>
        <w:t xml:space="preserve"> T)</w:t>
      </w:r>
      <w:r>
        <w:br/>
      </w:r>
      <w:r>
        <w:rPr>
          <w:rStyle w:val="NormalTok"/>
        </w:rPr>
        <w:t xml:space="preserve">    </w:t>
      </w:r>
      <w:r>
        <w:br/>
      </w:r>
      <w:r>
        <w:rPr>
          <w:rStyle w:val="NormalTok"/>
        </w:rPr>
        <w:t xml:space="preserve">  }</w:t>
      </w:r>
      <w:r>
        <w:br/>
      </w:r>
      <w:r>
        <w:rPr>
          <w:rStyle w:val="NormalTok"/>
        </w:rPr>
        <w:t xml:space="preserve">  Total.Area.ToCntrl.km </w:t>
      </w:r>
      <w:r>
        <w:rPr>
          <w:rStyle w:val="OtherTok"/>
        </w:rPr>
        <w:t>&lt;-</w:t>
      </w:r>
      <w:r>
        <w:rPr>
          <w:rStyle w:val="NormalTok"/>
        </w:rPr>
        <w:t xml:space="preserve"> </w:t>
      </w:r>
      <w:r>
        <w:rPr>
          <w:rStyle w:val="DecValTok"/>
        </w:rPr>
        <w:t>1000</w:t>
      </w:r>
      <w:r>
        <w:br/>
      </w:r>
      <w:r>
        <w:rPr>
          <w:rStyle w:val="NormalTok"/>
        </w:rPr>
        <w:t xml:space="preserve">  </w:t>
      </w:r>
      <w:r>
        <w:br/>
      </w:r>
      <w:r>
        <w:rPr>
          <w:rStyle w:val="NormalTok"/>
        </w:rPr>
        <w:t xml:space="preserve">  </w:t>
      </w:r>
      <w:r>
        <w:rPr>
          <w:rStyle w:val="CommentTok"/>
        </w:rPr>
        <w:t>#Bio</w:t>
      </w:r>
      <w:r>
        <w:br/>
      </w:r>
      <w:r>
        <w:rPr>
          <w:rStyle w:val="NormalTok"/>
        </w:rPr>
        <w:t xml:space="preserve">  r </w:t>
      </w:r>
      <w:r>
        <w:rPr>
          <w:rStyle w:val="OtherTok"/>
        </w:rPr>
        <w:t>=</w:t>
      </w:r>
      <w:r>
        <w:rPr>
          <w:rStyle w:val="NormalTok"/>
        </w:rPr>
        <w:t xml:space="preserve"> </w:t>
      </w:r>
      <w:r>
        <w:rPr>
          <w:rStyle w:val="DecValTok"/>
        </w:rPr>
        <w:t>1</w:t>
      </w:r>
      <w:r>
        <w:rPr>
          <w:rStyle w:val="SpecialCharTok"/>
        </w:rPr>
        <w:t>-</w:t>
      </w:r>
      <w:r>
        <w:rPr>
          <w:rStyle w:val="NormalTok"/>
        </w:rPr>
        <w:t>(FemalePercent</w:t>
      </w:r>
      <w:r>
        <w:rPr>
          <w:rStyle w:val="SpecialCharTok"/>
        </w:rPr>
        <w:t>/</w:t>
      </w:r>
      <w:r>
        <w:rPr>
          <w:rStyle w:val="DecValTok"/>
        </w:rPr>
        <w:t>100</w:t>
      </w:r>
      <w:r>
        <w:rPr>
          <w:rStyle w:val="NormalTok"/>
        </w:rPr>
        <w:t xml:space="preserve">) </w:t>
      </w:r>
      <w:r>
        <w:rPr>
          <w:rStyle w:val="CommentTok"/>
        </w:rPr>
        <w:t>#male proportion given female percent</w:t>
      </w:r>
      <w:r>
        <w:br/>
      </w:r>
      <w:r>
        <w:rPr>
          <w:rStyle w:val="NormalTok"/>
        </w:rPr>
        <w:t xml:space="preserve">  wildtypefmales </w:t>
      </w:r>
      <w:r>
        <w:rPr>
          <w:rStyle w:val="OtherTok"/>
        </w:rPr>
        <w:t>&lt;-</w:t>
      </w:r>
      <w:r>
        <w:rPr>
          <w:rStyle w:val="NormalTok"/>
        </w:rPr>
        <w:t xml:space="preserve"> </w:t>
      </w:r>
      <w:r>
        <w:rPr>
          <w:rStyle w:val="FloatTok"/>
        </w:rPr>
        <w:t>0.5</w:t>
      </w:r>
      <w:r>
        <w:br/>
      </w:r>
      <w:r>
        <w:rPr>
          <w:rStyle w:val="NormalTok"/>
        </w:rPr>
        <w:t xml:space="preserve">  WildType.Males.km </w:t>
      </w:r>
      <w:r>
        <w:rPr>
          <w:rStyle w:val="OtherTok"/>
        </w:rPr>
        <w:t>&lt;-</w:t>
      </w:r>
      <w:r>
        <w:rPr>
          <w:rStyle w:val="NormalTok"/>
        </w:rPr>
        <w:t xml:space="preserve"> </w:t>
      </w:r>
      <w:r>
        <w:rPr>
          <w:rStyle w:val="FunctionTok"/>
        </w:rPr>
        <w:t>round</w:t>
      </w:r>
      <w:r>
        <w:rPr>
          <w:rStyle w:val="NormalTok"/>
        </w:rPr>
        <w:t>((((Total.Area.ToCntrl.km</w:t>
      </w:r>
      <w:r>
        <w:rPr>
          <w:rStyle w:val="SpecialCharTok"/>
        </w:rPr>
        <w:t>*</w:t>
      </w:r>
      <w:r>
        <w:rPr>
          <w:rStyle w:val="NormalTok"/>
        </w:rPr>
        <w:t>Aedes.Mos.Density.km))</w:t>
      </w:r>
      <w:r>
        <w:rPr>
          <w:rStyle w:val="SpecialCharTok"/>
        </w:rPr>
        <w:t>/</w:t>
      </w:r>
      <w:r>
        <w:rPr>
          <w:rStyle w:val="NormalTok"/>
        </w:rPr>
        <w:t xml:space="preserve">(wildtypefmales)) </w:t>
      </w:r>
      <w:r>
        <w:rPr>
          <w:rStyle w:val="SpecialCharTok"/>
        </w:rPr>
        <w:t>*</w:t>
      </w:r>
      <w:r>
        <w:rPr>
          <w:rStyle w:val="NormalTok"/>
        </w:rPr>
        <w:t xml:space="preserve"> </w:t>
      </w:r>
      <w:r>
        <w:rPr>
          <w:rStyle w:val="FloatTok"/>
        </w:rPr>
        <w:t>0.5</w:t>
      </w:r>
      <w:r>
        <w:rPr>
          <w:rStyle w:val="NormalTok"/>
        </w:rPr>
        <w:t xml:space="preserve">) </w:t>
      </w:r>
      <w:r>
        <w:rPr>
          <w:rStyle w:val="CommentTok"/>
        </w:rPr>
        <w:t>#(Samuels et al. 2014 numbers are only for females) assumes wildtype e</w:t>
      </w:r>
      <w:r>
        <w:rPr>
          <w:rStyle w:val="CommentTok"/>
        </w:rPr>
        <w:t>qual sex ratio</w:t>
      </w:r>
      <w:r>
        <w:br/>
      </w:r>
      <w:r>
        <w:rPr>
          <w:rStyle w:val="NormalTok"/>
        </w:rPr>
        <w:t xml:space="preserve">  </w:t>
      </w:r>
      <w:r>
        <w:rPr>
          <w:rStyle w:val="CommentTok"/>
        </w:rPr>
        <w:t># OVerflooding ratio is defined as the ratio of sterile to wild males</w:t>
      </w:r>
      <w:r>
        <w:br/>
      </w:r>
      <w:r>
        <w:rPr>
          <w:rStyle w:val="NormalTok"/>
        </w:rPr>
        <w:t xml:space="preserve">  Wolb.Males.Needed.km </w:t>
      </w:r>
      <w:r>
        <w:rPr>
          <w:rStyle w:val="OtherTok"/>
        </w:rPr>
        <w:t>&lt;-</w:t>
      </w:r>
      <w:r>
        <w:rPr>
          <w:rStyle w:val="NormalTok"/>
        </w:rPr>
        <w:t xml:space="preserve"> </w:t>
      </w:r>
      <w:r>
        <w:rPr>
          <w:rStyle w:val="FunctionTok"/>
        </w:rPr>
        <w:t>round</w:t>
      </w:r>
      <w:r>
        <w:rPr>
          <w:rStyle w:val="NormalTok"/>
        </w:rPr>
        <w:t>(WildType.Males.km</w:t>
      </w:r>
      <w:r>
        <w:rPr>
          <w:rStyle w:val="SpecialCharTok"/>
        </w:rPr>
        <w:t>*</w:t>
      </w:r>
      <w:r>
        <w:rPr>
          <w:rStyle w:val="NormalTok"/>
        </w:rPr>
        <w:t>Overflooding_Multiplier)</w:t>
      </w:r>
      <w:r>
        <w:br/>
      </w:r>
      <w:r>
        <w:rPr>
          <w:rStyle w:val="NormalTok"/>
        </w:rPr>
        <w:t xml:space="preserve">  </w:t>
      </w:r>
      <w:r>
        <w:br/>
      </w:r>
      <w:r>
        <w:rPr>
          <w:rStyle w:val="NormalTok"/>
        </w:rPr>
        <w:t xml:space="preserve">  </w:t>
      </w:r>
      <w:r>
        <w:rPr>
          <w:rStyle w:val="CommentTok"/>
        </w:rPr>
        <w:t>#Office</w:t>
      </w:r>
      <w:r>
        <w:br/>
      </w:r>
      <w:r>
        <w:rPr>
          <w:rStyle w:val="NormalTok"/>
        </w:rPr>
        <w:t xml:space="preserve">  OfficeCosts </w:t>
      </w:r>
      <w:r>
        <w:rPr>
          <w:rStyle w:val="OtherTok"/>
        </w:rPr>
        <w:t>&lt;-</w:t>
      </w:r>
      <w:r>
        <w:rPr>
          <w:rStyle w:val="NormalTok"/>
        </w:rPr>
        <w:t xml:space="preserve"> LaboratorySpace </w:t>
      </w:r>
      <w:r>
        <w:rPr>
          <w:rStyle w:val="SpecialCharTok"/>
        </w:rPr>
        <w:t>+</w:t>
      </w:r>
      <w:r>
        <w:rPr>
          <w:rStyle w:val="NormalTok"/>
        </w:rPr>
        <w:t xml:space="preserve"> Electricity</w:t>
      </w:r>
      <w:r>
        <w:br/>
      </w:r>
      <w:r>
        <w:rPr>
          <w:rStyle w:val="NormalTok"/>
        </w:rPr>
        <w:t xml:space="preserve">  </w:t>
      </w:r>
      <w:r>
        <w:br/>
      </w:r>
      <w:r>
        <w:rPr>
          <w:rStyle w:val="NormalTok"/>
        </w:rPr>
        <w:t xml:space="preserve">  </w:t>
      </w:r>
      <w:r>
        <w:rPr>
          <w:rStyle w:val="CommentTok"/>
        </w:rPr>
        <w:t>#Personel</w:t>
      </w:r>
      <w:r>
        <w:br/>
      </w:r>
      <w:r>
        <w:rPr>
          <w:rStyle w:val="NormalTok"/>
        </w:rPr>
        <w:t xml:space="preserve">  Wage </w:t>
      </w:r>
      <w:r>
        <w:rPr>
          <w:rStyle w:val="OtherTok"/>
        </w:rPr>
        <w:t>&lt;-</w:t>
      </w:r>
      <w:r>
        <w:rPr>
          <w:rStyle w:val="NormalTok"/>
        </w:rPr>
        <w:t xml:space="preserve"> </w:t>
      </w:r>
      <w:r>
        <w:rPr>
          <w:rStyle w:val="FunctionTok"/>
        </w:rPr>
        <w:t>c</w:t>
      </w:r>
      <w:r>
        <w:rPr>
          <w:rStyle w:val="NormalTok"/>
        </w:rPr>
        <w:t>(Wage.Mass.Rearing, Wage.Quality.Control)</w:t>
      </w:r>
      <w:r>
        <w:br/>
      </w:r>
      <w:r>
        <w:rPr>
          <w:rStyle w:val="NormalTok"/>
        </w:rPr>
        <w:t xml:space="preserve">  Personel.CossA </w:t>
      </w:r>
      <w:r>
        <w:rPr>
          <w:rStyle w:val="OtherTok"/>
        </w:rPr>
        <w:t>&lt;-</w:t>
      </w:r>
      <w:r>
        <w:rPr>
          <w:rStyle w:val="NormalTok"/>
        </w:rPr>
        <w:t xml:space="preserve"> </w:t>
      </w:r>
      <w:r>
        <w:rPr>
          <w:rStyle w:val="FunctionTok"/>
        </w:rPr>
        <w:t>rep</w:t>
      </w:r>
      <w:r>
        <w:rPr>
          <w:rStyle w:val="NormalTok"/>
        </w:rPr>
        <w:t>(HoursPerYear</w:t>
      </w:r>
      <w:r>
        <w:rPr>
          <w:rStyle w:val="SpecialCharTok"/>
        </w:rPr>
        <w:t>*</w:t>
      </w:r>
      <w:r>
        <w:rPr>
          <w:rStyle w:val="NormalTok"/>
        </w:rPr>
        <w:t>Wage)</w:t>
      </w:r>
      <w:r>
        <w:rPr>
          <w:rStyle w:val="CommentTok"/>
        </w:rPr>
        <w:t>#, length(Personel.Des)) # 260 hours per year</w:t>
      </w:r>
      <w:r>
        <w:br/>
      </w:r>
      <w:r>
        <w:rPr>
          <w:rStyle w:val="NormalTok"/>
        </w:rPr>
        <w:t xml:space="preserve">  Personel.Costs </w:t>
      </w:r>
      <w:r>
        <w:rPr>
          <w:rStyle w:val="OtherTok"/>
        </w:rPr>
        <w:t>&lt;-</w:t>
      </w:r>
      <w:r>
        <w:rPr>
          <w:rStyle w:val="NormalTok"/>
        </w:rPr>
        <w:t xml:space="preserve"> Personel.CossA </w:t>
      </w:r>
      <w:r>
        <w:rPr>
          <w:rStyle w:val="CommentTok"/>
        </w:rPr>
        <w:t># removing 6 positions because community education and feild release</w:t>
      </w:r>
      <w:r>
        <w:br/>
      </w:r>
      <w:r>
        <w:rPr>
          <w:rStyle w:val="NormalTok"/>
        </w:rPr>
        <w:t xml:space="preserve">  Fringe.Costs </w:t>
      </w:r>
      <w:r>
        <w:rPr>
          <w:rStyle w:val="OtherTok"/>
        </w:rPr>
        <w:t>&lt;-</w:t>
      </w:r>
      <w:r>
        <w:rPr>
          <w:rStyle w:val="NormalTok"/>
        </w:rPr>
        <w:t xml:space="preserve"> Pers</w:t>
      </w:r>
      <w:r>
        <w:rPr>
          <w:rStyle w:val="NormalTok"/>
        </w:rPr>
        <w:t xml:space="preserve">onel.Costs </w:t>
      </w:r>
      <w:r>
        <w:rPr>
          <w:rStyle w:val="SpecialCharTok"/>
        </w:rPr>
        <w:t>*</w:t>
      </w:r>
      <w:r>
        <w:rPr>
          <w:rStyle w:val="NormalTok"/>
        </w:rPr>
        <w:t xml:space="preserve"> Fringe</w:t>
      </w:r>
      <w:r>
        <w:br/>
      </w:r>
      <w:r>
        <w:rPr>
          <w:rStyle w:val="NormalTok"/>
        </w:rPr>
        <w:t xml:space="preserve">  Tot.Pers.Costs </w:t>
      </w:r>
      <w:r>
        <w:rPr>
          <w:rStyle w:val="OtherTok"/>
        </w:rPr>
        <w:t>&lt;-</w:t>
      </w:r>
      <w:r>
        <w:rPr>
          <w:rStyle w:val="NormalTok"/>
        </w:rPr>
        <w:t xml:space="preserve"> (Personel.Costs </w:t>
      </w:r>
      <w:r>
        <w:rPr>
          <w:rStyle w:val="SpecialCharTok"/>
        </w:rPr>
        <w:t>+</w:t>
      </w:r>
      <w:r>
        <w:rPr>
          <w:rStyle w:val="NormalTok"/>
        </w:rPr>
        <w:t xml:space="preserve"> Fringe.Costs)  </w:t>
      </w:r>
      <w:r>
        <w:rPr>
          <w:rStyle w:val="SpecialCharTok"/>
        </w:rPr>
        <w:t>*</w:t>
      </w:r>
      <w:r>
        <w:rPr>
          <w:rStyle w:val="NormalTok"/>
        </w:rPr>
        <w:t xml:space="preserve"> </w:t>
      </w:r>
      <w:r>
        <w:rPr>
          <w:rStyle w:val="FunctionTok"/>
        </w:rPr>
        <w:t>c</w:t>
      </w:r>
      <w:r>
        <w:rPr>
          <w:rStyle w:val="NormalTok"/>
        </w:rPr>
        <w:t>(</w:t>
      </w:r>
      <w:r>
        <w:rPr>
          <w:rStyle w:val="DecValTok"/>
        </w:rPr>
        <w:t>8</w:t>
      </w:r>
      <w:r>
        <w:rPr>
          <w:rStyle w:val="NormalTok"/>
        </w:rPr>
        <w:t>,</w:t>
      </w:r>
      <w:r>
        <w:rPr>
          <w:rStyle w:val="DecValTok"/>
        </w:rPr>
        <w:t>3</w:t>
      </w:r>
      <w:r>
        <w:rPr>
          <w:rStyle w:val="NormalTok"/>
        </w:rPr>
        <w:t>)</w:t>
      </w:r>
      <w:r>
        <w:br/>
      </w:r>
      <w:r>
        <w:rPr>
          <w:rStyle w:val="NormalTok"/>
        </w:rPr>
        <w:lastRenderedPageBreak/>
        <w:t xml:space="preserve">  </w:t>
      </w:r>
      <w:r>
        <w:br/>
      </w:r>
      <w:r>
        <w:rPr>
          <w:rStyle w:val="NormalTok"/>
        </w:rPr>
        <w:t xml:space="preserve">  </w:t>
      </w:r>
      <w:r>
        <w:br/>
      </w:r>
      <w:r>
        <w:rPr>
          <w:rStyle w:val="NormalTok"/>
        </w:rPr>
        <w:t xml:space="preserve">  </w:t>
      </w:r>
      <w:r>
        <w:rPr>
          <w:rStyle w:val="CommentTok"/>
        </w:rPr>
        <w:t>#COSTS FOR A Facility 1-300k males</w:t>
      </w:r>
      <w:r>
        <w:br/>
      </w:r>
      <w:r>
        <w:rPr>
          <w:rStyle w:val="NormalTok"/>
        </w:rPr>
        <w:t xml:space="preserve">  </w:t>
      </w:r>
      <w:r>
        <w:rPr>
          <w:rStyle w:val="CommentTok"/>
        </w:rPr>
        <w:t># (defined by assuming that each 1 mosquito larvae rearing unit can</w:t>
      </w:r>
      <w:r>
        <w:br/>
      </w:r>
      <w:r>
        <w:rPr>
          <w:rStyle w:val="NormalTok"/>
        </w:rPr>
        <w:t xml:space="preserve">  </w:t>
      </w:r>
      <w:r>
        <w:rPr>
          <w:rStyle w:val="CommentTok"/>
        </w:rPr>
        <w:t># break 300k males)</w:t>
      </w:r>
      <w:r>
        <w:br/>
      </w:r>
      <w:r>
        <w:rPr>
          <w:rStyle w:val="NormalTok"/>
        </w:rPr>
        <w:t xml:space="preserve">  </w:t>
      </w:r>
      <w:r>
        <w:rPr>
          <w:rStyle w:val="CommentTok"/>
        </w:rPr>
        <w:t># what to rear a min. of 500 - 1 mill</w:t>
      </w:r>
      <w:r>
        <w:rPr>
          <w:rStyle w:val="CommentTok"/>
        </w:rPr>
        <w:t>ion males...</w:t>
      </w:r>
      <w:r>
        <w:br/>
      </w:r>
      <w:r>
        <w:rPr>
          <w:rStyle w:val="NormalTok"/>
        </w:rPr>
        <w:t xml:space="preserve">  </w:t>
      </w:r>
      <w:r>
        <w:rPr>
          <w:rStyle w:val="CommentTok"/>
        </w:rPr>
        <w:t># 1/1.5 = 0.6666667 initial cost estimates were for 1.5 million males.  This is for ~ 1 million</w:t>
      </w:r>
      <w:r>
        <w:br/>
      </w:r>
      <w:r>
        <w:rPr>
          <w:rStyle w:val="NormalTok"/>
        </w:rPr>
        <w:t xml:space="preserve">  </w:t>
      </w:r>
      <w:r>
        <w:rPr>
          <w:rStyle w:val="CommentTok"/>
        </w:rPr>
        <w:t># 0.5/1.5 = 0.3333333 this is for ~ 500k males</w:t>
      </w:r>
      <w:r>
        <w:br/>
      </w:r>
      <w:r>
        <w:rPr>
          <w:rStyle w:val="NormalTok"/>
        </w:rPr>
        <w:t xml:space="preserve">  Year1.Only.Costs</w:t>
      </w:r>
      <w:r>
        <w:rPr>
          <w:rStyle w:val="FloatTok"/>
        </w:rPr>
        <w:t>.300</w:t>
      </w:r>
      <w:r>
        <w:rPr>
          <w:rStyle w:val="NormalTok"/>
        </w:rPr>
        <w:t xml:space="preserve">k </w:t>
      </w:r>
      <w:r>
        <w:rPr>
          <w:rStyle w:val="OtherTok"/>
        </w:rPr>
        <w:t>&lt;-</w:t>
      </w:r>
      <w:r>
        <w:rPr>
          <w:rStyle w:val="NormalTok"/>
        </w:rPr>
        <w:t xml:space="preserve"> Year1.Only.Costs</w:t>
      </w:r>
      <w:r>
        <w:br/>
      </w:r>
      <w:r>
        <w:rPr>
          <w:rStyle w:val="NormalTok"/>
        </w:rPr>
        <w:t xml:space="preserve">  Year1.Only.Costs</w:t>
      </w:r>
      <w:r>
        <w:rPr>
          <w:rStyle w:val="FloatTok"/>
        </w:rPr>
        <w:t>.300</w:t>
      </w:r>
      <w:r>
        <w:rPr>
          <w:rStyle w:val="NormalTok"/>
        </w:rPr>
        <w:t>k[</w:t>
      </w:r>
      <w:r>
        <w:rPr>
          <w:rStyle w:val="DecValTok"/>
        </w:rPr>
        <w:t>2</w:t>
      </w:r>
      <w:r>
        <w:rPr>
          <w:rStyle w:val="SpecialCharTok"/>
        </w:rPr>
        <w:t>:</w:t>
      </w:r>
      <w:r>
        <w:rPr>
          <w:rStyle w:val="DecValTok"/>
        </w:rPr>
        <w:t>6</w:t>
      </w:r>
      <w:r>
        <w:rPr>
          <w:rStyle w:val="NormalTok"/>
        </w:rPr>
        <w:t xml:space="preserve">]  </w:t>
      </w:r>
      <w:r>
        <w:rPr>
          <w:rStyle w:val="OtherTok"/>
        </w:rPr>
        <w:t>&lt;-</w:t>
      </w:r>
      <w:r>
        <w:rPr>
          <w:rStyle w:val="NormalTok"/>
        </w:rPr>
        <w:t xml:space="preserve"> Year1.Only.Costs[</w:t>
      </w:r>
      <w:r>
        <w:rPr>
          <w:rStyle w:val="DecValTok"/>
        </w:rPr>
        <w:t>2</w:t>
      </w:r>
      <w:r>
        <w:rPr>
          <w:rStyle w:val="SpecialCharTok"/>
        </w:rPr>
        <w:t>:</w:t>
      </w:r>
      <w:r>
        <w:rPr>
          <w:rStyle w:val="DecValTok"/>
        </w:rPr>
        <w:t>6</w:t>
      </w:r>
      <w:r>
        <w:rPr>
          <w:rStyle w:val="NormalTok"/>
        </w:rPr>
        <w:t>]</w:t>
      </w:r>
      <w:r>
        <w:rPr>
          <w:rStyle w:val="SpecialCharTok"/>
        </w:rPr>
        <w:t>/</w:t>
      </w:r>
      <w:r>
        <w:rPr>
          <w:rStyle w:val="DecValTok"/>
        </w:rPr>
        <w:t>5</w:t>
      </w:r>
      <w:r>
        <w:br/>
      </w:r>
      <w:r>
        <w:rPr>
          <w:rStyle w:val="NormalTok"/>
        </w:rPr>
        <w:t xml:space="preserve">  OfficeCosts</w:t>
      </w:r>
      <w:r>
        <w:rPr>
          <w:rStyle w:val="FloatTok"/>
        </w:rPr>
        <w:t>.300</w:t>
      </w:r>
      <w:r>
        <w:rPr>
          <w:rStyle w:val="NormalTok"/>
        </w:rPr>
        <w:t xml:space="preserve">k </w:t>
      </w:r>
      <w:r>
        <w:rPr>
          <w:rStyle w:val="OtherTok"/>
        </w:rPr>
        <w:t>&lt;-</w:t>
      </w:r>
      <w:r>
        <w:rPr>
          <w:rStyle w:val="NormalTok"/>
        </w:rPr>
        <w:t xml:space="preserve"> OfficeCosts</w:t>
      </w:r>
      <w:r>
        <w:rPr>
          <w:rStyle w:val="SpecialCharTok"/>
        </w:rPr>
        <w:t>/</w:t>
      </w:r>
      <w:r>
        <w:rPr>
          <w:rStyle w:val="DecValTok"/>
        </w:rPr>
        <w:t>5</w:t>
      </w:r>
      <w:r>
        <w:rPr>
          <w:rStyle w:val="NormalTok"/>
        </w:rPr>
        <w:t xml:space="preserve"> </w:t>
      </w:r>
      <w:r>
        <w:rPr>
          <w:rStyle w:val="CommentTok"/>
        </w:rPr>
        <w:t># Assumes 2*24*26 ft containers is min at $120k</w:t>
      </w:r>
      <w:r>
        <w:br/>
      </w:r>
      <w:r>
        <w:rPr>
          <w:rStyle w:val="NormalTok"/>
        </w:rPr>
        <w:t xml:space="preserve">  Tot.Pers.Costs</w:t>
      </w:r>
      <w:r>
        <w:rPr>
          <w:rStyle w:val="FloatTok"/>
        </w:rPr>
        <w:t>.300</w:t>
      </w:r>
      <w:r>
        <w:rPr>
          <w:rStyle w:val="NormalTok"/>
        </w:rPr>
        <w:t xml:space="preserve">k </w:t>
      </w:r>
      <w:r>
        <w:rPr>
          <w:rStyle w:val="OtherTok"/>
        </w:rPr>
        <w:t>&lt;-</w:t>
      </w:r>
      <w:r>
        <w:rPr>
          <w:rStyle w:val="NormalTok"/>
        </w:rPr>
        <w:t xml:space="preserve"> (Personel.Costs </w:t>
      </w:r>
      <w:r>
        <w:rPr>
          <w:rStyle w:val="SpecialCharTok"/>
        </w:rPr>
        <w:t>+</w:t>
      </w:r>
      <w:r>
        <w:rPr>
          <w:rStyle w:val="NormalTok"/>
        </w:rPr>
        <w:t xml:space="preserve"> Fringe.Costs)  </w:t>
      </w:r>
      <w:r>
        <w:rPr>
          <w:rStyle w:val="SpecialCharTok"/>
        </w:rPr>
        <w:t>*</w:t>
      </w:r>
      <w:r>
        <w:rPr>
          <w:rStyle w:val="NormalTok"/>
        </w:rPr>
        <w:t xml:space="preserve"> (</w:t>
      </w:r>
      <w:r>
        <w:rPr>
          <w:rStyle w:val="FunctionTok"/>
        </w:rPr>
        <w:t>c</w:t>
      </w:r>
      <w:r>
        <w:rPr>
          <w:rStyle w:val="NormalTok"/>
        </w:rPr>
        <w:t>(</w:t>
      </w:r>
      <w:r>
        <w:rPr>
          <w:rStyle w:val="DecValTok"/>
        </w:rPr>
        <w:t>8</w:t>
      </w:r>
      <w:r>
        <w:rPr>
          <w:rStyle w:val="NormalTok"/>
        </w:rPr>
        <w:t>,</w:t>
      </w:r>
      <w:r>
        <w:rPr>
          <w:rStyle w:val="DecValTok"/>
        </w:rPr>
        <w:t>3</w:t>
      </w:r>
      <w:r>
        <w:rPr>
          <w:rStyle w:val="NormalTok"/>
        </w:rPr>
        <w:t>)</w:t>
      </w:r>
      <w:r>
        <w:rPr>
          <w:rStyle w:val="SpecialCharTok"/>
        </w:rPr>
        <w:t>/</w:t>
      </w:r>
      <w:r>
        <w:rPr>
          <w:rStyle w:val="DecValTok"/>
        </w:rPr>
        <w:t>5</w:t>
      </w:r>
      <w:r>
        <w:rPr>
          <w:rStyle w:val="NormalTok"/>
        </w:rPr>
        <w:t>)</w:t>
      </w:r>
      <w:r>
        <w:br/>
      </w:r>
      <w:r>
        <w:rPr>
          <w:rStyle w:val="NormalTok"/>
        </w:rPr>
        <w:t xml:space="preserve">  AllOtherYear.Costs</w:t>
      </w:r>
      <w:r>
        <w:rPr>
          <w:rStyle w:val="FloatTok"/>
        </w:rPr>
        <w:t>.300</w:t>
      </w:r>
      <w:r>
        <w:rPr>
          <w:rStyle w:val="NormalTok"/>
        </w:rPr>
        <w:t xml:space="preserve">k </w:t>
      </w:r>
      <w:r>
        <w:rPr>
          <w:rStyle w:val="OtherTok"/>
        </w:rPr>
        <w:t>&lt;-</w:t>
      </w:r>
      <w:r>
        <w:rPr>
          <w:rStyle w:val="NormalTok"/>
        </w:rPr>
        <w:t xml:space="preserve"> AllOtherYear.Costs</w:t>
      </w:r>
      <w:r>
        <w:rPr>
          <w:rStyle w:val="SpecialCharTok"/>
        </w:rPr>
        <w:t>/</w:t>
      </w:r>
      <w:r>
        <w:rPr>
          <w:rStyle w:val="DecValTok"/>
        </w:rPr>
        <w:t>5</w:t>
      </w:r>
      <w:r>
        <w:br/>
      </w:r>
      <w:r>
        <w:rPr>
          <w:rStyle w:val="NormalTok"/>
        </w:rPr>
        <w:t xml:space="preserve">  </w:t>
      </w:r>
      <w:r>
        <w:br/>
      </w:r>
      <w:r>
        <w:rPr>
          <w:rStyle w:val="NormalTok"/>
        </w:rPr>
        <w:t xml:space="preserve">  MaxCeiling </w:t>
      </w:r>
      <w:r>
        <w:rPr>
          <w:rStyle w:val="OtherTok"/>
        </w:rPr>
        <w:t>&lt;-</w:t>
      </w:r>
      <w:r>
        <w:rPr>
          <w:rStyle w:val="NormalTok"/>
        </w:rPr>
        <w:t xml:space="preserve"> </w:t>
      </w:r>
      <w:r>
        <w:rPr>
          <w:rStyle w:val="DecValTok"/>
        </w:rPr>
        <w:t>1000000</w:t>
      </w:r>
      <w:r>
        <w:rPr>
          <w:rStyle w:val="NormalTok"/>
        </w:rPr>
        <w:t xml:space="preserve"> </w:t>
      </w:r>
      <w:r>
        <w:rPr>
          <w:rStyle w:val="SpecialCharTok"/>
        </w:rPr>
        <w:t>*</w:t>
      </w:r>
      <w:r>
        <w:rPr>
          <w:rStyle w:val="NormalTok"/>
        </w:rPr>
        <w:t xml:space="preserve"> (r)</w:t>
      </w:r>
      <w:r>
        <w:rPr>
          <w:rStyle w:val="CommentTok"/>
        </w:rPr>
        <w:t># 1 million Cu</w:t>
      </w:r>
      <w:r>
        <w:rPr>
          <w:rStyle w:val="CommentTok"/>
        </w:rPr>
        <w:t>licidae per rearing unit</w:t>
      </w:r>
      <w:r>
        <w:br/>
      </w:r>
      <w:r>
        <w:rPr>
          <w:rStyle w:val="NormalTok"/>
        </w:rPr>
        <w:t xml:space="preserve">  </w:t>
      </w:r>
      <w:r>
        <w:br/>
      </w:r>
      <w:r>
        <w:rPr>
          <w:rStyle w:val="NormalTok"/>
        </w:rPr>
        <w:t xml:space="preserve">  Wolb.Males.Produced </w:t>
      </w:r>
      <w:r>
        <w:rPr>
          <w:rStyle w:val="OtherTok"/>
        </w:rPr>
        <w:t>&lt;-</w:t>
      </w:r>
      <w:r>
        <w:rPr>
          <w:rStyle w:val="NormalTok"/>
        </w:rPr>
        <w:t xml:space="preserve"> Wolb.Males.Needed.km </w:t>
      </w:r>
      <w:r>
        <w:rPr>
          <w:rStyle w:val="SpecialCharTok"/>
        </w:rPr>
        <w:t>*</w:t>
      </w:r>
      <w:r>
        <w:rPr>
          <w:rStyle w:val="NormalTok"/>
        </w:rPr>
        <w:t xml:space="preserve"> r</w:t>
      </w:r>
      <w:r>
        <w:br/>
      </w:r>
      <w:r>
        <w:rPr>
          <w:rStyle w:val="NormalTok"/>
        </w:rPr>
        <w:t xml:space="preserve">  </w:t>
      </w:r>
      <w:r>
        <w:br/>
      </w:r>
      <w:r>
        <w:rPr>
          <w:rStyle w:val="NormalTok"/>
        </w:rPr>
        <w:t xml:space="preserve">  PropWildToLab </w:t>
      </w:r>
      <w:r>
        <w:rPr>
          <w:rStyle w:val="OtherTok"/>
        </w:rPr>
        <w:t>&lt;-</w:t>
      </w:r>
      <w:r>
        <w:rPr>
          <w:rStyle w:val="NormalTok"/>
        </w:rPr>
        <w:t xml:space="preserve"> Wolb.Males.Produced</w:t>
      </w:r>
      <w:r>
        <w:rPr>
          <w:rStyle w:val="SpecialCharTok"/>
        </w:rPr>
        <w:t>/</w:t>
      </w:r>
      <w:r>
        <w:rPr>
          <w:rStyle w:val="NormalTok"/>
        </w:rPr>
        <w:t>Wolb.Males.Needed.km</w:t>
      </w:r>
      <w:r>
        <w:br/>
      </w:r>
      <w:r>
        <w:rPr>
          <w:rStyle w:val="NormalTok"/>
        </w:rPr>
        <w:t xml:space="preserve">  diff.ratio </w:t>
      </w:r>
      <w:r>
        <w:rPr>
          <w:rStyle w:val="OtherTok"/>
        </w:rPr>
        <w:t>&lt;-</w:t>
      </w:r>
      <w:r>
        <w:rPr>
          <w:rStyle w:val="NormalTok"/>
        </w:rPr>
        <w:t xml:space="preserve"> </w:t>
      </w:r>
      <w:r>
        <w:rPr>
          <w:rStyle w:val="FunctionTok"/>
        </w:rPr>
        <w:t>ceiling</w:t>
      </w:r>
      <w:r>
        <w:rPr>
          <w:rStyle w:val="NormalTok"/>
        </w:rPr>
        <w:t>(</w:t>
      </w:r>
      <w:r>
        <w:rPr>
          <w:rStyle w:val="FunctionTok"/>
        </w:rPr>
        <w:t>signif</w:t>
      </w:r>
      <w:r>
        <w:rPr>
          <w:rStyle w:val="NormalTok"/>
        </w:rPr>
        <w:t>(</w:t>
      </w:r>
      <w:r>
        <w:rPr>
          <w:rStyle w:val="FunctionTok"/>
        </w:rPr>
        <w:t>round</w:t>
      </w:r>
      <w:r>
        <w:rPr>
          <w:rStyle w:val="NormalTok"/>
        </w:rPr>
        <w:t>(Wolb.Males.Needed.km</w:t>
      </w:r>
      <w:r>
        <w:rPr>
          <w:rStyle w:val="SpecialCharTok"/>
        </w:rPr>
        <w:t>/</w:t>
      </w:r>
      <w:r>
        <w:rPr>
          <w:rStyle w:val="NormalTok"/>
        </w:rPr>
        <w:t xml:space="preserve">MaxCeiling, </w:t>
      </w:r>
      <w:r>
        <w:rPr>
          <w:rStyle w:val="DecValTok"/>
        </w:rPr>
        <w:t>2</w:t>
      </w:r>
      <w:r>
        <w:rPr>
          <w:rStyle w:val="NormalTok"/>
        </w:rPr>
        <w:t>),</w:t>
      </w:r>
      <w:r>
        <w:rPr>
          <w:rStyle w:val="DecValTok"/>
        </w:rPr>
        <w:t>2</w:t>
      </w:r>
      <w:r>
        <w:rPr>
          <w:rStyle w:val="NormalTok"/>
        </w:rPr>
        <w:t>))</w:t>
      </w:r>
      <w:r>
        <w:br/>
      </w:r>
      <w:r>
        <w:rPr>
          <w:rStyle w:val="NormalTok"/>
        </w:rPr>
        <w:t xml:space="preserve">  </w:t>
      </w:r>
      <w:r>
        <w:br/>
      </w:r>
      <w:r>
        <w:rPr>
          <w:rStyle w:val="NormalTok"/>
        </w:rPr>
        <w:t xml:space="preserve">  </w:t>
      </w:r>
      <w:r>
        <w:br/>
      </w:r>
      <w:r>
        <w:rPr>
          <w:rStyle w:val="NormalTok"/>
        </w:rPr>
        <w:t xml:space="preserve">  </w:t>
      </w:r>
      <w:r>
        <w:rPr>
          <w:rStyle w:val="CommentTok"/>
        </w:rPr>
        <w:t># ensureing a min of a million mailes to be reared</w:t>
      </w:r>
      <w:r>
        <w:br/>
      </w:r>
      <w:r>
        <w:rPr>
          <w:rStyle w:val="NormalTok"/>
        </w:rPr>
        <w:t xml:space="preserve">  </w:t>
      </w:r>
      <w:r>
        <w:rPr>
          <w:rStyle w:val="CommentTok"/>
        </w:rPr>
        <w:t># diff.ratio[which(diff.ratio &lt; round(500000/MaxCeiling))] &lt;- ceiling(500000/MaxCeiling)</w:t>
      </w:r>
      <w:r>
        <w:br/>
      </w:r>
      <w:r>
        <w:rPr>
          <w:rStyle w:val="NormalTok"/>
        </w:rPr>
        <w:t xml:space="preserve">  </w:t>
      </w:r>
      <w:r>
        <w:br/>
      </w:r>
      <w:r>
        <w:rPr>
          <w:rStyle w:val="NormalTok"/>
        </w:rPr>
        <w:t xml:space="preserve">  </w:t>
      </w:r>
      <w:r>
        <w:rPr>
          <w:rStyle w:val="CommentTok"/>
        </w:rPr>
        <w:t># Defining the numbers for each scenario</w:t>
      </w:r>
      <w:r>
        <w:br/>
      </w:r>
      <w:r>
        <w:rPr>
          <w:rStyle w:val="NormalTok"/>
        </w:rPr>
        <w:t xml:space="preserve">  AmountNeeded </w:t>
      </w:r>
      <w:r>
        <w:rPr>
          <w:rStyle w:val="OtherTok"/>
        </w:rPr>
        <w:t>&lt;-</w:t>
      </w:r>
      <w:r>
        <w:rPr>
          <w:rStyle w:val="NormalTok"/>
        </w:rPr>
        <w:t xml:space="preserve"> </w:t>
      </w:r>
      <w:r>
        <w:rPr>
          <w:rStyle w:val="FunctionTok"/>
        </w:rPr>
        <w:t>data.frame</w:t>
      </w:r>
      <w:r>
        <w:rPr>
          <w:rStyle w:val="NormalTok"/>
        </w:rPr>
        <w:t>()</w:t>
      </w:r>
      <w:r>
        <w:br/>
      </w:r>
      <w:r>
        <w:rPr>
          <w:rStyle w:val="NormalTok"/>
        </w:rPr>
        <w:t xml:space="preserve">  </w:t>
      </w:r>
      <w:r>
        <w:rPr>
          <w:rStyle w:val="ControlFlowTok"/>
        </w:rPr>
        <w:t>for</w:t>
      </w:r>
      <w:r>
        <w:rPr>
          <w:rStyle w:val="NormalTok"/>
        </w:rPr>
        <w:t xml:space="preserve">(rate </w:t>
      </w:r>
      <w:r>
        <w:rPr>
          <w:rStyle w:val="ControlFlowTok"/>
        </w:rPr>
        <w:t>in</w:t>
      </w:r>
      <w:r>
        <w:rPr>
          <w:rStyle w:val="NormalTok"/>
        </w:rPr>
        <w:t xml:space="preserve"> diff.ratio){</w:t>
      </w:r>
      <w:r>
        <w:br/>
      </w:r>
      <w:r>
        <w:rPr>
          <w:rStyle w:val="NormalTok"/>
        </w:rPr>
        <w:t xml:space="preserve">    </w:t>
      </w:r>
      <w:r>
        <w:br/>
      </w:r>
      <w:r>
        <w:rPr>
          <w:rStyle w:val="NormalTok"/>
        </w:rPr>
        <w:lastRenderedPageBreak/>
        <w:t xml:space="preserve">    </w:t>
      </w:r>
      <w:r>
        <w:rPr>
          <w:rStyle w:val="CommentTok"/>
        </w:rPr>
        <w:t>#</w:t>
      </w:r>
      <w:r>
        <w:rPr>
          <w:rStyle w:val="CommentTok"/>
        </w:rPr>
        <w:t xml:space="preserve"> YEAR 1 COSTS</w:t>
      </w:r>
      <w:r>
        <w:br/>
      </w:r>
      <w:r>
        <w:rPr>
          <w:rStyle w:val="NormalTok"/>
        </w:rPr>
        <w:t xml:space="preserve">    Yr1.ItemCostJnk </w:t>
      </w:r>
      <w:r>
        <w:rPr>
          <w:rStyle w:val="OtherTok"/>
        </w:rPr>
        <w:t>&lt;-</w:t>
      </w:r>
      <w:r>
        <w:rPr>
          <w:rStyle w:val="NormalTok"/>
        </w:rPr>
        <w:t xml:space="preserve"> Year1.Only.Costs</w:t>
      </w:r>
      <w:r>
        <w:rPr>
          <w:rStyle w:val="FloatTok"/>
        </w:rPr>
        <w:t>.300</w:t>
      </w:r>
      <w:r>
        <w:rPr>
          <w:rStyle w:val="NormalTok"/>
        </w:rPr>
        <w:t>k</w:t>
      </w:r>
      <w:r>
        <w:br/>
      </w:r>
      <w:r>
        <w:rPr>
          <w:rStyle w:val="NormalTok"/>
        </w:rPr>
        <w:t xml:space="preserve">    Yr1.ItemCostJnk[</w:t>
      </w:r>
      <w:r>
        <w:rPr>
          <w:rStyle w:val="DecValTok"/>
        </w:rPr>
        <w:t>2</w:t>
      </w:r>
      <w:r>
        <w:rPr>
          <w:rStyle w:val="SpecialCharTok"/>
        </w:rPr>
        <w:t>:</w:t>
      </w:r>
      <w:r>
        <w:rPr>
          <w:rStyle w:val="DecValTok"/>
        </w:rPr>
        <w:t>6</w:t>
      </w:r>
      <w:r>
        <w:rPr>
          <w:rStyle w:val="NormalTok"/>
        </w:rPr>
        <w:t xml:space="preserve">]  </w:t>
      </w:r>
      <w:r>
        <w:rPr>
          <w:rStyle w:val="OtherTok"/>
        </w:rPr>
        <w:t>&lt;-</w:t>
      </w:r>
      <w:r>
        <w:rPr>
          <w:rStyle w:val="NormalTok"/>
        </w:rPr>
        <w:t xml:space="preserve"> Year1.Only.Costs</w:t>
      </w:r>
      <w:r>
        <w:rPr>
          <w:rStyle w:val="FloatTok"/>
        </w:rPr>
        <w:t>.300</w:t>
      </w:r>
      <w:r>
        <w:rPr>
          <w:rStyle w:val="NormalTok"/>
        </w:rPr>
        <w:t>k[</w:t>
      </w:r>
      <w:r>
        <w:rPr>
          <w:rStyle w:val="DecValTok"/>
        </w:rPr>
        <w:t>2</w:t>
      </w:r>
      <w:r>
        <w:rPr>
          <w:rStyle w:val="SpecialCharTok"/>
        </w:rPr>
        <w:t>:</w:t>
      </w:r>
      <w:r>
        <w:rPr>
          <w:rStyle w:val="DecValTok"/>
        </w:rPr>
        <w:t>6</w:t>
      </w:r>
      <w:r>
        <w:rPr>
          <w:rStyle w:val="NormalTok"/>
        </w:rPr>
        <w:t xml:space="preserve">] </w:t>
      </w:r>
      <w:r>
        <w:rPr>
          <w:rStyle w:val="SpecialCharTok"/>
        </w:rPr>
        <w:t>*</w:t>
      </w:r>
      <w:r>
        <w:rPr>
          <w:rStyle w:val="NormalTok"/>
        </w:rPr>
        <w:t xml:space="preserve"> rate</w:t>
      </w:r>
      <w:r>
        <w:br/>
      </w:r>
      <w:r>
        <w:rPr>
          <w:rStyle w:val="NormalTok"/>
        </w:rPr>
        <w:t xml:space="preserve">    </w:t>
      </w:r>
      <w:r>
        <w:rPr>
          <w:rStyle w:val="CommentTok"/>
        </w:rPr>
        <w:t># PCR machine is for each 1.5 million so</w:t>
      </w:r>
      <w:r>
        <w:br/>
      </w:r>
      <w:r>
        <w:rPr>
          <w:rStyle w:val="NormalTok"/>
        </w:rPr>
        <w:t xml:space="preserve">    rate2 </w:t>
      </w:r>
      <w:r>
        <w:rPr>
          <w:rStyle w:val="OtherTok"/>
        </w:rPr>
        <w:t>&lt;-</w:t>
      </w:r>
      <w:r>
        <w:rPr>
          <w:rStyle w:val="NormalTok"/>
        </w:rPr>
        <w:t xml:space="preserve"> </w:t>
      </w:r>
      <w:r>
        <w:rPr>
          <w:rStyle w:val="FunctionTok"/>
        </w:rPr>
        <w:t>ceiling</w:t>
      </w:r>
      <w:r>
        <w:rPr>
          <w:rStyle w:val="NormalTok"/>
        </w:rPr>
        <w:t>(rate</w:t>
      </w:r>
      <w:r>
        <w:rPr>
          <w:rStyle w:val="SpecialCharTok"/>
        </w:rPr>
        <w:t>/</w:t>
      </w:r>
      <w:r>
        <w:rPr>
          <w:rStyle w:val="DecValTok"/>
        </w:rPr>
        <w:t>5</w:t>
      </w:r>
      <w:r>
        <w:rPr>
          <w:rStyle w:val="NormalTok"/>
        </w:rPr>
        <w:t>)</w:t>
      </w:r>
      <w:r>
        <w:br/>
      </w:r>
      <w:r>
        <w:rPr>
          <w:rStyle w:val="NormalTok"/>
        </w:rPr>
        <w:t xml:space="preserve">    Yr1.ItemCostJnk[</w:t>
      </w:r>
      <w:r>
        <w:rPr>
          <w:rStyle w:val="DecValTok"/>
        </w:rPr>
        <w:t>7</w:t>
      </w:r>
      <w:r>
        <w:rPr>
          <w:rStyle w:val="NormalTok"/>
        </w:rPr>
        <w:t xml:space="preserve">]  </w:t>
      </w:r>
      <w:r>
        <w:rPr>
          <w:rStyle w:val="OtherTok"/>
        </w:rPr>
        <w:t>&lt;-</w:t>
      </w:r>
      <w:r>
        <w:rPr>
          <w:rStyle w:val="NormalTok"/>
        </w:rPr>
        <w:t xml:space="preserve"> Year1.Only.Costs</w:t>
      </w:r>
      <w:r>
        <w:rPr>
          <w:rStyle w:val="FloatTok"/>
        </w:rPr>
        <w:t>.300</w:t>
      </w:r>
      <w:r>
        <w:rPr>
          <w:rStyle w:val="NormalTok"/>
        </w:rPr>
        <w:t>k[</w:t>
      </w:r>
      <w:r>
        <w:rPr>
          <w:rStyle w:val="DecValTok"/>
        </w:rPr>
        <w:t>7</w:t>
      </w:r>
      <w:r>
        <w:rPr>
          <w:rStyle w:val="NormalTok"/>
        </w:rPr>
        <w:t xml:space="preserve">] </w:t>
      </w:r>
      <w:r>
        <w:rPr>
          <w:rStyle w:val="SpecialCharTok"/>
        </w:rPr>
        <w:t>*</w:t>
      </w:r>
      <w:r>
        <w:rPr>
          <w:rStyle w:val="NormalTok"/>
        </w:rPr>
        <w:t xml:space="preserve"> rate2</w:t>
      </w:r>
      <w:r>
        <w:br/>
      </w:r>
      <w:r>
        <w:rPr>
          <w:rStyle w:val="NormalTok"/>
        </w:rPr>
        <w:t xml:space="preserve">    </w:t>
      </w:r>
      <w:r>
        <w:br/>
      </w:r>
      <w:r>
        <w:rPr>
          <w:rStyle w:val="NormalTok"/>
        </w:rPr>
        <w:t xml:space="preserve">    Yr1.PersCostJnk </w:t>
      </w:r>
      <w:r>
        <w:rPr>
          <w:rStyle w:val="OtherTok"/>
        </w:rPr>
        <w:t>&lt;-</w:t>
      </w:r>
      <w:r>
        <w:rPr>
          <w:rStyle w:val="NormalTok"/>
        </w:rPr>
        <w:t xml:space="preserve"> (Personel.Costs </w:t>
      </w:r>
      <w:r>
        <w:rPr>
          <w:rStyle w:val="SpecialCharTok"/>
        </w:rPr>
        <w:t>+</w:t>
      </w:r>
      <w:r>
        <w:rPr>
          <w:rStyle w:val="NormalTok"/>
        </w:rPr>
        <w:t xml:space="preserve"> Fringe.Costs)  </w:t>
      </w:r>
      <w:r>
        <w:rPr>
          <w:rStyle w:val="SpecialCharTok"/>
        </w:rPr>
        <w:t>*</w:t>
      </w:r>
      <w:r>
        <w:rPr>
          <w:rStyle w:val="NormalTok"/>
        </w:rPr>
        <w:t xml:space="preserve"> ((</w:t>
      </w:r>
      <w:r>
        <w:rPr>
          <w:rStyle w:val="FunctionTok"/>
        </w:rPr>
        <w:t>c</w:t>
      </w:r>
      <w:r>
        <w:rPr>
          <w:rStyle w:val="NormalTok"/>
        </w:rPr>
        <w:t>(</w:t>
      </w:r>
      <w:r>
        <w:rPr>
          <w:rStyle w:val="DecValTok"/>
        </w:rPr>
        <w:t>8</w:t>
      </w:r>
      <w:r>
        <w:rPr>
          <w:rStyle w:val="NormalTok"/>
        </w:rPr>
        <w:t>,</w:t>
      </w:r>
      <w:r>
        <w:rPr>
          <w:rStyle w:val="DecValTok"/>
        </w:rPr>
        <w:t>3</w:t>
      </w:r>
      <w:r>
        <w:rPr>
          <w:rStyle w:val="NormalTok"/>
        </w:rPr>
        <w:t>)</w:t>
      </w:r>
      <w:r>
        <w:rPr>
          <w:rStyle w:val="SpecialCharTok"/>
        </w:rPr>
        <w:t>/</w:t>
      </w:r>
      <w:r>
        <w:rPr>
          <w:rStyle w:val="DecValTok"/>
        </w:rPr>
        <w:t>5</w:t>
      </w:r>
      <w:r>
        <w:rPr>
          <w:rStyle w:val="NormalTok"/>
        </w:rPr>
        <w:t>)</w:t>
      </w:r>
      <w:r>
        <w:rPr>
          <w:rStyle w:val="SpecialCharTok"/>
        </w:rPr>
        <w:t>*</w:t>
      </w:r>
      <w:r>
        <w:rPr>
          <w:rStyle w:val="NormalTok"/>
        </w:rPr>
        <w:t>rate)</w:t>
      </w:r>
      <w:r>
        <w:br/>
      </w:r>
      <w:r>
        <w:rPr>
          <w:rStyle w:val="NormalTok"/>
        </w:rPr>
        <w:t xml:space="preserve">    Yr1.MiscJnk </w:t>
      </w:r>
      <w:r>
        <w:rPr>
          <w:rStyle w:val="OtherTok"/>
        </w:rPr>
        <w:t>&lt;-</w:t>
      </w:r>
      <w:r>
        <w:rPr>
          <w:rStyle w:val="NormalTok"/>
        </w:rPr>
        <w:t xml:space="preserve"> AllOtherYear.Costs</w:t>
      </w:r>
      <w:r>
        <w:rPr>
          <w:rStyle w:val="FloatTok"/>
        </w:rPr>
        <w:t>.300</w:t>
      </w:r>
      <w:r>
        <w:rPr>
          <w:rStyle w:val="NormalTok"/>
        </w:rPr>
        <w:t>k</w:t>
      </w:r>
      <w:r>
        <w:rPr>
          <w:rStyle w:val="SpecialCharTok"/>
        </w:rPr>
        <w:t>*</w:t>
      </w:r>
      <w:r>
        <w:rPr>
          <w:rStyle w:val="NormalTok"/>
        </w:rPr>
        <w:t>rate</w:t>
      </w:r>
      <w:r>
        <w:br/>
      </w:r>
      <w:r>
        <w:rPr>
          <w:rStyle w:val="NormalTok"/>
        </w:rPr>
        <w:t xml:space="preserve">    </w:t>
      </w:r>
      <w:r>
        <w:br/>
      </w:r>
      <w:r>
        <w:rPr>
          <w:rStyle w:val="NormalTok"/>
        </w:rPr>
        <w:t xml:space="preserve">    rate3 </w:t>
      </w:r>
      <w:r>
        <w:rPr>
          <w:rStyle w:val="OtherTok"/>
        </w:rPr>
        <w:t>&lt;-</w:t>
      </w:r>
      <w:r>
        <w:rPr>
          <w:rStyle w:val="NormalTok"/>
        </w:rPr>
        <w:t xml:space="preserve"> rate</w:t>
      </w:r>
      <w:r>
        <w:rPr>
          <w:rStyle w:val="CommentTok"/>
        </w:rPr>
        <w:t>#ceiling(rate/2.5)</w:t>
      </w:r>
      <w:r>
        <w:br/>
      </w:r>
      <w:r>
        <w:rPr>
          <w:rStyle w:val="NormalTok"/>
        </w:rPr>
        <w:t xml:space="preserve">    Yr1.OfficeCostsJnk </w:t>
      </w:r>
      <w:r>
        <w:rPr>
          <w:rStyle w:val="OtherTok"/>
        </w:rPr>
        <w:t>&lt;-</w:t>
      </w:r>
      <w:r>
        <w:rPr>
          <w:rStyle w:val="NormalTok"/>
        </w:rPr>
        <w:t xml:space="preserve"> OfficeCosts</w:t>
      </w:r>
      <w:r>
        <w:rPr>
          <w:rStyle w:val="FloatTok"/>
        </w:rPr>
        <w:t>.300</w:t>
      </w:r>
      <w:r>
        <w:rPr>
          <w:rStyle w:val="NormalTok"/>
        </w:rPr>
        <w:t xml:space="preserve">k </w:t>
      </w:r>
      <w:r>
        <w:rPr>
          <w:rStyle w:val="SpecialCharTok"/>
        </w:rPr>
        <w:t>*</w:t>
      </w:r>
      <w:r>
        <w:rPr>
          <w:rStyle w:val="NormalTok"/>
        </w:rPr>
        <w:t xml:space="preserve"> rate3</w:t>
      </w:r>
      <w:r>
        <w:br/>
      </w:r>
      <w:r>
        <w:rPr>
          <w:rStyle w:val="NormalTok"/>
        </w:rPr>
        <w:t xml:space="preserve">    Yr1.TotalCosts </w:t>
      </w:r>
      <w:r>
        <w:rPr>
          <w:rStyle w:val="OtherTok"/>
        </w:rPr>
        <w:t>&lt;-</w:t>
      </w:r>
      <w:r>
        <w:rPr>
          <w:rStyle w:val="NormalTok"/>
        </w:rPr>
        <w:t xml:space="preserve"> </w:t>
      </w:r>
      <w:r>
        <w:rPr>
          <w:rStyle w:val="FunctionTok"/>
        </w:rPr>
        <w:t>currency</w:t>
      </w:r>
      <w:r>
        <w:rPr>
          <w:rStyle w:val="NormalTok"/>
        </w:rPr>
        <w:t>(</w:t>
      </w:r>
      <w:r>
        <w:rPr>
          <w:rStyle w:val="FunctionTok"/>
        </w:rPr>
        <w:t>sum</w:t>
      </w:r>
      <w:r>
        <w:rPr>
          <w:rStyle w:val="NormalTok"/>
        </w:rPr>
        <w:t>(Yr1.ItemCostJnk, Yr1.PersCostJnk, Yr1.MiscJnk, Yr1.OfficeCostsJnk))</w:t>
      </w:r>
      <w:r>
        <w:br/>
      </w:r>
      <w:r>
        <w:rPr>
          <w:rStyle w:val="NormalTok"/>
        </w:rPr>
        <w:t xml:space="preserve">    </w:t>
      </w:r>
      <w:r>
        <w:br/>
      </w:r>
      <w:r>
        <w:rPr>
          <w:rStyle w:val="NormalTok"/>
        </w:rPr>
        <w:t xml:space="preserve">    </w:t>
      </w:r>
      <w:r>
        <w:br/>
      </w:r>
      <w:r>
        <w:rPr>
          <w:rStyle w:val="NormalTok"/>
        </w:rPr>
        <w:t xml:space="preserve">    </w:t>
      </w:r>
      <w:r>
        <w:rPr>
          <w:rStyle w:val="CommentTok"/>
        </w:rPr>
        <w:t># SUBSEQUENT YEAR COSTS</w:t>
      </w:r>
      <w:r>
        <w:br/>
      </w:r>
      <w:r>
        <w:rPr>
          <w:rStyle w:val="NormalTok"/>
        </w:rPr>
        <w:t xml:space="preserve">    SUB.PersCostJnk </w:t>
      </w:r>
      <w:r>
        <w:rPr>
          <w:rStyle w:val="OtherTok"/>
        </w:rPr>
        <w:t>&lt;-</w:t>
      </w:r>
      <w:r>
        <w:rPr>
          <w:rStyle w:val="NormalTok"/>
        </w:rPr>
        <w:t xml:space="preserve"> (Personel.Costs </w:t>
      </w:r>
      <w:r>
        <w:rPr>
          <w:rStyle w:val="SpecialCharTok"/>
        </w:rPr>
        <w:t>+</w:t>
      </w:r>
      <w:r>
        <w:rPr>
          <w:rStyle w:val="NormalTok"/>
        </w:rPr>
        <w:t xml:space="preserve"> Fringe.Costs)  </w:t>
      </w:r>
      <w:r>
        <w:rPr>
          <w:rStyle w:val="SpecialCharTok"/>
        </w:rPr>
        <w:t>*</w:t>
      </w:r>
      <w:r>
        <w:rPr>
          <w:rStyle w:val="NormalTok"/>
        </w:rPr>
        <w:t xml:space="preserve"> ((</w:t>
      </w:r>
      <w:r>
        <w:rPr>
          <w:rStyle w:val="FunctionTok"/>
        </w:rPr>
        <w:t>c</w:t>
      </w:r>
      <w:r>
        <w:rPr>
          <w:rStyle w:val="NormalTok"/>
        </w:rPr>
        <w:t>(</w:t>
      </w:r>
      <w:r>
        <w:rPr>
          <w:rStyle w:val="DecValTok"/>
        </w:rPr>
        <w:t>8</w:t>
      </w:r>
      <w:r>
        <w:rPr>
          <w:rStyle w:val="NormalTok"/>
        </w:rPr>
        <w:t>,</w:t>
      </w:r>
      <w:r>
        <w:rPr>
          <w:rStyle w:val="DecValTok"/>
        </w:rPr>
        <w:t>3</w:t>
      </w:r>
      <w:r>
        <w:rPr>
          <w:rStyle w:val="NormalTok"/>
        </w:rPr>
        <w:t>)</w:t>
      </w:r>
      <w:r>
        <w:rPr>
          <w:rStyle w:val="SpecialCharTok"/>
        </w:rPr>
        <w:t>/</w:t>
      </w:r>
      <w:r>
        <w:rPr>
          <w:rStyle w:val="DecValTok"/>
        </w:rPr>
        <w:t>5</w:t>
      </w:r>
      <w:r>
        <w:rPr>
          <w:rStyle w:val="NormalTok"/>
        </w:rPr>
        <w:t>)</w:t>
      </w:r>
      <w:r>
        <w:rPr>
          <w:rStyle w:val="SpecialCharTok"/>
        </w:rPr>
        <w:t>*</w:t>
      </w:r>
      <w:r>
        <w:rPr>
          <w:rStyle w:val="NormalTok"/>
        </w:rPr>
        <w:t>rate)</w:t>
      </w:r>
      <w:r>
        <w:br/>
      </w:r>
      <w:r>
        <w:rPr>
          <w:rStyle w:val="NormalTok"/>
        </w:rPr>
        <w:t xml:space="preserve">    SUB.MiscJnk </w:t>
      </w:r>
      <w:r>
        <w:rPr>
          <w:rStyle w:val="OtherTok"/>
        </w:rPr>
        <w:t>&lt;-</w:t>
      </w:r>
      <w:r>
        <w:rPr>
          <w:rStyle w:val="NormalTok"/>
        </w:rPr>
        <w:t xml:space="preserve"> AllOtherYear.Costs</w:t>
      </w:r>
      <w:r>
        <w:rPr>
          <w:rStyle w:val="FloatTok"/>
        </w:rPr>
        <w:t>.300</w:t>
      </w:r>
      <w:r>
        <w:rPr>
          <w:rStyle w:val="NormalTok"/>
        </w:rPr>
        <w:t>k</w:t>
      </w:r>
      <w:r>
        <w:rPr>
          <w:rStyle w:val="SpecialCharTok"/>
        </w:rPr>
        <w:t>*</w:t>
      </w:r>
      <w:r>
        <w:rPr>
          <w:rStyle w:val="NormalTok"/>
        </w:rPr>
        <w:t>rate</w:t>
      </w:r>
      <w:r>
        <w:br/>
      </w:r>
      <w:r>
        <w:rPr>
          <w:rStyle w:val="NormalTok"/>
        </w:rPr>
        <w:t xml:space="preserve">    SUB.OfficeCostsJnk </w:t>
      </w:r>
      <w:r>
        <w:rPr>
          <w:rStyle w:val="OtherTok"/>
        </w:rPr>
        <w:t>&lt;-</w:t>
      </w:r>
      <w:r>
        <w:rPr>
          <w:rStyle w:val="NormalTok"/>
        </w:rPr>
        <w:t xml:space="preserve"> Electricity </w:t>
      </w:r>
      <w:r>
        <w:rPr>
          <w:rStyle w:val="SpecialCharTok"/>
        </w:rPr>
        <w:t>*</w:t>
      </w:r>
      <w:r>
        <w:rPr>
          <w:rStyle w:val="NormalTok"/>
        </w:rPr>
        <w:t xml:space="preserve"> rate3</w:t>
      </w:r>
      <w:r>
        <w:br/>
      </w:r>
      <w:r>
        <w:rPr>
          <w:rStyle w:val="NormalTok"/>
        </w:rPr>
        <w:t xml:space="preserve">    SUB.TotalCosts </w:t>
      </w:r>
      <w:r>
        <w:rPr>
          <w:rStyle w:val="OtherTok"/>
        </w:rPr>
        <w:t>&lt;-</w:t>
      </w:r>
      <w:r>
        <w:rPr>
          <w:rStyle w:val="NormalTok"/>
        </w:rPr>
        <w:t xml:space="preserve"> </w:t>
      </w:r>
      <w:r>
        <w:rPr>
          <w:rStyle w:val="FunctionTok"/>
        </w:rPr>
        <w:t>currency</w:t>
      </w:r>
      <w:r>
        <w:rPr>
          <w:rStyle w:val="NormalTok"/>
        </w:rPr>
        <w:t>(</w:t>
      </w:r>
      <w:r>
        <w:rPr>
          <w:rStyle w:val="FunctionTok"/>
        </w:rPr>
        <w:t>sum</w:t>
      </w:r>
      <w:r>
        <w:rPr>
          <w:rStyle w:val="NormalTok"/>
        </w:rPr>
        <w:t>(SUB.PersCostJnk, SUB.MiscJnk, SUB.OfficeCostsJnk))</w:t>
      </w:r>
      <w:r>
        <w:br/>
      </w:r>
      <w:r>
        <w:rPr>
          <w:rStyle w:val="NormalTok"/>
        </w:rPr>
        <w:t xml:space="preserve">    </w:t>
      </w:r>
      <w:r>
        <w:br/>
      </w:r>
      <w:r>
        <w:rPr>
          <w:rStyle w:val="NormalTok"/>
        </w:rPr>
        <w:t xml:space="preserve">    AmountNeeded </w:t>
      </w:r>
      <w:r>
        <w:rPr>
          <w:rStyle w:val="OtherTok"/>
        </w:rPr>
        <w:t>&lt;-</w:t>
      </w:r>
      <w:r>
        <w:rPr>
          <w:rStyle w:val="NormalTok"/>
        </w:rPr>
        <w:t xml:space="preserve"> </w:t>
      </w:r>
      <w:r>
        <w:rPr>
          <w:rStyle w:val="FunctionTok"/>
        </w:rPr>
        <w:t>rbind</w:t>
      </w:r>
      <w:r>
        <w:rPr>
          <w:rStyle w:val="NormalTok"/>
        </w:rPr>
        <w:t xml:space="preserve">(AmountNeeded, </w:t>
      </w:r>
      <w:r>
        <w:rPr>
          <w:rStyle w:val="FunctionTok"/>
        </w:rPr>
        <w:t>cbind</w:t>
      </w:r>
      <w:r>
        <w:rPr>
          <w:rStyle w:val="NormalTok"/>
        </w:rPr>
        <w:t xml:space="preserve">(rate, </w:t>
      </w:r>
      <w:r>
        <w:rPr>
          <w:rStyle w:val="FunctionTok"/>
        </w:rPr>
        <w:t>round</w:t>
      </w:r>
      <w:r>
        <w:rPr>
          <w:rStyle w:val="NormalTok"/>
        </w:rPr>
        <w:t xml:space="preserve">(Yr1.TotalCosts), </w:t>
      </w:r>
      <w:r>
        <w:rPr>
          <w:rStyle w:val="FunctionTok"/>
        </w:rPr>
        <w:t>round</w:t>
      </w:r>
      <w:r>
        <w:rPr>
          <w:rStyle w:val="NormalTok"/>
        </w:rPr>
        <w:t>(SUB.TotalCosts)))</w:t>
      </w:r>
      <w:r>
        <w:rPr>
          <w:rStyle w:val="CommentTok"/>
        </w:rPr>
        <w:t>#Total.Area.ToCntrl.km,</w:t>
      </w:r>
      <w:r>
        <w:br/>
      </w:r>
      <w:r>
        <w:rPr>
          <w:rStyle w:val="NormalTok"/>
        </w:rPr>
        <w:t xml:space="preserve">    </w:t>
      </w:r>
      <w:r>
        <w:br/>
      </w:r>
      <w:r>
        <w:rPr>
          <w:rStyle w:val="NormalTok"/>
        </w:rPr>
        <w:t xml:space="preserve">  }</w:t>
      </w:r>
      <w:r>
        <w:br/>
      </w:r>
      <w:r>
        <w:rPr>
          <w:rStyle w:val="NormalTok"/>
        </w:rPr>
        <w:t xml:space="preserve">  AmountNeeded</w:t>
      </w:r>
      <w:r>
        <w:rPr>
          <w:rStyle w:val="SpecialCharTok"/>
        </w:rPr>
        <w:t>$</w:t>
      </w:r>
      <w:r>
        <w:rPr>
          <w:rStyle w:val="NormalTok"/>
        </w:rPr>
        <w:t xml:space="preserve">V3 </w:t>
      </w:r>
      <w:r>
        <w:rPr>
          <w:rStyle w:val="OtherTok"/>
        </w:rPr>
        <w:t>&lt;-</w:t>
      </w:r>
      <w:r>
        <w:rPr>
          <w:rStyle w:val="NormalTok"/>
        </w:rPr>
        <w:t xml:space="preserve"> </w:t>
      </w:r>
      <w:r>
        <w:rPr>
          <w:rStyle w:val="FunctionTok"/>
        </w:rPr>
        <w:t>currency</w:t>
      </w:r>
      <w:r>
        <w:rPr>
          <w:rStyle w:val="NormalTok"/>
        </w:rPr>
        <w:t>(AmountNeeded</w:t>
      </w:r>
      <w:r>
        <w:rPr>
          <w:rStyle w:val="SpecialCharTok"/>
        </w:rPr>
        <w:t>$</w:t>
      </w:r>
      <w:r>
        <w:rPr>
          <w:rStyle w:val="NormalTok"/>
        </w:rPr>
        <w:t>V3)</w:t>
      </w:r>
      <w:r>
        <w:br/>
      </w:r>
      <w:r>
        <w:rPr>
          <w:rStyle w:val="NormalTok"/>
        </w:rPr>
        <w:t xml:space="preserve">  AmountNeeded</w:t>
      </w:r>
      <w:r>
        <w:rPr>
          <w:rStyle w:val="SpecialCharTok"/>
        </w:rPr>
        <w:t>$</w:t>
      </w:r>
      <w:r>
        <w:rPr>
          <w:rStyle w:val="NormalTok"/>
        </w:rPr>
        <w:t xml:space="preserve">V2 </w:t>
      </w:r>
      <w:r>
        <w:rPr>
          <w:rStyle w:val="OtherTok"/>
        </w:rPr>
        <w:t>&lt;-</w:t>
      </w:r>
      <w:r>
        <w:rPr>
          <w:rStyle w:val="NormalTok"/>
        </w:rPr>
        <w:t xml:space="preserve"> </w:t>
      </w:r>
      <w:r>
        <w:rPr>
          <w:rStyle w:val="FunctionTok"/>
        </w:rPr>
        <w:t>currency</w:t>
      </w:r>
      <w:r>
        <w:rPr>
          <w:rStyle w:val="NormalTok"/>
        </w:rPr>
        <w:t>(AmountNeeded</w:t>
      </w:r>
      <w:r>
        <w:rPr>
          <w:rStyle w:val="SpecialCharTok"/>
        </w:rPr>
        <w:t>$</w:t>
      </w:r>
      <w:r>
        <w:rPr>
          <w:rStyle w:val="NormalTok"/>
        </w:rPr>
        <w:t>V2)</w:t>
      </w:r>
      <w:r>
        <w:br/>
      </w:r>
      <w:r>
        <w:rPr>
          <w:rStyle w:val="NormalTok"/>
        </w:rPr>
        <w:t xml:space="preserve">  </w:t>
      </w:r>
      <w:r>
        <w:br/>
      </w:r>
      <w:r>
        <w:rPr>
          <w:rStyle w:val="NormalTok"/>
        </w:rPr>
        <w:t xml:space="preserve">  </w:t>
      </w:r>
      <w:r>
        <w:br/>
      </w:r>
      <w:r>
        <w:rPr>
          <w:rStyle w:val="NormalTok"/>
        </w:rPr>
        <w:lastRenderedPageBreak/>
        <w:t xml:space="preserve">  AmountNeeded2 </w:t>
      </w:r>
      <w:r>
        <w:rPr>
          <w:rStyle w:val="OtherTok"/>
        </w:rPr>
        <w:t>&lt;-</w:t>
      </w:r>
      <w:r>
        <w:rPr>
          <w:rStyle w:val="NormalTok"/>
        </w:rPr>
        <w:t xml:space="preserve"> </w:t>
      </w:r>
      <w:r>
        <w:rPr>
          <w:rStyle w:val="FunctionTok"/>
        </w:rPr>
        <w:t>data.frame</w:t>
      </w:r>
      <w:r>
        <w:rPr>
          <w:rStyle w:val="NormalTok"/>
        </w:rPr>
        <w:t>(</w:t>
      </w:r>
      <w:r>
        <w:rPr>
          <w:rStyle w:val="FunctionTok"/>
        </w:rPr>
        <w:t>cbind</w:t>
      </w:r>
      <w:r>
        <w:rPr>
          <w:rStyle w:val="NormalTok"/>
        </w:rPr>
        <w:t>(Aedes.Mos.Density.km, Aedes.Mos.Sites, WildType.Males.km, Wolb.Males.Needed.km, AmountNeeded))</w:t>
      </w:r>
      <w:r>
        <w:rPr>
          <w:rStyle w:val="CommentTok"/>
        </w:rPr>
        <w:t>#</w:t>
      </w:r>
      <w:r>
        <w:br/>
      </w:r>
      <w:r>
        <w:rPr>
          <w:rStyle w:val="NormalTok"/>
        </w:rPr>
        <w:t xml:space="preserve">  </w:t>
      </w:r>
      <w:r>
        <w:rPr>
          <w:rStyle w:val="CommentTok"/>
        </w:rPr>
        <w:t># Aedes.Elev.m,</w:t>
      </w:r>
      <w:r>
        <w:br/>
      </w:r>
      <w:r>
        <w:rPr>
          <w:rStyle w:val="NormalTok"/>
        </w:rPr>
        <w:t xml:space="preserve">  </w:t>
      </w:r>
      <w:r>
        <w:rPr>
          <w:rStyle w:val="FunctionTok"/>
        </w:rPr>
        <w:t>coln</w:t>
      </w:r>
      <w:r>
        <w:rPr>
          <w:rStyle w:val="FunctionTok"/>
        </w:rPr>
        <w:t>ames</w:t>
      </w:r>
      <w:r>
        <w:rPr>
          <w:rStyle w:val="NormalTok"/>
        </w:rPr>
        <w:t xml:space="preserve">(AmountNeeded2) </w:t>
      </w:r>
      <w:r>
        <w:rPr>
          <w:rStyle w:val="OtherTok"/>
        </w:rPr>
        <w:t>&lt;-</w:t>
      </w:r>
      <w:r>
        <w:rPr>
          <w:rStyle w:val="NormalTok"/>
        </w:rPr>
        <w:t xml:space="preserve"> </w:t>
      </w:r>
      <w:r>
        <w:rPr>
          <w:rStyle w:val="FunctionTok"/>
        </w:rPr>
        <w:t>capitalize</w:t>
      </w:r>
      <w:r>
        <w:rPr>
          <w:rStyle w:val="NormalTok"/>
        </w:rPr>
        <w:t>(</w:t>
      </w:r>
      <w:r>
        <w:rPr>
          <w:rStyle w:val="FunctionTok"/>
        </w:rPr>
        <w:t>c</w:t>
      </w:r>
      <w:r>
        <w:rPr>
          <w:rStyle w:val="NormalTok"/>
        </w:rPr>
        <w:t>(</w:t>
      </w:r>
      <w:r>
        <w:rPr>
          <w:rStyle w:val="StringTok"/>
        </w:rPr>
        <w:t>'Culicid Density per Km2'</w:t>
      </w:r>
      <w:r>
        <w:rPr>
          <w:rStyle w:val="NormalTok"/>
        </w:rPr>
        <w:t>,</w:t>
      </w:r>
      <w:r>
        <w:rPr>
          <w:rStyle w:val="StringTok"/>
        </w:rPr>
        <w:t>'Flight Distance meters'</w:t>
      </w:r>
      <w:r>
        <w:rPr>
          <w:rStyle w:val="NormalTok"/>
        </w:rPr>
        <w:t xml:space="preserve">, </w:t>
      </w:r>
      <w:r>
        <w:rPr>
          <w:rStyle w:val="StringTok"/>
        </w:rPr>
        <w:t>'Wild Type Males'</w:t>
      </w:r>
      <w:r>
        <w:rPr>
          <w:rStyle w:val="NormalTok"/>
        </w:rPr>
        <w:t xml:space="preserve">, </w:t>
      </w:r>
      <w:r>
        <w:rPr>
          <w:rStyle w:val="StringTok"/>
        </w:rPr>
        <w:t>'IIT:Wild Type Males (10:1)'</w:t>
      </w:r>
      <w:r>
        <w:rPr>
          <w:rStyle w:val="NormalTok"/>
        </w:rPr>
        <w:t xml:space="preserve">, </w:t>
      </w:r>
      <w:r>
        <w:br/>
      </w:r>
      <w:r>
        <w:rPr>
          <w:rStyle w:val="NormalTok"/>
        </w:rPr>
        <w:t xml:space="preserve">                                          </w:t>
      </w:r>
      <w:r>
        <w:rPr>
          <w:rStyle w:val="StringTok"/>
        </w:rPr>
        <w:t>'Rate Used'</w:t>
      </w:r>
      <w:r>
        <w:rPr>
          <w:rStyle w:val="NormalTok"/>
        </w:rPr>
        <w:t xml:space="preserve">, </w:t>
      </w:r>
      <w:r>
        <w:rPr>
          <w:rStyle w:val="StringTok"/>
        </w:rPr>
        <w:t>'First Year Cost ($)'</w:t>
      </w:r>
      <w:r>
        <w:rPr>
          <w:rStyle w:val="NormalTok"/>
        </w:rPr>
        <w:t xml:space="preserve">, </w:t>
      </w:r>
      <w:r>
        <w:rPr>
          <w:rStyle w:val="StringTok"/>
        </w:rPr>
        <w:t>'Subsequent Year Costs ($)'</w:t>
      </w:r>
      <w:r>
        <w:rPr>
          <w:rStyle w:val="NormalTok"/>
        </w:rPr>
        <w:t>))</w:t>
      </w:r>
      <w:r>
        <w:br/>
      </w:r>
      <w:r>
        <w:rPr>
          <w:rStyle w:val="NormalTok"/>
        </w:rPr>
        <w:t xml:space="preserve">  </w:t>
      </w:r>
      <w:r>
        <w:br/>
      </w:r>
      <w:r>
        <w:rPr>
          <w:rStyle w:val="NormalTok"/>
        </w:rPr>
        <w:t xml:space="preserve">  </w:t>
      </w:r>
      <w:r>
        <w:br/>
      </w:r>
      <w:r>
        <w:rPr>
          <w:rStyle w:val="NormalTok"/>
        </w:rPr>
        <w:t xml:space="preserve">  Pa</w:t>
      </w:r>
      <w:r>
        <w:rPr>
          <w:rStyle w:val="NormalTok"/>
        </w:rPr>
        <w:t xml:space="preserve">rtitions </w:t>
      </w:r>
      <w:r>
        <w:rPr>
          <w:rStyle w:val="OtherTok"/>
        </w:rPr>
        <w:t>&lt;-</w:t>
      </w:r>
      <w:r>
        <w:rPr>
          <w:rStyle w:val="NormalTok"/>
        </w:rPr>
        <w:t xml:space="preserve"> </w:t>
      </w:r>
      <w:r>
        <w:rPr>
          <w:rStyle w:val="FunctionTok"/>
        </w:rPr>
        <w:t>c</w:t>
      </w:r>
      <w:r>
        <w:rPr>
          <w:rStyle w:val="NormalTok"/>
        </w:rPr>
        <w:t>(</w:t>
      </w:r>
      <w:r>
        <w:rPr>
          <w:rStyle w:val="DecValTok"/>
        </w:rPr>
        <w:t>5</w:t>
      </w:r>
      <w:r>
        <w:rPr>
          <w:rStyle w:val="NormalTok"/>
        </w:rPr>
        <w:t>,</w:t>
      </w:r>
      <w:r>
        <w:rPr>
          <w:rStyle w:val="DecValTok"/>
        </w:rPr>
        <w:t>7</w:t>
      </w:r>
      <w:r>
        <w:rPr>
          <w:rStyle w:val="NormalTok"/>
        </w:rPr>
        <w:t>)</w:t>
      </w:r>
      <w:r>
        <w:br/>
      </w:r>
      <w:r>
        <w:rPr>
          <w:rStyle w:val="NormalTok"/>
        </w:rPr>
        <w:t xml:space="preserve">  AmountNeeded3 </w:t>
      </w:r>
      <w:r>
        <w:rPr>
          <w:rStyle w:val="OtherTok"/>
        </w:rPr>
        <w:t>&lt;-</w:t>
      </w:r>
      <w:r>
        <w:rPr>
          <w:rStyle w:val="NormalTok"/>
        </w:rPr>
        <w:t xml:space="preserve"> AmountNeeded2</w:t>
      </w:r>
      <w:r>
        <w:br/>
      </w:r>
      <w:r>
        <w:rPr>
          <w:rStyle w:val="NormalTok"/>
        </w:rPr>
        <w:t xml:space="preserve">  PrCntrlTable </w:t>
      </w:r>
      <w:r>
        <w:rPr>
          <w:rStyle w:val="OtherTok"/>
        </w:rPr>
        <w:t>&lt;-</w:t>
      </w:r>
      <w:r>
        <w:rPr>
          <w:rStyle w:val="NormalTok"/>
        </w:rPr>
        <w:t xml:space="preserve"> </w:t>
      </w:r>
      <w:r>
        <w:rPr>
          <w:rStyle w:val="FunctionTok"/>
        </w:rPr>
        <w:t>flextable</w:t>
      </w:r>
      <w:r>
        <w:rPr>
          <w:rStyle w:val="NormalTok"/>
        </w:rPr>
        <w:t>(</w:t>
      </w:r>
      <w:r>
        <w:rPr>
          <w:rStyle w:val="FunctionTok"/>
        </w:rPr>
        <w:t>data.frame</w:t>
      </w:r>
      <w:r>
        <w:rPr>
          <w:rStyle w:val="NormalTok"/>
        </w:rPr>
        <w:t xml:space="preserve">(AmountNeeded3)) </w:t>
      </w:r>
      <w:r>
        <w:rPr>
          <w:rStyle w:val="SpecialCharTok"/>
        </w:rPr>
        <w:t>%&gt;%</w:t>
      </w:r>
      <w:r>
        <w:br/>
      </w:r>
      <w:r>
        <w:rPr>
          <w:rStyle w:val="NormalTok"/>
        </w:rPr>
        <w:t xml:space="preserve">    </w:t>
      </w:r>
      <w:r>
        <w:rPr>
          <w:rStyle w:val="FunctionTok"/>
        </w:rPr>
        <w:t>color</w:t>
      </w:r>
      <w:r>
        <w:rPr>
          <w:rStyle w:val="NormalTok"/>
        </w:rPr>
        <w:t>(</w:t>
      </w:r>
      <w:r>
        <w:rPr>
          <w:rStyle w:val="AttributeTok"/>
        </w:rPr>
        <w:t>i =</w:t>
      </w:r>
      <w:r>
        <w:rPr>
          <w:rStyle w:val="NormalTok"/>
        </w:rPr>
        <w:t xml:space="preserve"> </w:t>
      </w:r>
      <w:r>
        <w:rPr>
          <w:rStyle w:val="FunctionTok"/>
        </w:rPr>
        <w:t>c</w:t>
      </w:r>
      <w:r>
        <w:rPr>
          <w:rStyle w:val="NormalTok"/>
        </w:rPr>
        <w:t>(</w:t>
      </w:r>
      <w:r>
        <w:rPr>
          <w:rStyle w:val="DecValTok"/>
        </w:rPr>
        <w:t>3</w:t>
      </w:r>
      <w:r>
        <w:rPr>
          <w:rStyle w:val="SpecialCharTok"/>
        </w:rPr>
        <w:t>:</w:t>
      </w:r>
      <w:r>
        <w:rPr>
          <w:rStyle w:val="DecValTok"/>
        </w:rPr>
        <w:t>4</w:t>
      </w:r>
      <w:r>
        <w:rPr>
          <w:rStyle w:val="NormalTok"/>
        </w:rPr>
        <w:t xml:space="preserve">), </w:t>
      </w:r>
      <w:r>
        <w:rPr>
          <w:rStyle w:val="AttributeTok"/>
        </w:rPr>
        <w:t>color=</w:t>
      </w:r>
      <w:r>
        <w:rPr>
          <w:rStyle w:val="StringTok"/>
        </w:rPr>
        <w:t>"darkred"</w:t>
      </w:r>
      <w:r>
        <w:rPr>
          <w:rStyle w:val="NormalTok"/>
        </w:rPr>
        <w:t xml:space="preserve">, </w:t>
      </w:r>
      <w:r>
        <w:rPr>
          <w:rStyle w:val="AttributeTok"/>
        </w:rPr>
        <w:t>part =</w:t>
      </w:r>
      <w:r>
        <w:rPr>
          <w:rStyle w:val="NormalTok"/>
        </w:rPr>
        <w:t xml:space="preserve"> </w:t>
      </w:r>
      <w:r>
        <w:rPr>
          <w:rStyle w:val="StringTok"/>
        </w:rPr>
        <w:t>'body'</w:t>
      </w:r>
      <w:r>
        <w:rPr>
          <w:rStyle w:val="NormalTok"/>
        </w:rPr>
        <w:t xml:space="preserve">) </w:t>
      </w:r>
      <w:r>
        <w:rPr>
          <w:rStyle w:val="SpecialCharTok"/>
        </w:rPr>
        <w:t>%&gt;%</w:t>
      </w:r>
      <w:r>
        <w:br/>
      </w:r>
      <w:r>
        <w:rPr>
          <w:rStyle w:val="NormalTok"/>
        </w:rPr>
        <w:t xml:space="preserve">    </w:t>
      </w:r>
      <w:r>
        <w:rPr>
          <w:rStyle w:val="FunctionTok"/>
        </w:rPr>
        <w:t>italic</w:t>
      </w:r>
      <w:r>
        <w:rPr>
          <w:rStyle w:val="NormalTok"/>
        </w:rPr>
        <w:t>(</w:t>
      </w:r>
      <w:r>
        <w:rPr>
          <w:rStyle w:val="AttributeTok"/>
        </w:rPr>
        <w:t>i =</w:t>
      </w:r>
      <w:r>
        <w:rPr>
          <w:rStyle w:val="NormalTok"/>
        </w:rPr>
        <w:t xml:space="preserve"> </w:t>
      </w:r>
      <w:r>
        <w:rPr>
          <w:rStyle w:val="FunctionTok"/>
        </w:rPr>
        <w:t>c</w:t>
      </w:r>
      <w:r>
        <w:rPr>
          <w:rStyle w:val="NormalTok"/>
        </w:rPr>
        <w:t>(</w:t>
      </w:r>
      <w:r>
        <w:rPr>
          <w:rStyle w:val="DecValTok"/>
        </w:rPr>
        <w:t>3</w:t>
      </w:r>
      <w:r>
        <w:rPr>
          <w:rStyle w:val="SpecialCharTok"/>
        </w:rPr>
        <w:t>:</w:t>
      </w:r>
      <w:r>
        <w:rPr>
          <w:rStyle w:val="DecValTok"/>
        </w:rPr>
        <w:t>4</w:t>
      </w:r>
      <w:r>
        <w:rPr>
          <w:rStyle w:val="NormalTok"/>
        </w:rPr>
        <w:t xml:space="preserve">), </w:t>
      </w:r>
      <w:r>
        <w:rPr>
          <w:rStyle w:val="AttributeTok"/>
        </w:rPr>
        <w:t>italic =</w:t>
      </w:r>
      <w:r>
        <w:rPr>
          <w:rStyle w:val="NormalTok"/>
        </w:rPr>
        <w:t xml:space="preserve"> </w:t>
      </w:r>
      <w:r>
        <w:rPr>
          <w:rStyle w:val="ConstantTok"/>
        </w:rPr>
        <w:t>TRUE</w:t>
      </w:r>
      <w:r>
        <w:rPr>
          <w:rStyle w:val="NormalTok"/>
        </w:rPr>
        <w:t xml:space="preserve">, </w:t>
      </w:r>
      <w:r>
        <w:rPr>
          <w:rStyle w:val="AttributeTok"/>
        </w:rPr>
        <w:t>part =</w:t>
      </w:r>
      <w:r>
        <w:rPr>
          <w:rStyle w:val="NormalTok"/>
        </w:rPr>
        <w:t xml:space="preserve"> </w:t>
      </w:r>
      <w:r>
        <w:rPr>
          <w:rStyle w:val="StringTok"/>
        </w:rPr>
        <w:t>"body"</w:t>
      </w:r>
      <w:r>
        <w:rPr>
          <w:rStyle w:val="NormalTok"/>
        </w:rPr>
        <w:t xml:space="preserve">) </w:t>
      </w:r>
      <w:r>
        <w:rPr>
          <w:rStyle w:val="SpecialCharTok"/>
        </w:rPr>
        <w:t>%&gt;%</w:t>
      </w:r>
      <w:r>
        <w:br/>
      </w:r>
      <w:r>
        <w:rPr>
          <w:rStyle w:val="NormalTok"/>
        </w:rPr>
        <w:t xml:space="preserve">    </w:t>
      </w:r>
      <w:r>
        <w:rPr>
          <w:rStyle w:val="FunctionTok"/>
        </w:rPr>
        <w:t>color</w:t>
      </w:r>
      <w:r>
        <w:rPr>
          <w:rStyle w:val="NormalTok"/>
        </w:rPr>
        <w:t>(</w:t>
      </w:r>
      <w:r>
        <w:rPr>
          <w:rStyle w:val="AttributeTok"/>
        </w:rPr>
        <w:t>i =</w:t>
      </w:r>
      <w:r>
        <w:rPr>
          <w:rStyle w:val="NormalTok"/>
        </w:rPr>
        <w:t xml:space="preserve"> </w:t>
      </w:r>
      <w:r>
        <w:rPr>
          <w:rStyle w:val="FunctionTok"/>
        </w:rPr>
        <w:t>c</w:t>
      </w:r>
      <w:r>
        <w:rPr>
          <w:rStyle w:val="NormalTok"/>
        </w:rPr>
        <w:t>(</w:t>
      </w:r>
      <w:r>
        <w:rPr>
          <w:rStyle w:val="DecValTok"/>
        </w:rPr>
        <w:t>8</w:t>
      </w:r>
      <w:r>
        <w:rPr>
          <w:rStyle w:val="NormalTok"/>
        </w:rPr>
        <w:t xml:space="preserve">), </w:t>
      </w:r>
      <w:r>
        <w:rPr>
          <w:rStyle w:val="AttributeTok"/>
        </w:rPr>
        <w:t>color=</w:t>
      </w:r>
      <w:r>
        <w:rPr>
          <w:rStyle w:val="StringTok"/>
        </w:rPr>
        <w:t>"darkblue"</w:t>
      </w:r>
      <w:r>
        <w:rPr>
          <w:rStyle w:val="NormalTok"/>
        </w:rPr>
        <w:t xml:space="preserve">, </w:t>
      </w:r>
      <w:r>
        <w:rPr>
          <w:rStyle w:val="AttributeTok"/>
        </w:rPr>
        <w:t>part =</w:t>
      </w:r>
      <w:r>
        <w:rPr>
          <w:rStyle w:val="NormalTok"/>
        </w:rPr>
        <w:t xml:space="preserve"> </w:t>
      </w:r>
      <w:r>
        <w:rPr>
          <w:rStyle w:val="StringTok"/>
        </w:rPr>
        <w:t>'body'</w:t>
      </w:r>
      <w:r>
        <w:rPr>
          <w:rStyle w:val="NormalTok"/>
        </w:rPr>
        <w:t xml:space="preserve">) </w:t>
      </w:r>
      <w:r>
        <w:rPr>
          <w:rStyle w:val="SpecialCharTok"/>
        </w:rPr>
        <w:t>%&gt;%</w:t>
      </w:r>
      <w:r>
        <w:br/>
      </w:r>
      <w:r>
        <w:rPr>
          <w:rStyle w:val="NormalTok"/>
        </w:rPr>
        <w:t xml:space="preserve">    </w:t>
      </w:r>
      <w:r>
        <w:rPr>
          <w:rStyle w:val="FunctionTok"/>
        </w:rPr>
        <w:t>italic</w:t>
      </w:r>
      <w:r>
        <w:rPr>
          <w:rStyle w:val="NormalTok"/>
        </w:rPr>
        <w:t>(</w:t>
      </w:r>
      <w:r>
        <w:rPr>
          <w:rStyle w:val="AttributeTok"/>
        </w:rPr>
        <w:t>i =</w:t>
      </w:r>
      <w:r>
        <w:rPr>
          <w:rStyle w:val="NormalTok"/>
        </w:rPr>
        <w:t xml:space="preserve"> </w:t>
      </w:r>
      <w:r>
        <w:rPr>
          <w:rStyle w:val="FunctionTok"/>
        </w:rPr>
        <w:t>c</w:t>
      </w:r>
      <w:r>
        <w:rPr>
          <w:rStyle w:val="NormalTok"/>
        </w:rPr>
        <w:t>(</w:t>
      </w:r>
      <w:r>
        <w:rPr>
          <w:rStyle w:val="DecValTok"/>
        </w:rPr>
        <w:t>8</w:t>
      </w:r>
      <w:r>
        <w:rPr>
          <w:rStyle w:val="NormalTok"/>
        </w:rPr>
        <w:t xml:space="preserve">), </w:t>
      </w:r>
      <w:r>
        <w:rPr>
          <w:rStyle w:val="AttributeTok"/>
        </w:rPr>
        <w:t>italic =</w:t>
      </w:r>
      <w:r>
        <w:rPr>
          <w:rStyle w:val="NormalTok"/>
        </w:rPr>
        <w:t xml:space="preserve"> </w:t>
      </w:r>
      <w:r>
        <w:rPr>
          <w:rStyle w:val="ConstantTok"/>
        </w:rPr>
        <w:t>TRUE</w:t>
      </w:r>
      <w:r>
        <w:rPr>
          <w:rStyle w:val="NormalTok"/>
        </w:rPr>
        <w:t xml:space="preserve">, </w:t>
      </w:r>
      <w:r>
        <w:rPr>
          <w:rStyle w:val="AttributeTok"/>
        </w:rPr>
        <w:t>part =</w:t>
      </w:r>
      <w:r>
        <w:rPr>
          <w:rStyle w:val="NormalTok"/>
        </w:rPr>
        <w:t xml:space="preserve"> </w:t>
      </w:r>
      <w:r>
        <w:rPr>
          <w:rStyle w:val="StringTok"/>
        </w:rPr>
        <w:t>"body"</w:t>
      </w:r>
      <w:r>
        <w:rPr>
          <w:rStyle w:val="NormalTok"/>
        </w:rPr>
        <w:t xml:space="preserve">) </w:t>
      </w:r>
      <w:r>
        <w:rPr>
          <w:rStyle w:val="SpecialCharTok"/>
        </w:rPr>
        <w:t>%&gt;%</w:t>
      </w:r>
      <w:r>
        <w:br/>
      </w:r>
      <w:r>
        <w:rPr>
          <w:rStyle w:val="NormalTok"/>
        </w:rPr>
        <w:t xml:space="preserve">    </w:t>
      </w:r>
      <w:r>
        <w:rPr>
          <w:rStyle w:val="FunctionTok"/>
        </w:rPr>
        <w:t>italic</w:t>
      </w:r>
      <w:r>
        <w:rPr>
          <w:rStyle w:val="NormalTok"/>
        </w:rPr>
        <w:t>(</w:t>
      </w:r>
      <w:r>
        <w:rPr>
          <w:rStyle w:val="AttributeTok"/>
        </w:rPr>
        <w:t>j =</w:t>
      </w:r>
      <w:r>
        <w:rPr>
          <w:rStyle w:val="NormalTok"/>
        </w:rPr>
        <w:t xml:space="preserve"> </w:t>
      </w:r>
      <w:r>
        <w:rPr>
          <w:rStyle w:val="DecValTok"/>
        </w:rPr>
        <w:t>1</w:t>
      </w:r>
      <w:r>
        <w:rPr>
          <w:rStyle w:val="NormalTok"/>
        </w:rPr>
        <w:t xml:space="preserve">, </w:t>
      </w:r>
      <w:r>
        <w:rPr>
          <w:rStyle w:val="AttributeTok"/>
        </w:rPr>
        <w:t>italic =</w:t>
      </w:r>
      <w:r>
        <w:rPr>
          <w:rStyle w:val="NormalTok"/>
        </w:rPr>
        <w:t xml:space="preserve"> </w:t>
      </w:r>
      <w:r>
        <w:rPr>
          <w:rStyle w:val="ConstantTok"/>
        </w:rPr>
        <w:t>TRUE</w:t>
      </w:r>
      <w:r>
        <w:rPr>
          <w:rStyle w:val="NormalTok"/>
        </w:rPr>
        <w:t xml:space="preserve">, </w:t>
      </w:r>
      <w:r>
        <w:rPr>
          <w:rStyle w:val="AttributeTok"/>
        </w:rPr>
        <w:t>part =</w:t>
      </w:r>
      <w:r>
        <w:rPr>
          <w:rStyle w:val="NormalTok"/>
        </w:rPr>
        <w:t xml:space="preserve"> </w:t>
      </w:r>
      <w:r>
        <w:rPr>
          <w:rStyle w:val="StringTok"/>
        </w:rPr>
        <w:t>"body"</w:t>
      </w:r>
      <w:r>
        <w:rPr>
          <w:rStyle w:val="NormalTok"/>
        </w:rPr>
        <w:t xml:space="preserve">) </w:t>
      </w:r>
      <w:r>
        <w:rPr>
          <w:rStyle w:val="SpecialCharTok"/>
        </w:rPr>
        <w:t>%&gt;%</w:t>
      </w:r>
      <w:r>
        <w:br/>
      </w:r>
      <w:r>
        <w:rPr>
          <w:rStyle w:val="NormalTok"/>
        </w:rPr>
        <w:t xml:space="preserve">    </w:t>
      </w:r>
      <w:r>
        <w:rPr>
          <w:rStyle w:val="FunctionTok"/>
        </w:rPr>
        <w:t>bold</w:t>
      </w:r>
      <w:r>
        <w:rPr>
          <w:rStyle w:val="NormalTok"/>
        </w:rPr>
        <w:t>(</w:t>
      </w:r>
      <w:r>
        <w:rPr>
          <w:rStyle w:val="AttributeTok"/>
        </w:rPr>
        <w:t>j =</w:t>
      </w:r>
      <w:r>
        <w:rPr>
          <w:rStyle w:val="NormalTok"/>
        </w:rPr>
        <w:t xml:space="preserve"> </w:t>
      </w:r>
      <w:r>
        <w:rPr>
          <w:rStyle w:val="DecValTok"/>
        </w:rPr>
        <w:t>1</w:t>
      </w:r>
      <w:r>
        <w:rPr>
          <w:rStyle w:val="NormalTok"/>
        </w:rPr>
        <w:t xml:space="preserve">, </w:t>
      </w:r>
      <w:r>
        <w:rPr>
          <w:rStyle w:val="AttributeTok"/>
        </w:rPr>
        <w:t>bold =</w:t>
      </w:r>
      <w:r>
        <w:rPr>
          <w:rStyle w:val="NormalTok"/>
        </w:rPr>
        <w:t xml:space="preserve"> </w:t>
      </w:r>
      <w:r>
        <w:rPr>
          <w:rStyle w:val="ConstantTok"/>
        </w:rPr>
        <w:t>TRUE</w:t>
      </w:r>
      <w:r>
        <w:rPr>
          <w:rStyle w:val="NormalTok"/>
        </w:rPr>
        <w:t xml:space="preserve">, </w:t>
      </w:r>
      <w:r>
        <w:rPr>
          <w:rStyle w:val="AttributeTok"/>
        </w:rPr>
        <w:t>part =</w:t>
      </w:r>
      <w:r>
        <w:rPr>
          <w:rStyle w:val="NormalTok"/>
        </w:rPr>
        <w:t xml:space="preserve"> </w:t>
      </w:r>
      <w:r>
        <w:rPr>
          <w:rStyle w:val="StringTok"/>
        </w:rPr>
        <w:t>"body"</w:t>
      </w:r>
      <w:r>
        <w:rPr>
          <w:rStyle w:val="NormalTok"/>
        </w:rPr>
        <w:t xml:space="preserve">) </w:t>
      </w:r>
      <w:r>
        <w:rPr>
          <w:rStyle w:val="SpecialCharTok"/>
        </w:rPr>
        <w:t>%&gt;%</w:t>
      </w:r>
      <w:r>
        <w:br/>
      </w:r>
      <w:r>
        <w:rPr>
          <w:rStyle w:val="NormalTok"/>
        </w:rPr>
        <w:t xml:space="preserve">    </w:t>
      </w:r>
      <w:r>
        <w:rPr>
          <w:rStyle w:val="FunctionTok"/>
        </w:rPr>
        <w:t>set_header_labels</w:t>
      </w:r>
      <w:r>
        <w:rPr>
          <w:rStyle w:val="NormalTok"/>
        </w:rPr>
        <w:t>(</w:t>
      </w:r>
      <w:r>
        <w:rPr>
          <w:rStyle w:val="AttributeTok"/>
        </w:rPr>
        <w:t>Culicid.Density.per.Km2 =</w:t>
      </w:r>
      <w:r>
        <w:rPr>
          <w:rStyle w:val="NormalTok"/>
        </w:rPr>
        <w:t xml:space="preserve"> </w:t>
      </w:r>
      <w:r>
        <w:rPr>
          <w:rStyle w:val="StringTok"/>
        </w:rPr>
        <w:t>'Culicid Density (per square km.)'</w:t>
      </w:r>
      <w:r>
        <w:rPr>
          <w:rStyle w:val="NormalTok"/>
        </w:rPr>
        <w:t xml:space="preserve">, </w:t>
      </w:r>
      <w:r>
        <w:br/>
      </w:r>
      <w:r>
        <w:rPr>
          <w:rStyle w:val="NormalTok"/>
        </w:rPr>
        <w:t xml:space="preserve">                      </w:t>
      </w:r>
      <w:r>
        <w:rPr>
          <w:rStyle w:val="AttributeTok"/>
        </w:rPr>
        <w:t>Flight.Distance.meters =</w:t>
      </w:r>
      <w:r>
        <w:rPr>
          <w:rStyle w:val="NormalTok"/>
        </w:rPr>
        <w:t xml:space="preserve"> </w:t>
      </w:r>
      <w:r>
        <w:rPr>
          <w:rStyle w:val="StringTok"/>
        </w:rPr>
        <w:t>'Flight Distance (meters)'</w:t>
      </w:r>
      <w:r>
        <w:rPr>
          <w:rStyle w:val="NormalTok"/>
        </w:rPr>
        <w:t xml:space="preserve">, </w:t>
      </w:r>
      <w:r>
        <w:br/>
      </w:r>
      <w:r>
        <w:rPr>
          <w:rStyle w:val="NormalTok"/>
        </w:rPr>
        <w:t xml:space="preserve">                      </w:t>
      </w:r>
      <w:r>
        <w:rPr>
          <w:rStyle w:val="AttributeTok"/>
        </w:rPr>
        <w:t>Wild.Type.Males =</w:t>
      </w:r>
      <w:r>
        <w:rPr>
          <w:rStyle w:val="NormalTok"/>
        </w:rPr>
        <w:t xml:space="preserve"> </w:t>
      </w:r>
      <w:r>
        <w:rPr>
          <w:rStyle w:val="StringTok"/>
        </w:rPr>
        <w:t>'Wild Type Males'</w:t>
      </w:r>
      <w:r>
        <w:rPr>
          <w:rStyle w:val="NormalTok"/>
        </w:rPr>
        <w:t xml:space="preserve">, </w:t>
      </w:r>
      <w:r>
        <w:br/>
      </w:r>
      <w:r>
        <w:rPr>
          <w:rStyle w:val="NormalTok"/>
        </w:rPr>
        <w:t xml:space="preserve">                      </w:t>
      </w:r>
      <w:r>
        <w:rPr>
          <w:rStyle w:val="AttributeTok"/>
        </w:rPr>
        <w:t>IIT.Wild.Type.Males..10.1. =</w:t>
      </w:r>
      <w:r>
        <w:rPr>
          <w:rStyle w:val="NormalTok"/>
        </w:rPr>
        <w:t xml:space="preserve"> </w:t>
      </w:r>
      <w:r>
        <w:rPr>
          <w:rStyle w:val="StringTok"/>
        </w:rPr>
        <w:t>'IIT:Wild Type Males (10:1)'</w:t>
      </w:r>
      <w:r>
        <w:rPr>
          <w:rStyle w:val="NormalTok"/>
        </w:rPr>
        <w:t xml:space="preserve">, </w:t>
      </w:r>
      <w:r>
        <w:br/>
      </w:r>
      <w:r>
        <w:rPr>
          <w:rStyle w:val="NormalTok"/>
        </w:rPr>
        <w:t xml:space="preserve"> </w:t>
      </w:r>
      <w:r>
        <w:rPr>
          <w:rStyle w:val="NormalTok"/>
        </w:rPr>
        <w:t xml:space="preserve">                     </w:t>
      </w:r>
      <w:r>
        <w:rPr>
          <w:rStyle w:val="AttributeTok"/>
        </w:rPr>
        <w:t>Rate.Used =</w:t>
      </w:r>
      <w:r>
        <w:rPr>
          <w:rStyle w:val="NormalTok"/>
        </w:rPr>
        <w:t xml:space="preserve"> </w:t>
      </w:r>
      <w:r>
        <w:rPr>
          <w:rStyle w:val="StringTok"/>
        </w:rPr>
        <w:t>'Rate Used'</w:t>
      </w:r>
      <w:r>
        <w:rPr>
          <w:rStyle w:val="NormalTok"/>
        </w:rPr>
        <w:t>,</w:t>
      </w:r>
      <w:r>
        <w:br/>
      </w:r>
      <w:r>
        <w:rPr>
          <w:rStyle w:val="NormalTok"/>
        </w:rPr>
        <w:t xml:space="preserve">                      </w:t>
      </w:r>
      <w:r>
        <w:rPr>
          <w:rStyle w:val="AttributeTok"/>
        </w:rPr>
        <w:t>First.Year.Cost.... =</w:t>
      </w:r>
      <w:r>
        <w:rPr>
          <w:rStyle w:val="NormalTok"/>
        </w:rPr>
        <w:t xml:space="preserve"> </w:t>
      </w:r>
      <w:r>
        <w:rPr>
          <w:rStyle w:val="StringTok"/>
        </w:rPr>
        <w:t>'First Year Cost ($)'</w:t>
      </w:r>
      <w:r>
        <w:rPr>
          <w:rStyle w:val="NormalTok"/>
        </w:rPr>
        <w:t>,</w:t>
      </w:r>
      <w:r>
        <w:br/>
      </w:r>
      <w:r>
        <w:rPr>
          <w:rStyle w:val="NormalTok"/>
        </w:rPr>
        <w:t xml:space="preserve">                      </w:t>
      </w:r>
      <w:r>
        <w:rPr>
          <w:rStyle w:val="AttributeTok"/>
        </w:rPr>
        <w:t>Subsequent.Year.Costs.... =</w:t>
      </w:r>
      <w:r>
        <w:rPr>
          <w:rStyle w:val="NormalTok"/>
        </w:rPr>
        <w:t xml:space="preserve"> </w:t>
      </w:r>
      <w:r>
        <w:rPr>
          <w:rStyle w:val="StringTok"/>
        </w:rPr>
        <w:t>'Subsequent Year Costs ($)'</w:t>
      </w:r>
      <w:r>
        <w:rPr>
          <w:rStyle w:val="NormalTok"/>
        </w:rPr>
        <w:t xml:space="preserve">) </w:t>
      </w:r>
      <w:r>
        <w:rPr>
          <w:rStyle w:val="SpecialCharTok"/>
        </w:rPr>
        <w:t>%&gt;%</w:t>
      </w:r>
      <w:r>
        <w:br/>
      </w:r>
      <w:r>
        <w:rPr>
          <w:rStyle w:val="NormalTok"/>
        </w:rPr>
        <w:t xml:space="preserve">    </w:t>
      </w:r>
      <w:r>
        <w:br/>
      </w:r>
      <w:r>
        <w:rPr>
          <w:rStyle w:val="NormalTok"/>
        </w:rPr>
        <w:t xml:space="preserve">    </w:t>
      </w:r>
      <w:r>
        <w:rPr>
          <w:rStyle w:val="FunctionTok"/>
        </w:rPr>
        <w:t>theme_zebra</w:t>
      </w:r>
      <w:r>
        <w:rPr>
          <w:rStyle w:val="NormalTok"/>
        </w:rPr>
        <w:t>(</w:t>
      </w:r>
      <w:r>
        <w:rPr>
          <w:rStyle w:val="AttributeTok"/>
        </w:rPr>
        <w:t>odd_header=</w:t>
      </w:r>
      <w:r>
        <w:rPr>
          <w:rStyle w:val="StringTok"/>
        </w:rPr>
        <w:t>"transparent"</w:t>
      </w:r>
      <w:r>
        <w:rPr>
          <w:rStyle w:val="NormalTok"/>
        </w:rPr>
        <w:t xml:space="preserve">) </w:t>
      </w:r>
      <w:r>
        <w:rPr>
          <w:rStyle w:val="SpecialCharTok"/>
        </w:rPr>
        <w:t>%&gt;%</w:t>
      </w:r>
      <w:r>
        <w:br/>
      </w:r>
      <w:r>
        <w:rPr>
          <w:rStyle w:val="NormalTok"/>
        </w:rPr>
        <w:t xml:space="preserve">    </w:t>
      </w:r>
      <w:r>
        <w:rPr>
          <w:rStyle w:val="FunctionTok"/>
        </w:rPr>
        <w:t>align</w:t>
      </w:r>
      <w:r>
        <w:rPr>
          <w:rStyle w:val="NormalTok"/>
        </w:rPr>
        <w:t>(</w:t>
      </w:r>
      <w:r>
        <w:rPr>
          <w:rStyle w:val="AttributeTok"/>
        </w:rPr>
        <w:t>align =</w:t>
      </w:r>
      <w:r>
        <w:rPr>
          <w:rStyle w:val="NormalTok"/>
        </w:rPr>
        <w:t xml:space="preserve"> </w:t>
      </w:r>
      <w:r>
        <w:rPr>
          <w:rStyle w:val="StringTok"/>
        </w:rPr>
        <w:t>"center"</w:t>
      </w:r>
      <w:r>
        <w:rPr>
          <w:rStyle w:val="NormalTok"/>
        </w:rPr>
        <w:t xml:space="preserve">, </w:t>
      </w:r>
      <w:r>
        <w:rPr>
          <w:rStyle w:val="AttributeTok"/>
        </w:rPr>
        <w:t>part =</w:t>
      </w:r>
      <w:r>
        <w:rPr>
          <w:rStyle w:val="NormalTok"/>
        </w:rPr>
        <w:t xml:space="preserve"> </w:t>
      </w:r>
      <w:r>
        <w:rPr>
          <w:rStyle w:val="StringTok"/>
        </w:rPr>
        <w:t>"header"</w:t>
      </w:r>
      <w:r>
        <w:rPr>
          <w:rStyle w:val="NormalTok"/>
        </w:rPr>
        <w:t xml:space="preserve">) </w:t>
      </w:r>
      <w:r>
        <w:rPr>
          <w:rStyle w:val="SpecialCharTok"/>
        </w:rPr>
        <w:t>%&gt;%</w:t>
      </w:r>
      <w:r>
        <w:br/>
      </w:r>
      <w:r>
        <w:rPr>
          <w:rStyle w:val="NormalTok"/>
        </w:rPr>
        <w:lastRenderedPageBreak/>
        <w:t xml:space="preserve">    </w:t>
      </w:r>
      <w:r>
        <w:rPr>
          <w:rStyle w:val="FunctionTok"/>
        </w:rPr>
        <w:t>valign</w:t>
      </w:r>
      <w:r>
        <w:rPr>
          <w:rStyle w:val="NormalTok"/>
        </w:rPr>
        <w:t>(</w:t>
      </w:r>
      <w:r>
        <w:rPr>
          <w:rStyle w:val="AttributeTok"/>
        </w:rPr>
        <w:t>valign =</w:t>
      </w:r>
      <w:r>
        <w:rPr>
          <w:rStyle w:val="NormalTok"/>
        </w:rPr>
        <w:t xml:space="preserve"> </w:t>
      </w:r>
      <w:r>
        <w:rPr>
          <w:rStyle w:val="StringTok"/>
        </w:rPr>
        <w:t>"center"</w:t>
      </w:r>
      <w:r>
        <w:rPr>
          <w:rStyle w:val="NormalTok"/>
        </w:rPr>
        <w:t xml:space="preserve">, </w:t>
      </w:r>
      <w:r>
        <w:rPr>
          <w:rStyle w:val="AttributeTok"/>
        </w:rPr>
        <w:t>part =</w:t>
      </w:r>
      <w:r>
        <w:rPr>
          <w:rStyle w:val="NormalTok"/>
        </w:rPr>
        <w:t xml:space="preserve"> </w:t>
      </w:r>
      <w:r>
        <w:rPr>
          <w:rStyle w:val="StringTok"/>
        </w:rPr>
        <w:t>"all"</w:t>
      </w:r>
      <w:r>
        <w:rPr>
          <w:rStyle w:val="NormalTok"/>
        </w:rPr>
        <w:t xml:space="preserve">) </w:t>
      </w:r>
      <w:r>
        <w:rPr>
          <w:rStyle w:val="SpecialCharTok"/>
        </w:rPr>
        <w:t>%&gt;%</w:t>
      </w:r>
      <w:r>
        <w:br/>
      </w:r>
      <w:r>
        <w:rPr>
          <w:rStyle w:val="NormalTok"/>
        </w:rPr>
        <w:t xml:space="preserve">    </w:t>
      </w:r>
      <w:r>
        <w:rPr>
          <w:rStyle w:val="CommentTok"/>
        </w:rPr>
        <w:t># hline(i=c(1,5:6), part = "body", border = officer::fp_border()) %&gt;%</w:t>
      </w:r>
      <w:r>
        <w:br/>
      </w:r>
      <w:r>
        <w:rPr>
          <w:rStyle w:val="NormalTok"/>
        </w:rPr>
        <w:t xml:space="preserve">    </w:t>
      </w:r>
      <w:r>
        <w:rPr>
          <w:rStyle w:val="CommentTok"/>
        </w:rPr>
        <w:t># hline(i=c(1), part = "header", border = officer::fp_border()) %&gt;%</w:t>
      </w:r>
      <w:r>
        <w:br/>
      </w:r>
      <w:r>
        <w:rPr>
          <w:rStyle w:val="NormalTok"/>
        </w:rPr>
        <w:t xml:space="preserve">    </w:t>
      </w:r>
      <w:r>
        <w:rPr>
          <w:rStyle w:val="FunctionTok"/>
        </w:rPr>
        <w:t>hline</w:t>
      </w:r>
      <w:r>
        <w:rPr>
          <w:rStyle w:val="NormalTok"/>
        </w:rPr>
        <w:t>(</w:t>
      </w:r>
      <w:r>
        <w:rPr>
          <w:rStyle w:val="AttributeTok"/>
        </w:rPr>
        <w:t>i=</w:t>
      </w:r>
      <w:r>
        <w:rPr>
          <w:rStyle w:val="FunctionTok"/>
        </w:rPr>
        <w:t>c</w:t>
      </w:r>
      <w:r>
        <w:rPr>
          <w:rStyle w:val="NormalTok"/>
        </w:rPr>
        <w:t>(</w:t>
      </w:r>
      <w:r>
        <w:rPr>
          <w:rStyle w:val="DecValTok"/>
        </w:rPr>
        <w:t>2</w:t>
      </w:r>
      <w:r>
        <w:rPr>
          <w:rStyle w:val="NormalTok"/>
        </w:rPr>
        <w:t>,</w:t>
      </w:r>
      <w:r>
        <w:rPr>
          <w:rStyle w:val="DecValTok"/>
        </w:rPr>
        <w:t>4</w:t>
      </w:r>
      <w:r>
        <w:rPr>
          <w:rStyle w:val="NormalTok"/>
        </w:rPr>
        <w:t xml:space="preserve">), </w:t>
      </w:r>
      <w:r>
        <w:rPr>
          <w:rStyle w:val="AttributeTok"/>
        </w:rPr>
        <w:t>part =</w:t>
      </w:r>
      <w:r>
        <w:rPr>
          <w:rStyle w:val="NormalTok"/>
        </w:rPr>
        <w:t xml:space="preserve"> </w:t>
      </w:r>
      <w:r>
        <w:rPr>
          <w:rStyle w:val="StringTok"/>
        </w:rPr>
        <w:t>"body"</w:t>
      </w:r>
      <w:r>
        <w:rPr>
          <w:rStyle w:val="NormalTok"/>
        </w:rPr>
        <w:t xml:space="preserve">, </w:t>
      </w:r>
      <w:r>
        <w:rPr>
          <w:rStyle w:val="AttributeTok"/>
        </w:rPr>
        <w:t>border =</w:t>
      </w:r>
      <w:r>
        <w:rPr>
          <w:rStyle w:val="NormalTok"/>
        </w:rPr>
        <w:t xml:space="preserve"> officer</w:t>
      </w:r>
      <w:r>
        <w:rPr>
          <w:rStyle w:val="SpecialCharTok"/>
        </w:rPr>
        <w:t>::</w:t>
      </w:r>
      <w:r>
        <w:rPr>
          <w:rStyle w:val="FunctionTok"/>
        </w:rPr>
        <w:t>fp_border</w:t>
      </w:r>
      <w:r>
        <w:rPr>
          <w:rStyle w:val="NormalTok"/>
        </w:rPr>
        <w:t>(</w:t>
      </w:r>
      <w:r>
        <w:rPr>
          <w:rStyle w:val="AttributeTok"/>
        </w:rPr>
        <w:t>width =</w:t>
      </w:r>
      <w:r>
        <w:rPr>
          <w:rStyle w:val="NormalTok"/>
        </w:rPr>
        <w:t xml:space="preserve"> </w:t>
      </w:r>
      <w:r>
        <w:rPr>
          <w:rStyle w:val="DecValTok"/>
        </w:rPr>
        <w:t>3</w:t>
      </w:r>
      <w:r>
        <w:rPr>
          <w:rStyle w:val="NormalTok"/>
        </w:rPr>
        <w:t xml:space="preserve">, </w:t>
      </w:r>
      <w:r>
        <w:rPr>
          <w:rStyle w:val="AttributeTok"/>
        </w:rPr>
        <w:t>color =</w:t>
      </w:r>
      <w:r>
        <w:rPr>
          <w:rStyle w:val="NormalTok"/>
        </w:rPr>
        <w:t xml:space="preserve"> </w:t>
      </w:r>
      <w:r>
        <w:rPr>
          <w:rStyle w:val="StringTok"/>
        </w:rPr>
        <w:t>'darkred'</w:t>
      </w:r>
      <w:r>
        <w:rPr>
          <w:rStyle w:val="NormalTok"/>
        </w:rPr>
        <w:t xml:space="preserve">)) </w:t>
      </w:r>
      <w:r>
        <w:rPr>
          <w:rStyle w:val="SpecialCharTok"/>
        </w:rPr>
        <w:t>%&gt;%</w:t>
      </w:r>
      <w:r>
        <w:br/>
      </w:r>
      <w:r>
        <w:rPr>
          <w:rStyle w:val="NormalTok"/>
        </w:rPr>
        <w:t xml:space="preserve">    </w:t>
      </w:r>
      <w:r>
        <w:rPr>
          <w:rStyle w:val="FunctionTok"/>
        </w:rPr>
        <w:t>hline</w:t>
      </w:r>
      <w:r>
        <w:rPr>
          <w:rStyle w:val="NormalTok"/>
        </w:rPr>
        <w:t>(</w:t>
      </w:r>
      <w:r>
        <w:rPr>
          <w:rStyle w:val="AttributeTok"/>
        </w:rPr>
        <w:t>i=</w:t>
      </w:r>
      <w:r>
        <w:rPr>
          <w:rStyle w:val="FunctionTok"/>
        </w:rPr>
        <w:t>c</w:t>
      </w:r>
      <w:r>
        <w:rPr>
          <w:rStyle w:val="NormalTok"/>
        </w:rPr>
        <w:t>(</w:t>
      </w:r>
      <w:r>
        <w:rPr>
          <w:rStyle w:val="DecValTok"/>
        </w:rPr>
        <w:t>7</w:t>
      </w:r>
      <w:r>
        <w:rPr>
          <w:rStyle w:val="SpecialCharTok"/>
        </w:rPr>
        <w:t>:</w:t>
      </w:r>
      <w:r>
        <w:rPr>
          <w:rStyle w:val="DecValTok"/>
        </w:rPr>
        <w:t>8</w:t>
      </w:r>
      <w:r>
        <w:rPr>
          <w:rStyle w:val="NormalTok"/>
        </w:rPr>
        <w:t xml:space="preserve">), </w:t>
      </w:r>
      <w:r>
        <w:rPr>
          <w:rStyle w:val="AttributeTok"/>
        </w:rPr>
        <w:t>part =</w:t>
      </w:r>
      <w:r>
        <w:rPr>
          <w:rStyle w:val="NormalTok"/>
        </w:rPr>
        <w:t xml:space="preserve"> </w:t>
      </w:r>
      <w:r>
        <w:rPr>
          <w:rStyle w:val="StringTok"/>
        </w:rPr>
        <w:t>"body"</w:t>
      </w:r>
      <w:r>
        <w:rPr>
          <w:rStyle w:val="NormalTok"/>
        </w:rPr>
        <w:t xml:space="preserve">, </w:t>
      </w:r>
      <w:r>
        <w:rPr>
          <w:rStyle w:val="AttributeTok"/>
        </w:rPr>
        <w:t>border =</w:t>
      </w:r>
      <w:r>
        <w:rPr>
          <w:rStyle w:val="NormalTok"/>
        </w:rPr>
        <w:t xml:space="preserve"> officer</w:t>
      </w:r>
      <w:r>
        <w:rPr>
          <w:rStyle w:val="SpecialCharTok"/>
        </w:rPr>
        <w:t>::</w:t>
      </w:r>
      <w:r>
        <w:rPr>
          <w:rStyle w:val="FunctionTok"/>
        </w:rPr>
        <w:t>fp_border</w:t>
      </w:r>
      <w:r>
        <w:rPr>
          <w:rStyle w:val="NormalTok"/>
        </w:rPr>
        <w:t>(</w:t>
      </w:r>
      <w:r>
        <w:rPr>
          <w:rStyle w:val="AttributeTok"/>
        </w:rPr>
        <w:t>width =</w:t>
      </w:r>
      <w:r>
        <w:rPr>
          <w:rStyle w:val="NormalTok"/>
        </w:rPr>
        <w:t xml:space="preserve"> </w:t>
      </w:r>
      <w:r>
        <w:rPr>
          <w:rStyle w:val="DecValTok"/>
        </w:rPr>
        <w:t>3</w:t>
      </w:r>
      <w:r>
        <w:rPr>
          <w:rStyle w:val="NormalTok"/>
        </w:rPr>
        <w:t xml:space="preserve">, </w:t>
      </w:r>
      <w:r>
        <w:rPr>
          <w:rStyle w:val="AttributeTok"/>
        </w:rPr>
        <w:t>color =</w:t>
      </w:r>
      <w:r>
        <w:rPr>
          <w:rStyle w:val="NormalTok"/>
        </w:rPr>
        <w:t xml:space="preserve"> </w:t>
      </w:r>
      <w:r>
        <w:rPr>
          <w:rStyle w:val="StringTok"/>
        </w:rPr>
        <w:t>'darkblue'</w:t>
      </w:r>
      <w:r>
        <w:rPr>
          <w:rStyle w:val="NormalTok"/>
        </w:rPr>
        <w:t xml:space="preserve">)) </w:t>
      </w:r>
      <w:r>
        <w:rPr>
          <w:rStyle w:val="SpecialCharTok"/>
        </w:rPr>
        <w:t>%&gt;%</w:t>
      </w:r>
      <w:r>
        <w:br/>
      </w:r>
      <w:r>
        <w:rPr>
          <w:rStyle w:val="NormalTok"/>
        </w:rPr>
        <w:t xml:space="preserve">    </w:t>
      </w:r>
      <w:r>
        <w:rPr>
          <w:rStyle w:val="FunctionTok"/>
        </w:rPr>
        <w:t>hline</w:t>
      </w:r>
      <w:r>
        <w:rPr>
          <w:rStyle w:val="NormalTok"/>
        </w:rPr>
        <w:t>(</w:t>
      </w:r>
      <w:r>
        <w:rPr>
          <w:rStyle w:val="AttributeTok"/>
        </w:rPr>
        <w:t>i=</w:t>
      </w:r>
      <w:r>
        <w:rPr>
          <w:rStyle w:val="DecValTok"/>
        </w:rPr>
        <w:t>1</w:t>
      </w:r>
      <w:r>
        <w:rPr>
          <w:rStyle w:val="NormalTok"/>
        </w:rPr>
        <w:t xml:space="preserve">, </w:t>
      </w:r>
      <w:r>
        <w:rPr>
          <w:rStyle w:val="AttributeTok"/>
        </w:rPr>
        <w:t>part =</w:t>
      </w:r>
      <w:r>
        <w:rPr>
          <w:rStyle w:val="NormalTok"/>
        </w:rPr>
        <w:t xml:space="preserve"> </w:t>
      </w:r>
      <w:r>
        <w:rPr>
          <w:rStyle w:val="StringTok"/>
        </w:rPr>
        <w:t>"header"</w:t>
      </w:r>
      <w:r>
        <w:rPr>
          <w:rStyle w:val="NormalTok"/>
        </w:rPr>
        <w:t xml:space="preserve">, </w:t>
      </w:r>
      <w:r>
        <w:rPr>
          <w:rStyle w:val="AttributeTok"/>
        </w:rPr>
        <w:t>border =</w:t>
      </w:r>
      <w:r>
        <w:rPr>
          <w:rStyle w:val="NormalTok"/>
        </w:rPr>
        <w:t xml:space="preserve"> officer</w:t>
      </w:r>
      <w:r>
        <w:rPr>
          <w:rStyle w:val="SpecialCharTok"/>
        </w:rPr>
        <w:t>::</w:t>
      </w:r>
      <w:r>
        <w:rPr>
          <w:rStyle w:val="FunctionTok"/>
        </w:rPr>
        <w:t>fp_border</w:t>
      </w:r>
      <w:r>
        <w:rPr>
          <w:rStyle w:val="NormalTok"/>
        </w:rPr>
        <w:t xml:space="preserve">()) </w:t>
      </w:r>
      <w:r>
        <w:rPr>
          <w:rStyle w:val="SpecialCharTok"/>
        </w:rPr>
        <w:t>%&gt;%</w:t>
      </w:r>
      <w:r>
        <w:br/>
      </w:r>
      <w:r>
        <w:rPr>
          <w:rStyle w:val="NormalTok"/>
        </w:rPr>
        <w:t xml:space="preserve">    </w:t>
      </w:r>
      <w:r>
        <w:rPr>
          <w:rStyle w:val="FunctionTok"/>
        </w:rPr>
        <w:t>vline</w:t>
      </w:r>
      <w:r>
        <w:rPr>
          <w:rStyle w:val="NormalTok"/>
        </w:rPr>
        <w:t>(</w:t>
      </w:r>
      <w:r>
        <w:rPr>
          <w:rStyle w:val="AttributeTok"/>
        </w:rPr>
        <w:t>j=</w:t>
      </w:r>
      <w:r>
        <w:rPr>
          <w:rStyle w:val="DecValTok"/>
        </w:rPr>
        <w:t>1</w:t>
      </w:r>
      <w:r>
        <w:rPr>
          <w:rStyle w:val="NormalTok"/>
        </w:rPr>
        <w:t xml:space="preserve">, </w:t>
      </w:r>
      <w:r>
        <w:rPr>
          <w:rStyle w:val="AttributeTok"/>
        </w:rPr>
        <w:t>part =</w:t>
      </w:r>
      <w:r>
        <w:rPr>
          <w:rStyle w:val="NormalTok"/>
        </w:rPr>
        <w:t xml:space="preserve"> </w:t>
      </w:r>
      <w:r>
        <w:rPr>
          <w:rStyle w:val="StringTok"/>
        </w:rPr>
        <w:t>"body"</w:t>
      </w:r>
      <w:r>
        <w:rPr>
          <w:rStyle w:val="NormalTok"/>
        </w:rPr>
        <w:t xml:space="preserve">, </w:t>
      </w:r>
      <w:r>
        <w:rPr>
          <w:rStyle w:val="AttributeTok"/>
        </w:rPr>
        <w:t>border =</w:t>
      </w:r>
      <w:r>
        <w:rPr>
          <w:rStyle w:val="NormalTok"/>
        </w:rPr>
        <w:t xml:space="preserve"> officer</w:t>
      </w:r>
      <w:r>
        <w:rPr>
          <w:rStyle w:val="SpecialCharTok"/>
        </w:rPr>
        <w:t>::</w:t>
      </w:r>
      <w:r>
        <w:rPr>
          <w:rStyle w:val="FunctionTok"/>
        </w:rPr>
        <w:t>fp_border</w:t>
      </w:r>
      <w:r>
        <w:rPr>
          <w:rStyle w:val="NormalTok"/>
        </w:rPr>
        <w:t xml:space="preserve">()) </w:t>
      </w:r>
      <w:r>
        <w:rPr>
          <w:rStyle w:val="SpecialCharTok"/>
        </w:rPr>
        <w:t>%&gt;%</w:t>
      </w:r>
      <w:r>
        <w:br/>
      </w:r>
      <w:r>
        <w:rPr>
          <w:rStyle w:val="NormalTok"/>
        </w:rPr>
        <w:t xml:space="preserve">    </w:t>
      </w:r>
      <w:r>
        <w:rPr>
          <w:rStyle w:val="FunctionTok"/>
        </w:rPr>
        <w:t>fontsize</w:t>
      </w:r>
      <w:r>
        <w:rPr>
          <w:rStyle w:val="NormalTok"/>
        </w:rPr>
        <w:t>(</w:t>
      </w:r>
      <w:r>
        <w:rPr>
          <w:rStyle w:val="AttributeTok"/>
        </w:rPr>
        <w:t>i =</w:t>
      </w:r>
      <w:r>
        <w:rPr>
          <w:rStyle w:val="NormalTok"/>
        </w:rPr>
        <w:t xml:space="preserve"> </w:t>
      </w:r>
      <w:r>
        <w:rPr>
          <w:rStyle w:val="DecValTok"/>
        </w:rPr>
        <w:t>1</w:t>
      </w:r>
      <w:r>
        <w:rPr>
          <w:rStyle w:val="NormalTok"/>
        </w:rPr>
        <w:t xml:space="preserve">, </w:t>
      </w:r>
      <w:r>
        <w:rPr>
          <w:rStyle w:val="AttributeTok"/>
        </w:rPr>
        <w:t>part =</w:t>
      </w:r>
      <w:r>
        <w:rPr>
          <w:rStyle w:val="NormalTok"/>
        </w:rPr>
        <w:t xml:space="preserve"> </w:t>
      </w:r>
      <w:r>
        <w:rPr>
          <w:rStyle w:val="StringTok"/>
        </w:rPr>
        <w:t>"header"</w:t>
      </w:r>
      <w:r>
        <w:rPr>
          <w:rStyle w:val="NormalTok"/>
        </w:rPr>
        <w:t xml:space="preserve">, </w:t>
      </w:r>
      <w:r>
        <w:rPr>
          <w:rStyle w:val="AttributeTok"/>
        </w:rPr>
        <w:t>size =</w:t>
      </w:r>
      <w:r>
        <w:rPr>
          <w:rStyle w:val="NormalTok"/>
        </w:rPr>
        <w:t xml:space="preserve"> </w:t>
      </w:r>
      <w:r>
        <w:rPr>
          <w:rStyle w:val="DecValTok"/>
        </w:rPr>
        <w:t>12</w:t>
      </w:r>
      <w:r>
        <w:rPr>
          <w:rStyle w:val="NormalTok"/>
        </w:rPr>
        <w:t xml:space="preserve">) </w:t>
      </w:r>
      <w:r>
        <w:rPr>
          <w:rStyle w:val="SpecialCharTok"/>
        </w:rPr>
        <w:t>%&gt;%</w:t>
      </w:r>
      <w:r>
        <w:br/>
      </w:r>
      <w:r>
        <w:rPr>
          <w:rStyle w:val="NormalTok"/>
        </w:rPr>
        <w:t xml:space="preserve">    </w:t>
      </w:r>
      <w:r>
        <w:rPr>
          <w:rStyle w:val="FunctionTok"/>
        </w:rPr>
        <w:t>align</w:t>
      </w:r>
      <w:r>
        <w:rPr>
          <w:rStyle w:val="NormalTok"/>
        </w:rPr>
        <w:t>(</w:t>
      </w:r>
      <w:r>
        <w:rPr>
          <w:rStyle w:val="AttributeTok"/>
        </w:rPr>
        <w:t>align =</w:t>
      </w:r>
      <w:r>
        <w:rPr>
          <w:rStyle w:val="NormalTok"/>
        </w:rPr>
        <w:t xml:space="preserve"> </w:t>
      </w:r>
      <w:r>
        <w:rPr>
          <w:rStyle w:val="StringTok"/>
        </w:rPr>
        <w:t>'center'</w:t>
      </w:r>
      <w:r>
        <w:rPr>
          <w:rStyle w:val="NormalTok"/>
        </w:rPr>
        <w:t xml:space="preserve">, </w:t>
      </w:r>
      <w:r>
        <w:rPr>
          <w:rStyle w:val="AttributeTok"/>
        </w:rPr>
        <w:t>part =</w:t>
      </w:r>
      <w:r>
        <w:rPr>
          <w:rStyle w:val="NormalTok"/>
        </w:rPr>
        <w:t xml:space="preserve"> </w:t>
      </w:r>
      <w:r>
        <w:rPr>
          <w:rStyle w:val="StringTok"/>
        </w:rPr>
        <w:t>'all'</w:t>
      </w:r>
      <w:r>
        <w:rPr>
          <w:rStyle w:val="NormalTok"/>
        </w:rPr>
        <w:t xml:space="preserve">) </w:t>
      </w:r>
      <w:r>
        <w:rPr>
          <w:rStyle w:val="SpecialCharTok"/>
        </w:rPr>
        <w:t>%&gt;%</w:t>
      </w:r>
      <w:r>
        <w:br/>
      </w:r>
      <w:r>
        <w:rPr>
          <w:rStyle w:val="NormalTok"/>
        </w:rPr>
        <w:t xml:space="preserve">    </w:t>
      </w:r>
      <w:r>
        <w:rPr>
          <w:rStyle w:val="CommentTok"/>
        </w:rPr>
        <w:t># align(d'da) %&gt;%</w:t>
      </w:r>
      <w:r>
        <w:br/>
      </w:r>
      <w:r>
        <w:rPr>
          <w:rStyle w:val="NormalTok"/>
        </w:rPr>
        <w:t xml:space="preserve">    </w:t>
      </w:r>
      <w:r>
        <w:rPr>
          <w:rStyle w:val="FunctionTok"/>
        </w:rPr>
        <w:t>colformat_int</w:t>
      </w:r>
      <w:r>
        <w:rPr>
          <w:rStyle w:val="NormalTok"/>
        </w:rPr>
        <w:t>(</w:t>
      </w:r>
      <w:r>
        <w:rPr>
          <w:rStyle w:val="AttributeTok"/>
        </w:rPr>
        <w:t>j =</w:t>
      </w:r>
      <w:r>
        <w:rPr>
          <w:rStyle w:val="NormalTok"/>
        </w:rPr>
        <w:t xml:space="preserve"> </w:t>
      </w:r>
      <w:r>
        <w:rPr>
          <w:rStyle w:val="DecValTok"/>
        </w:rPr>
        <w:t>2</w:t>
      </w:r>
      <w:r>
        <w:rPr>
          <w:rStyle w:val="SpecialCharTok"/>
        </w:rPr>
        <w:t>:</w:t>
      </w:r>
      <w:r>
        <w:rPr>
          <w:rStyle w:val="DecValTok"/>
        </w:rPr>
        <w:t>7</w:t>
      </w:r>
      <w:r>
        <w:rPr>
          <w:rStyle w:val="NormalTok"/>
        </w:rPr>
        <w:t xml:space="preserve">, </w:t>
      </w:r>
      <w:r>
        <w:rPr>
          <w:rStyle w:val="AttributeTok"/>
        </w:rPr>
        <w:t>big.mark =</w:t>
      </w:r>
      <w:r>
        <w:rPr>
          <w:rStyle w:val="NormalTok"/>
        </w:rPr>
        <w:t xml:space="preserve"> </w:t>
      </w:r>
      <w:r>
        <w:rPr>
          <w:rStyle w:val="StringTok"/>
        </w:rPr>
        <w:t>","</w:t>
      </w:r>
      <w:r>
        <w:rPr>
          <w:rStyle w:val="NormalTok"/>
        </w:rPr>
        <w:t xml:space="preserve">) </w:t>
      </w:r>
      <w:r>
        <w:rPr>
          <w:rStyle w:val="SpecialCharTok"/>
        </w:rPr>
        <w:t>%&gt;%</w:t>
      </w:r>
      <w:r>
        <w:br/>
      </w:r>
      <w:r>
        <w:rPr>
          <w:rStyle w:val="NormalTok"/>
        </w:rPr>
        <w:t xml:space="preserve">    </w:t>
      </w:r>
      <w:r>
        <w:rPr>
          <w:rStyle w:val="FunctionTok"/>
        </w:rPr>
        <w:t>autofit</w:t>
      </w:r>
      <w:r>
        <w:rPr>
          <w:rStyle w:val="NormalTok"/>
        </w:rPr>
        <w:t xml:space="preserve">() </w:t>
      </w:r>
      <w:r>
        <w:rPr>
          <w:rStyle w:val="SpecialCharTok"/>
        </w:rPr>
        <w:t>%&gt;%</w:t>
      </w:r>
      <w:r>
        <w:rPr>
          <w:rStyle w:val="NormalTok"/>
        </w:rPr>
        <w:t xml:space="preserve">  </w:t>
      </w:r>
      <w:r>
        <w:br/>
      </w:r>
      <w:r>
        <w:rPr>
          <w:rStyle w:val="NormalTok"/>
        </w:rPr>
        <w:t xml:space="preserve">    </w:t>
      </w:r>
      <w:r>
        <w:rPr>
          <w:rStyle w:val="FunctionTok"/>
        </w:rPr>
        <w:t>fontsize</w:t>
      </w:r>
      <w:r>
        <w:rPr>
          <w:rStyle w:val="NormalTok"/>
        </w:rPr>
        <w:t>(</w:t>
      </w:r>
      <w:r>
        <w:rPr>
          <w:rStyle w:val="AttributeTok"/>
        </w:rPr>
        <w:t>siz</w:t>
      </w:r>
      <w:r>
        <w:rPr>
          <w:rStyle w:val="AttributeTok"/>
        </w:rPr>
        <w:t>e =</w:t>
      </w:r>
      <w:r>
        <w:rPr>
          <w:rStyle w:val="NormalTok"/>
        </w:rPr>
        <w:t xml:space="preserve"> </w:t>
      </w:r>
      <w:r>
        <w:rPr>
          <w:rStyle w:val="DecValTok"/>
        </w:rPr>
        <w:t>12</w:t>
      </w:r>
      <w:r>
        <w:rPr>
          <w:rStyle w:val="NormalTok"/>
        </w:rPr>
        <w:t xml:space="preserve">, </w:t>
      </w:r>
      <w:r>
        <w:rPr>
          <w:rStyle w:val="AttributeTok"/>
        </w:rPr>
        <w:t>part =</w:t>
      </w:r>
      <w:r>
        <w:rPr>
          <w:rStyle w:val="NormalTok"/>
        </w:rPr>
        <w:t xml:space="preserve"> </w:t>
      </w:r>
      <w:r>
        <w:rPr>
          <w:rStyle w:val="StringTok"/>
        </w:rPr>
        <w:t>'body'</w:t>
      </w:r>
      <w:r>
        <w:rPr>
          <w:rStyle w:val="NormalTok"/>
        </w:rPr>
        <w:t xml:space="preserve">) </w:t>
      </w:r>
      <w:r>
        <w:rPr>
          <w:rStyle w:val="SpecialCharTok"/>
        </w:rPr>
        <w:t>%&gt;%</w:t>
      </w:r>
      <w:r>
        <w:br/>
      </w:r>
      <w:r>
        <w:rPr>
          <w:rStyle w:val="NormalTok"/>
        </w:rPr>
        <w:t xml:space="preserve">    </w:t>
      </w:r>
      <w:r>
        <w:rPr>
          <w:rStyle w:val="FunctionTok"/>
        </w:rPr>
        <w:t>fit_to_width</w:t>
      </w:r>
      <w:r>
        <w:rPr>
          <w:rStyle w:val="NormalTok"/>
        </w:rPr>
        <w:t>(</w:t>
      </w:r>
      <w:r>
        <w:rPr>
          <w:rStyle w:val="AttributeTok"/>
        </w:rPr>
        <w:t>max_width =</w:t>
      </w:r>
      <w:r>
        <w:rPr>
          <w:rStyle w:val="NormalTok"/>
        </w:rPr>
        <w:t xml:space="preserve"> </w:t>
      </w:r>
      <w:r>
        <w:rPr>
          <w:rStyle w:val="FloatTok"/>
        </w:rPr>
        <w:t>7.25</w:t>
      </w:r>
      <w:r>
        <w:rPr>
          <w:rStyle w:val="NormalTok"/>
        </w:rPr>
        <w:t xml:space="preserve">) </w:t>
      </w:r>
      <w:r>
        <w:rPr>
          <w:rStyle w:val="SpecialCharTok"/>
        </w:rPr>
        <w:t>%&gt;%</w:t>
      </w:r>
      <w:r>
        <w:br/>
      </w:r>
      <w:r>
        <w:rPr>
          <w:rStyle w:val="NormalTok"/>
        </w:rPr>
        <w:t xml:space="preserve">    </w:t>
      </w:r>
      <w:r>
        <w:rPr>
          <w:rStyle w:val="CommentTok"/>
        </w:rPr>
        <w:t># set_caption(paste0('IIT/SIT Male **Aedes aegypti** Mass Release Production and Costs for a ',                                    Total.Area.ToCntrl.km, ' km^2^ area.  In the table a rate of 1 is equivalent to the production of \u2264 1 million IIT/SIT Cu</w:t>
      </w:r>
      <w:r>
        <w:rPr>
          <w:rStyle w:val="CommentTok"/>
        </w:rPr>
        <w:t>licidae using the default 0.3:1 female biased sex ratio. Rows higlighted in red denote possible flight distances derived from Verdonschot *et al* (2014), and those in blue represent the average distance **A. aegypti** adults fly in a lifetime, derived from</w:t>
      </w:r>
      <w:r>
        <w:rPr>
          <w:rStyle w:val="CommentTok"/>
        </w:rPr>
        <w:t xml:space="preserve"> the World Health Organization (WHO) estimate.')) %&gt;%</w:t>
      </w:r>
      <w:r>
        <w:br/>
      </w:r>
      <w:r>
        <w:rPr>
          <w:rStyle w:val="NormalTok"/>
        </w:rPr>
        <w:t xml:space="preserve">    </w:t>
      </w:r>
      <w:r>
        <w:rPr>
          <w:rStyle w:val="FunctionTok"/>
        </w:rPr>
        <w:t>footnote</w:t>
      </w:r>
      <w:r>
        <w:rPr>
          <w:rStyle w:val="NormalTok"/>
        </w:rPr>
        <w:t>(</w:t>
      </w:r>
      <w:r>
        <w:rPr>
          <w:rStyle w:val="AttributeTok"/>
        </w:rPr>
        <w:t>value =</w:t>
      </w:r>
      <w:r>
        <w:rPr>
          <w:rStyle w:val="NormalTok"/>
        </w:rPr>
        <w:t xml:space="preserve"> </w:t>
      </w:r>
      <w:r>
        <w:rPr>
          <w:rStyle w:val="FunctionTok"/>
        </w:rPr>
        <w:t>as_paragraph</w:t>
      </w:r>
      <w:r>
        <w:rPr>
          <w:rStyle w:val="NormalTok"/>
        </w:rPr>
        <w:t>(</w:t>
      </w:r>
      <w:r>
        <w:rPr>
          <w:rStyle w:val="StringTok"/>
        </w:rPr>
        <w:t>'This does not include mosquito dispersal/application costs.'</w:t>
      </w:r>
      <w:r>
        <w:rPr>
          <w:rStyle w:val="NormalTok"/>
        </w:rPr>
        <w:t xml:space="preserve">), </w:t>
      </w:r>
      <w:r>
        <w:rPr>
          <w:rStyle w:val="AttributeTok"/>
        </w:rPr>
        <w:t>part =</w:t>
      </w:r>
      <w:r>
        <w:rPr>
          <w:rStyle w:val="NormalTok"/>
        </w:rPr>
        <w:t xml:space="preserve"> </w:t>
      </w:r>
      <w:r>
        <w:rPr>
          <w:rStyle w:val="StringTok"/>
        </w:rPr>
        <w:t>'header'</w:t>
      </w:r>
      <w:r>
        <w:rPr>
          <w:rStyle w:val="NormalTok"/>
        </w:rPr>
        <w:t xml:space="preserve">, </w:t>
      </w:r>
      <w:r>
        <w:rPr>
          <w:rStyle w:val="AttributeTok"/>
        </w:rPr>
        <w:t>i =</w:t>
      </w:r>
      <w:r>
        <w:rPr>
          <w:rStyle w:val="NormalTok"/>
        </w:rPr>
        <w:t xml:space="preserve"> </w:t>
      </w:r>
      <w:r>
        <w:rPr>
          <w:rStyle w:val="DecValTok"/>
        </w:rPr>
        <w:t>1</w:t>
      </w:r>
      <w:r>
        <w:rPr>
          <w:rStyle w:val="NormalTok"/>
        </w:rPr>
        <w:t xml:space="preserve">, </w:t>
      </w:r>
      <w:r>
        <w:rPr>
          <w:rStyle w:val="AttributeTok"/>
        </w:rPr>
        <w:t>j =</w:t>
      </w:r>
      <w:r>
        <w:rPr>
          <w:rStyle w:val="NormalTok"/>
        </w:rPr>
        <w:t xml:space="preserve"> </w:t>
      </w:r>
      <w:r>
        <w:rPr>
          <w:rStyle w:val="FunctionTok"/>
        </w:rPr>
        <w:t>c</w:t>
      </w:r>
      <w:r>
        <w:rPr>
          <w:rStyle w:val="NormalTok"/>
        </w:rPr>
        <w:t>(</w:t>
      </w:r>
      <w:r>
        <w:rPr>
          <w:rStyle w:val="DecValTok"/>
        </w:rPr>
        <w:t>6</w:t>
      </w:r>
      <w:r>
        <w:rPr>
          <w:rStyle w:val="NormalTok"/>
        </w:rPr>
        <w:t>),</w:t>
      </w:r>
      <w:r>
        <w:br/>
      </w:r>
      <w:r>
        <w:rPr>
          <w:rStyle w:val="NormalTok"/>
        </w:rPr>
        <w:t xml:space="preserve">             </w:t>
      </w:r>
      <w:r>
        <w:rPr>
          <w:rStyle w:val="AttributeTok"/>
        </w:rPr>
        <w:t>ref_symbols =</w:t>
      </w:r>
      <w:r>
        <w:rPr>
          <w:rStyle w:val="NormalTok"/>
        </w:rPr>
        <w:t xml:space="preserve"> </w:t>
      </w:r>
      <w:r>
        <w:rPr>
          <w:rStyle w:val="FunctionTok"/>
        </w:rPr>
        <w:t>c</w:t>
      </w:r>
      <w:r>
        <w:rPr>
          <w:rStyle w:val="NormalTok"/>
        </w:rPr>
        <w:t>(</w:t>
      </w:r>
      <w:r>
        <w:rPr>
          <w:rStyle w:val="StringTok"/>
        </w:rPr>
        <w:t>'1'</w:t>
      </w:r>
      <w:r>
        <w:rPr>
          <w:rStyle w:val="NormalTok"/>
        </w:rPr>
        <w:t xml:space="preserve">)) </w:t>
      </w:r>
      <w:r>
        <w:rPr>
          <w:rStyle w:val="SpecialCharTok"/>
        </w:rPr>
        <w:t>%&gt;%</w:t>
      </w:r>
      <w:r>
        <w:br/>
      </w:r>
      <w:r>
        <w:rPr>
          <w:rStyle w:val="NormalTok"/>
        </w:rPr>
        <w:t xml:space="preserve">    </w:t>
      </w:r>
      <w:r>
        <w:rPr>
          <w:rStyle w:val="FunctionTok"/>
        </w:rPr>
        <w:t>fontsize</w:t>
      </w:r>
      <w:r>
        <w:rPr>
          <w:rStyle w:val="NormalTok"/>
        </w:rPr>
        <w:t>(</w:t>
      </w:r>
      <w:r>
        <w:rPr>
          <w:rStyle w:val="AttributeTok"/>
        </w:rPr>
        <w:t>part =</w:t>
      </w:r>
      <w:r>
        <w:rPr>
          <w:rStyle w:val="NormalTok"/>
        </w:rPr>
        <w:t xml:space="preserve"> </w:t>
      </w:r>
      <w:r>
        <w:rPr>
          <w:rStyle w:val="StringTok"/>
        </w:rPr>
        <w:t>'footer'</w:t>
      </w:r>
      <w:r>
        <w:rPr>
          <w:rStyle w:val="NormalTok"/>
        </w:rPr>
        <w:t xml:space="preserve">, </w:t>
      </w:r>
      <w:r>
        <w:rPr>
          <w:rStyle w:val="AttributeTok"/>
        </w:rPr>
        <w:t>s</w:t>
      </w:r>
      <w:r>
        <w:rPr>
          <w:rStyle w:val="AttributeTok"/>
        </w:rPr>
        <w:t>ize =</w:t>
      </w:r>
      <w:r>
        <w:rPr>
          <w:rStyle w:val="NormalTok"/>
        </w:rPr>
        <w:t xml:space="preserve"> </w:t>
      </w:r>
      <w:r>
        <w:rPr>
          <w:rStyle w:val="DecValTok"/>
        </w:rPr>
        <w:t>8</w:t>
      </w:r>
      <w:r>
        <w:rPr>
          <w:rStyle w:val="NormalTok"/>
        </w:rPr>
        <w:t xml:space="preserve">) </w:t>
      </w:r>
      <w:r>
        <w:rPr>
          <w:rStyle w:val="SpecialCharTok"/>
        </w:rPr>
        <w:t>%&gt;%</w:t>
      </w:r>
      <w:r>
        <w:br/>
      </w:r>
      <w:r>
        <w:rPr>
          <w:rStyle w:val="NormalTok"/>
        </w:rPr>
        <w:t xml:space="preserve">    </w:t>
      </w:r>
      <w:r>
        <w:rPr>
          <w:rStyle w:val="FunctionTok"/>
        </w:rPr>
        <w:t>italic</w:t>
      </w:r>
      <w:r>
        <w:rPr>
          <w:rStyle w:val="NormalTok"/>
        </w:rPr>
        <w:t>(</w:t>
      </w:r>
      <w:r>
        <w:rPr>
          <w:rStyle w:val="AttributeTok"/>
        </w:rPr>
        <w:t>part =</w:t>
      </w:r>
      <w:r>
        <w:rPr>
          <w:rStyle w:val="NormalTok"/>
        </w:rPr>
        <w:t xml:space="preserve"> </w:t>
      </w:r>
      <w:r>
        <w:rPr>
          <w:rStyle w:val="StringTok"/>
        </w:rPr>
        <w:t>'footer'</w:t>
      </w:r>
      <w:r>
        <w:rPr>
          <w:rStyle w:val="NormalTok"/>
        </w:rPr>
        <w:t xml:space="preserve">, </w:t>
      </w:r>
      <w:r>
        <w:rPr>
          <w:rStyle w:val="AttributeTok"/>
        </w:rPr>
        <w:t>italic =</w:t>
      </w:r>
      <w:r>
        <w:rPr>
          <w:rStyle w:val="NormalTok"/>
        </w:rPr>
        <w:t xml:space="preserve"> T)</w:t>
      </w:r>
      <w:r>
        <w:rPr>
          <w:rStyle w:val="CommentTok"/>
        </w:rPr>
        <w:t>#,</w:t>
      </w:r>
      <w:r>
        <w:br/>
      </w:r>
      <w:r>
        <w:rPr>
          <w:rStyle w:val="NormalTok"/>
        </w:rPr>
        <w:t xml:space="preserve">  </w:t>
      </w:r>
      <w:r>
        <w:br/>
      </w:r>
      <w:r>
        <w:rPr>
          <w:rStyle w:val="NormalTok"/>
        </w:rPr>
        <w:t xml:space="preserve">  </w:t>
      </w:r>
      <w:r>
        <w:rPr>
          <w:rStyle w:val="CommentTok"/>
        </w:rPr>
        <w:t>#  add_footnote(c('Note: Verdonschot, Piet F.M., and Anna A. Besse-Lo</w:t>
      </w:r>
      <w:r>
        <w:rPr>
          <w:rStyle w:val="CommentTok"/>
        </w:rPr>
        <w:lastRenderedPageBreak/>
        <w:t>totskaya. Limnologica 45 (March 2014): 69â79. https://doi.org/10.1016/j.limno.2013.11.002.',</w:t>
      </w:r>
      <w:r>
        <w:br/>
      </w:r>
      <w:r>
        <w:rPr>
          <w:rStyle w:val="NormalTok"/>
        </w:rPr>
        <w:t xml:space="preserve">  </w:t>
      </w:r>
      <w:r>
        <w:rPr>
          <w:rStyle w:val="CommentTok"/>
        </w:rPr>
        <w:t>#                 'Note: World</w:t>
      </w:r>
      <w:r>
        <w:rPr>
          <w:rStyle w:val="CommentTok"/>
        </w:rPr>
        <w:t xml:space="preserve"> Health Organization (WHO) flight distance information (accessed 4/18/2020): https://www.who.int/denguecontrol/mosquito/en/',</w:t>
      </w:r>
      <w:r>
        <w:br/>
      </w:r>
      <w:r>
        <w:rPr>
          <w:rStyle w:val="NormalTok"/>
        </w:rPr>
        <w:t xml:space="preserve">  </w:t>
      </w:r>
      <w:r>
        <w:rPr>
          <w:rStyle w:val="CommentTok"/>
        </w:rPr>
        <w:t>#                 'Note: This does not include mosquito dispersal/application costs.'), notation = 'number')</w:t>
      </w:r>
      <w:r>
        <w:br/>
      </w:r>
      <w:r>
        <w:rPr>
          <w:rStyle w:val="NormalTok"/>
        </w:rPr>
        <w:t xml:space="preserve">  </w:t>
      </w:r>
      <w:r>
        <w:br/>
      </w:r>
      <w:r>
        <w:rPr>
          <w:rStyle w:val="NormalTok"/>
        </w:rPr>
        <w:t xml:space="preserve">  PrCntrlTable</w:t>
      </w:r>
      <w:r>
        <w:br/>
      </w:r>
      <w:r>
        <w:rPr>
          <w:rStyle w:val="NormalTok"/>
        </w:rPr>
        <w:t>}</w:t>
      </w:r>
      <w:r>
        <w:br/>
      </w:r>
      <w:r>
        <w:rPr>
          <w:rStyle w:val="FunctionTok"/>
        </w:rPr>
        <w:t>Aed_CostEst</w:t>
      </w:r>
      <w:r>
        <w:rPr>
          <w:rStyle w:val="NormalTok"/>
        </w:rPr>
        <w:t>(</w:t>
      </w:r>
      <w:r>
        <w:rPr>
          <w:rStyle w:val="AttributeTok"/>
        </w:rPr>
        <w:t>FemalePercent =</w:t>
      </w:r>
      <w:r>
        <w:rPr>
          <w:rStyle w:val="NormalTok"/>
        </w:rPr>
        <w:t xml:space="preserve"> </w:t>
      </w:r>
      <w:r>
        <w:rPr>
          <w:rStyle w:val="DecValTok"/>
        </w:rPr>
        <w:t>70</w:t>
      </w:r>
      <w:r>
        <w:rPr>
          <w:rStyle w:val="NormalTok"/>
        </w:rPr>
        <w:t xml:space="preserve">, </w:t>
      </w:r>
      <w:r>
        <w:rPr>
          <w:rStyle w:val="AttributeTok"/>
        </w:rPr>
        <w:t>Overflooding_Multiplier =</w:t>
      </w:r>
      <w:r>
        <w:rPr>
          <w:rStyle w:val="NormalTok"/>
        </w:rPr>
        <w:t xml:space="preserve"> </w:t>
      </w:r>
      <w:r>
        <w:rPr>
          <w:rStyle w:val="DecValTok"/>
        </w:rPr>
        <w:t>10</w:t>
      </w:r>
      <w:r>
        <w:rPr>
          <w:rStyle w:val="NormalTok"/>
        </w:rPr>
        <w:t xml:space="preserve">, </w:t>
      </w:r>
      <w:r>
        <w:rPr>
          <w:rStyle w:val="AttributeTok"/>
        </w:rPr>
        <w:t>Area =</w:t>
      </w:r>
      <w:r>
        <w:rPr>
          <w:rStyle w:val="NormalTok"/>
        </w:rPr>
        <w:t xml:space="preserve"> </w:t>
      </w:r>
      <w:r>
        <w:rPr>
          <w:rStyle w:val="DecValTok"/>
        </w:rPr>
        <w:t>1000</w:t>
      </w:r>
      <w:r>
        <w:rPr>
          <w:rStyle w:val="NormalTok"/>
        </w:rPr>
        <w:t xml:space="preserve">, </w:t>
      </w:r>
      <w:r>
        <w:rPr>
          <w:rStyle w:val="AttributeTok"/>
        </w:rPr>
        <w:t>LaboratorySpace =</w:t>
      </w:r>
      <w:r>
        <w:rPr>
          <w:rStyle w:val="NormalTok"/>
        </w:rPr>
        <w:t xml:space="preserve"> LaboratorySpaceA)</w:t>
      </w:r>
      <w:bookmarkEnd w:id="22"/>
      <w:bookmarkEnd w:id="24"/>
    </w:p>
    <w:sectPr w:rsidR="00BA146B" w:rsidSect="00960514">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lnNumType w:countBy="1" w:restart="continuous"/>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4067" w:rsidRDefault="00B04067">
      <w:pPr>
        <w:spacing w:line="240" w:lineRule="auto"/>
      </w:pPr>
      <w:r>
        <w:separator/>
      </w:r>
    </w:p>
  </w:endnote>
  <w:endnote w:type="continuationSeparator" w:id="0">
    <w:p w:rsidR="00B04067" w:rsidRDefault="00B040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2458" w:rsidRDefault="00B040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9490174"/>
      <w:docPartObj>
        <w:docPartGallery w:val="Page Numbers (Bottom of Page)"/>
        <w:docPartUnique/>
      </w:docPartObj>
    </w:sdtPr>
    <w:sdtEndPr>
      <w:rPr>
        <w:noProof/>
      </w:rPr>
    </w:sdtEndPr>
    <w:sdtContent>
      <w:p w:rsidR="00952713" w:rsidRDefault="00B04067">
        <w:pPr>
          <w:pStyle w:val="Footer"/>
          <w:jc w:val="right"/>
        </w:pPr>
        <w:r>
          <w:fldChar w:fldCharType="begin"/>
        </w:r>
        <w:r>
          <w:instrText xml:space="preserve"> PAGE   \* MERGEFORMAT </w:instrText>
        </w:r>
        <w:r>
          <w:fldChar w:fldCharType="separate"/>
        </w:r>
        <w:r w:rsidR="00DA423F">
          <w:rPr>
            <w:noProof/>
          </w:rPr>
          <w:t>2</w:t>
        </w:r>
        <w:r>
          <w:rPr>
            <w:noProof/>
          </w:rPr>
          <w:fldChar w:fldCharType="end"/>
        </w:r>
      </w:p>
    </w:sdtContent>
  </w:sdt>
  <w:p w:rsidR="00952713" w:rsidRDefault="00B040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2458" w:rsidRDefault="00B040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4067" w:rsidRDefault="00B04067">
      <w:r>
        <w:separator/>
      </w:r>
    </w:p>
  </w:footnote>
  <w:footnote w:type="continuationSeparator" w:id="0">
    <w:p w:rsidR="00B04067" w:rsidRDefault="00B040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2458" w:rsidRDefault="00B040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2458" w:rsidRDefault="00B040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5390800"/>
      <w:docPartObj>
        <w:docPartGallery w:val="Watermarks"/>
        <w:docPartUnique/>
      </w:docPartObj>
    </w:sdtPr>
    <w:sdtEndPr/>
    <w:sdtContent>
      <w:p w:rsidR="00DF2458" w:rsidRDefault="00B0406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3073"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604EF93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FFFFF7C"/>
    <w:multiLevelType w:val="singleLevel"/>
    <w:tmpl w:val="7960C982"/>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E75C3ECE"/>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7ED41444"/>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D48470E8"/>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214A8E8A"/>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C2A47F32"/>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17B6DEC4"/>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E1EA51C6"/>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B2234AA"/>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FDB472E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82775B"/>
    <w:multiLevelType w:val="multilevel"/>
    <w:tmpl w:val="55842E6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17EA7BA9"/>
    <w:multiLevelType w:val="multilevel"/>
    <w:tmpl w:val="DC82269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3" w15:restartNumberingAfterBreak="0">
    <w:nsid w:val="2C1AE401"/>
    <w:multiLevelType w:val="multilevel"/>
    <w:tmpl w:val="2D4630F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0"/>
  </w:num>
  <w:num w:numId="2">
    <w:abstractNumId w:val="12"/>
  </w:num>
  <w:num w:numId="3">
    <w:abstractNumId w:val="11"/>
  </w:num>
  <w:num w:numId="4">
    <w:abstractNumId w:val="11"/>
  </w:num>
  <w:num w:numId="5">
    <w:abstractNumId w:val="11"/>
  </w:num>
  <w:num w:numId="6">
    <w:abstractNumId w:val="11"/>
  </w:num>
  <w:num w:numId="7">
    <w:abstractNumId w:val="11"/>
  </w:num>
  <w:num w:numId="8">
    <w:abstractNumId w:val="11"/>
  </w:num>
  <w:num w:numId="9">
    <w:abstractNumId w:val="11"/>
  </w:num>
  <w:num w:numId="10">
    <w:abstractNumId w:val="11"/>
  </w:num>
  <w:num w:numId="11">
    <w:abstractNumId w:val="11"/>
  </w:num>
  <w:num w:numId="12">
    <w:abstractNumId w:val="11"/>
  </w:num>
  <w:num w:numId="13">
    <w:abstractNumId w:val="11"/>
  </w:num>
  <w:num w:numId="14">
    <w:abstractNumId w:val="11"/>
  </w:num>
  <w:num w:numId="15">
    <w:abstractNumId w:val="11"/>
  </w:num>
  <w:num w:numId="16">
    <w:abstractNumId w:val="11"/>
  </w:num>
  <w:num w:numId="17">
    <w:abstractNumId w:val="11"/>
  </w:num>
  <w:num w:numId="18">
    <w:abstractNumId w:val="11"/>
  </w:num>
  <w:num w:numId="19">
    <w:abstractNumId w:val="11"/>
  </w:num>
  <w:num w:numId="20">
    <w:abstractNumId w:val="11"/>
  </w:num>
  <w:num w:numId="21">
    <w:abstractNumId w:val="11"/>
  </w:num>
  <w:num w:numId="22">
    <w:abstractNumId w:val="11"/>
  </w:num>
  <w:num w:numId="23">
    <w:abstractNumId w:val="11"/>
  </w:num>
  <w:num w:numId="24">
    <w:abstractNumId w:val="11"/>
  </w:num>
  <w:num w:numId="25">
    <w:abstractNumId w:val="11"/>
  </w:num>
  <w:num w:numId="26">
    <w:abstractNumId w:val="11"/>
  </w:num>
  <w:num w:numId="27">
    <w:abstractNumId w:val="11"/>
  </w:num>
  <w:num w:numId="28">
    <w:abstractNumId w:val="11"/>
  </w:num>
  <w:num w:numId="29">
    <w:abstractNumId w:val="11"/>
  </w:num>
  <w:num w:numId="30">
    <w:abstractNumId w:val="11"/>
  </w:num>
  <w:num w:numId="31">
    <w:abstractNumId w:val="11"/>
  </w:num>
  <w:num w:numId="32">
    <w:abstractNumId w:val="11"/>
  </w:num>
  <w:num w:numId="33">
    <w:abstractNumId w:val="13"/>
  </w:num>
  <w:num w:numId="34">
    <w:abstractNumId w:val="13"/>
  </w:num>
  <w:num w:numId="35">
    <w:abstractNumId w:val="10"/>
  </w:num>
  <w:num w:numId="36">
    <w:abstractNumId w:val="8"/>
  </w:num>
  <w:num w:numId="37">
    <w:abstractNumId w:val="7"/>
  </w:num>
  <w:num w:numId="38">
    <w:abstractNumId w:val="6"/>
  </w:num>
  <w:num w:numId="39">
    <w:abstractNumId w:val="5"/>
  </w:num>
  <w:num w:numId="40">
    <w:abstractNumId w:val="9"/>
  </w:num>
  <w:num w:numId="41">
    <w:abstractNumId w:val="4"/>
  </w:num>
  <w:num w:numId="42">
    <w:abstractNumId w:val="3"/>
  </w:num>
  <w:num w:numId="43">
    <w:abstractNumId w:val="2"/>
  </w:num>
  <w:num w:numId="44">
    <w:abstractNumId w:val="1"/>
  </w:num>
  <w:num w:numId="4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3074"/>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2"/>
  </w:compat>
  <w:rsids>
    <w:rsidRoot w:val="00590D07"/>
    <w:rsid w:val="00011C8B"/>
    <w:rsid w:val="004E29B3"/>
    <w:rsid w:val="00590D07"/>
    <w:rsid w:val="00784D58"/>
    <w:rsid w:val="008D6863"/>
    <w:rsid w:val="00B04067"/>
    <w:rsid w:val="00B86B75"/>
    <w:rsid w:val="00BA146B"/>
    <w:rsid w:val="00BC48D5"/>
    <w:rsid w:val="00C36279"/>
    <w:rsid w:val="00DA423F"/>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2B35013F"/>
  <w15:docId w15:val="{3729B74C-DD53-426E-9944-EE20EF152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60D1"/>
    <w:pPr>
      <w:spacing w:after="0" w:line="360" w:lineRule="auto"/>
    </w:pPr>
    <w:rPr>
      <w:rFonts w:ascii="Times New Roman" w:hAnsi="Times New Roman"/>
      <w:sz w:val="24"/>
    </w:rPr>
  </w:style>
  <w:style w:type="paragraph" w:styleId="Heading1">
    <w:name w:val="heading 1"/>
    <w:basedOn w:val="Normal"/>
    <w:next w:val="Normal"/>
    <w:link w:val="Heading1Char"/>
    <w:autoRedefine/>
    <w:uiPriority w:val="9"/>
    <w:qFormat/>
    <w:rsid w:val="00F47B9E"/>
    <w:pPr>
      <w:keepNext/>
      <w:keepLines/>
      <w:spacing w:before="360" w:line="240" w:lineRule="auto"/>
      <w:outlineLvl w:val="0"/>
    </w:pPr>
    <w:rPr>
      <w:rFonts w:eastAsiaTheme="majorEastAsia" w:cstheme="majorBidi"/>
      <w:b/>
      <w:bCs/>
      <w:color w:val="000000" w:themeColor="text1"/>
      <w:szCs w:val="36"/>
    </w:rPr>
  </w:style>
  <w:style w:type="paragraph" w:styleId="Heading2">
    <w:name w:val="heading 2"/>
    <w:basedOn w:val="Normal"/>
    <w:next w:val="Normal"/>
    <w:link w:val="Heading2Char"/>
    <w:uiPriority w:val="9"/>
    <w:unhideWhenUsed/>
    <w:qFormat/>
    <w:rsid w:val="00DF60A9"/>
    <w:pPr>
      <w:keepNext/>
      <w:keepLines/>
      <w:spacing w:before="360" w:line="240" w:lineRule="auto"/>
      <w:ind w:left="720"/>
      <w:outlineLvl w:val="1"/>
    </w:pPr>
    <w:rPr>
      <w:rFonts w:eastAsiaTheme="majorEastAsia" w:cstheme="majorBidi"/>
      <w:b/>
      <w:bCs/>
      <w:color w:val="000000" w:themeColor="text1"/>
      <w:szCs w:val="28"/>
    </w:rPr>
  </w:style>
  <w:style w:type="paragraph" w:styleId="Heading3">
    <w:name w:val="heading 3"/>
    <w:basedOn w:val="Normal"/>
    <w:next w:val="Normal"/>
    <w:link w:val="Heading3Char"/>
    <w:uiPriority w:val="9"/>
    <w:unhideWhenUsed/>
    <w:qFormat/>
    <w:rsid w:val="00562C33"/>
    <w:pPr>
      <w:keepNext/>
      <w:keepLines/>
      <w:spacing w:before="200"/>
      <w:outlineLvl w:val="2"/>
    </w:pPr>
    <w:rPr>
      <w:rFonts w:eastAsiaTheme="majorEastAsia" w:cstheme="majorBidi"/>
      <w:bCs/>
      <w:i/>
      <w:color w:val="000000" w:themeColor="text1"/>
    </w:rPr>
  </w:style>
  <w:style w:type="paragraph" w:styleId="Heading4">
    <w:name w:val="heading 4"/>
    <w:basedOn w:val="Normal"/>
    <w:next w:val="Normal"/>
    <w:link w:val="Heading4Char"/>
    <w:uiPriority w:val="9"/>
    <w:unhideWhenUsed/>
    <w:qFormat/>
    <w:rsid w:val="00D11F18"/>
    <w:pPr>
      <w:keepNext/>
      <w:keepLines/>
      <w:spacing w:before="20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unhideWhenUsed/>
    <w:qFormat/>
    <w:rsid w:val="00E15113"/>
    <w:pPr>
      <w:keepNext/>
      <w:keepLines/>
      <w:numPr>
        <w:ilvl w:val="4"/>
        <w:numId w:val="32"/>
      </w:numPr>
      <w:spacing w:before="200"/>
      <w:outlineLvl w:val="4"/>
    </w:pPr>
    <w:rPr>
      <w:rFonts w:asciiTheme="majorHAnsi" w:eastAsiaTheme="majorEastAsia" w:hAnsiTheme="majorHAnsi" w:cstheme="majorBidi"/>
      <w:color w:val="0D0E10" w:themeColor="text2" w:themeShade="BF"/>
    </w:rPr>
  </w:style>
  <w:style w:type="paragraph" w:styleId="Heading6">
    <w:name w:val="heading 6"/>
    <w:basedOn w:val="Normal"/>
    <w:next w:val="Normal"/>
    <w:link w:val="Heading6Char"/>
    <w:uiPriority w:val="9"/>
    <w:unhideWhenUsed/>
    <w:qFormat/>
    <w:rsid w:val="00E15113"/>
    <w:pPr>
      <w:keepNext/>
      <w:keepLines/>
      <w:numPr>
        <w:ilvl w:val="5"/>
        <w:numId w:val="32"/>
      </w:numPr>
      <w:spacing w:before="200"/>
      <w:outlineLvl w:val="5"/>
    </w:pPr>
    <w:rPr>
      <w:rFonts w:asciiTheme="majorHAnsi" w:eastAsiaTheme="majorEastAsia" w:hAnsiTheme="majorHAnsi" w:cstheme="majorBidi"/>
      <w:i/>
      <w:iCs/>
      <w:color w:val="0D0E10" w:themeColor="text2" w:themeShade="BF"/>
    </w:rPr>
  </w:style>
  <w:style w:type="paragraph" w:styleId="Heading7">
    <w:name w:val="heading 7"/>
    <w:basedOn w:val="Normal"/>
    <w:next w:val="Normal"/>
    <w:link w:val="Heading7Char"/>
    <w:uiPriority w:val="9"/>
    <w:unhideWhenUsed/>
    <w:qFormat/>
    <w:rsid w:val="00E15113"/>
    <w:pPr>
      <w:keepNext/>
      <w:keepLines/>
      <w:numPr>
        <w:ilvl w:val="6"/>
        <w:numId w:val="3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E15113"/>
    <w:pPr>
      <w:keepNext/>
      <w:keepLines/>
      <w:numPr>
        <w:ilvl w:val="7"/>
        <w:numId w:val="3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qFormat/>
    <w:rsid w:val="00E15113"/>
    <w:pPr>
      <w:keepNext/>
      <w:keepLines/>
      <w:numPr>
        <w:ilvl w:val="8"/>
        <w:numId w:val="3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spacing w:before="180" w:after="180"/>
    </w:pPr>
  </w:style>
  <w:style w:type="paragraph" w:customStyle="1" w:styleId="FirstParagraph">
    <w:name w:val="First Paragraph"/>
    <w:basedOn w:val="BodyText"/>
    <w:next w:val="BodyText"/>
  </w:style>
  <w:style w:type="paragraph" w:customStyle="1" w:styleId="Compact">
    <w:name w:val="Compact"/>
    <w:basedOn w:val="BodyText"/>
    <w:pPr>
      <w:spacing w:before="36" w:after="36"/>
    </w:pPr>
  </w:style>
  <w:style w:type="paragraph" w:styleId="Title">
    <w:name w:val="Title"/>
    <w:basedOn w:val="Normal"/>
    <w:next w:val="Normal"/>
    <w:link w:val="TitleChar"/>
    <w:uiPriority w:val="10"/>
    <w:qFormat/>
    <w:rsid w:val="004455EB"/>
    <w:pPr>
      <w:framePr w:wrap="around" w:vAnchor="text" w:hAnchor="text" w:y="1"/>
      <w:contextualSpacing/>
    </w:pPr>
    <w:rPr>
      <w:rFonts w:eastAsiaTheme="majorEastAsia" w:cstheme="majorBidi"/>
      <w:b/>
      <w:color w:val="000000" w:themeColor="text1"/>
      <w:sz w:val="28"/>
      <w:szCs w:val="56"/>
    </w:rPr>
  </w:style>
  <w:style w:type="paragraph" w:styleId="Subtitle">
    <w:name w:val="Subtitle"/>
    <w:basedOn w:val="Normal"/>
    <w:next w:val="Normal"/>
    <w:link w:val="SubtitleChar"/>
    <w:uiPriority w:val="11"/>
    <w:qFormat/>
    <w:rsid w:val="00396F80"/>
    <w:pPr>
      <w:numPr>
        <w:ilvl w:val="1"/>
      </w:numPr>
    </w:pPr>
    <w:rPr>
      <w:color w:val="5A5A5A" w:themeColor="text1" w:themeTint="A5"/>
      <w:spacing w:val="10"/>
    </w:rPr>
  </w:style>
  <w:style w:type="paragraph" w:customStyle="1" w:styleId="Author">
    <w:name w:val="Author"/>
    <w:next w:val="BodyText"/>
    <w:rsid w:val="00FB24C3"/>
    <w:pPr>
      <w:keepNext/>
      <w:keepLines/>
      <w:spacing w:after="0" w:line="240" w:lineRule="auto"/>
    </w:pPr>
    <w:rPr>
      <w:rFonts w:ascii="Times New Roman" w:hAnsi="Times New Roman"/>
      <w:sz w:val="24"/>
      <w:szCs w:val="24"/>
    </w:rPr>
  </w:style>
  <w:style w:type="paragraph" w:styleId="Date">
    <w:name w:val="Date"/>
    <w:next w:val="BodyText"/>
    <w:rsid w:val="00471DA8"/>
    <w:pPr>
      <w:keepNext/>
      <w:keepLines/>
      <w:spacing w:after="0" w:line="240" w:lineRule="auto"/>
    </w:pPr>
    <w:rPr>
      <w:sz w:val="24"/>
      <w:szCs w:val="24"/>
    </w:rPr>
  </w:style>
  <w:style w:type="paragraph" w:customStyle="1" w:styleId="Abstract">
    <w:name w:val="Abstract"/>
    <w:basedOn w:val="Normal"/>
    <w:next w:val="BodyText"/>
    <w:pPr>
      <w:keepNext/>
      <w:keepLines/>
      <w:spacing w:before="300" w:after="300"/>
    </w:pPr>
    <w:rPr>
      <w:sz w:val="20"/>
      <w:szCs w:val="20"/>
    </w:rPr>
  </w:style>
  <w:style w:type="paragraph" w:styleId="Bibliography">
    <w:name w:val="Bibliography"/>
    <w:basedOn w:val="Normal"/>
    <w:rsid w:val="00C87128"/>
    <w:pPr>
      <w:ind w:left="720" w:hanging="720"/>
    </w:pPr>
    <w:rPr>
      <w:szCs w:val="20"/>
    </w:rPr>
  </w:style>
  <w:style w:type="paragraph" w:styleId="BlockText">
    <w:name w:val="Block Text"/>
    <w:basedOn w:val="BodyText"/>
    <w:next w:val="BodyText"/>
    <w:uiPriority w:val="9"/>
    <w:unhideWhenUsed/>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style>
  <w:style w:type="paragraph" w:customStyle="1" w:styleId="DefinitionTerm">
    <w:name w:val="Definition Term"/>
    <w:basedOn w:val="Normal"/>
    <w:next w:val="Definition"/>
    <w:pPr>
      <w:keepNext/>
      <w:keepLines/>
    </w:pPr>
    <w:rPr>
      <w:b/>
    </w:rPr>
  </w:style>
  <w:style w:type="paragraph" w:customStyle="1" w:styleId="Definition">
    <w:name w:val="Definition"/>
    <w:basedOn w:val="Normal"/>
  </w:style>
  <w:style w:type="paragraph" w:styleId="Caption">
    <w:name w:val="caption"/>
    <w:basedOn w:val="Normal"/>
    <w:next w:val="Normal"/>
    <w:link w:val="CaptionChar"/>
    <w:uiPriority w:val="35"/>
    <w:unhideWhenUsed/>
    <w:qFormat/>
    <w:rsid w:val="00D960D1"/>
    <w:pPr>
      <w:spacing w:after="200"/>
    </w:pPr>
    <w:rPr>
      <w:iCs/>
      <w:color w:val="121316" w:themeColor="text2"/>
      <w:szCs w:val="18"/>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CaptionChar">
    <w:name w:val="Caption Char"/>
    <w:basedOn w:val="DefaultParagraphFont"/>
    <w:link w:val="Caption"/>
    <w:uiPriority w:val="35"/>
    <w:rsid w:val="00D960D1"/>
    <w:rPr>
      <w:rFonts w:ascii="Times New Roman" w:hAnsi="Times New Roman"/>
      <w:iCs/>
      <w:color w:val="121316" w:themeColor="text2"/>
      <w:sz w:val="24"/>
      <w:szCs w:val="18"/>
    </w:rPr>
  </w:style>
  <w:style w:type="character" w:customStyle="1" w:styleId="VerbatimChar">
    <w:name w:val="Verbatim Char"/>
    <w:basedOn w:val="CaptionChar"/>
    <w:link w:val="SourceCode"/>
    <w:rPr>
      <w:rFonts w:ascii="Consolas" w:hAnsi="Consolas"/>
      <w:b w:val="0"/>
      <w:bCs w:val="0"/>
      <w:i w:val="0"/>
      <w:iCs/>
      <w:color w:val="121316" w:themeColor="text2"/>
      <w:spacing w:val="10"/>
      <w:sz w:val="22"/>
      <w:szCs w:val="18"/>
    </w:rPr>
  </w:style>
  <w:style w:type="character" w:styleId="FootnoteReference">
    <w:name w:val="footnote reference"/>
    <w:basedOn w:val="CaptionChar"/>
    <w:rPr>
      <w:rFonts w:ascii="Times New Roman" w:hAnsi="Times New Roman"/>
      <w:b w:val="0"/>
      <w:bCs w:val="0"/>
      <w:i w:val="0"/>
      <w:iCs/>
      <w:color w:val="121316" w:themeColor="text2"/>
      <w:spacing w:val="10"/>
      <w:sz w:val="18"/>
      <w:szCs w:val="18"/>
      <w:vertAlign w:val="superscript"/>
    </w:rPr>
  </w:style>
  <w:style w:type="character" w:styleId="Hyperlink">
    <w:name w:val="Hyperlink"/>
    <w:basedOn w:val="CaptionChar"/>
    <w:uiPriority w:val="99"/>
    <w:rsid w:val="00C87128"/>
    <w:rPr>
      <w:rFonts w:ascii="Times New Roman" w:hAnsi="Times New Roman"/>
      <w:b w:val="0"/>
      <w:bCs w:val="0"/>
      <w:i w:val="0"/>
      <w:iCs/>
      <w:color w:val="606372" w:themeColor="accent1"/>
      <w:spacing w:val="10"/>
      <w:sz w:val="24"/>
      <w:szCs w:val="18"/>
    </w:rPr>
  </w:style>
  <w:style w:type="paragraph" w:styleId="TOCHeading">
    <w:name w:val="TOC Heading"/>
    <w:basedOn w:val="Heading1"/>
    <w:next w:val="Normal"/>
    <w:uiPriority w:val="39"/>
    <w:unhideWhenUsed/>
    <w:qFormat/>
    <w:rsid w:val="00E15113"/>
    <w:pPr>
      <w:outlineLvl w:val="9"/>
    </w:p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bCs w:val="0"/>
      <w:i w:val="0"/>
      <w:iCs/>
      <w:color w:val="204A87"/>
      <w:spacing w:val="10"/>
      <w:sz w:val="22"/>
      <w:szCs w:val="18"/>
      <w:shd w:val="clear" w:color="auto" w:fill="F8F8F8"/>
    </w:rPr>
  </w:style>
  <w:style w:type="character" w:customStyle="1" w:styleId="DataTypeTok">
    <w:name w:val="DataTypeTok"/>
    <w:basedOn w:val="VerbatimChar"/>
    <w:rPr>
      <w:rFonts w:ascii="Consolas" w:hAnsi="Consolas"/>
      <w:b w:val="0"/>
      <w:bCs w:val="0"/>
      <w:i w:val="0"/>
      <w:iCs/>
      <w:color w:val="204A87"/>
      <w:spacing w:val="10"/>
      <w:sz w:val="22"/>
      <w:szCs w:val="18"/>
      <w:shd w:val="clear" w:color="auto" w:fill="F8F8F8"/>
    </w:rPr>
  </w:style>
  <w:style w:type="character" w:customStyle="1" w:styleId="DecValTok">
    <w:name w:val="DecValTok"/>
    <w:basedOn w:val="VerbatimChar"/>
    <w:rPr>
      <w:rFonts w:ascii="Consolas" w:hAnsi="Consolas"/>
      <w:b w:val="0"/>
      <w:bCs w:val="0"/>
      <w:i w:val="0"/>
      <w:iCs/>
      <w:color w:val="0000CF"/>
      <w:spacing w:val="10"/>
      <w:sz w:val="22"/>
      <w:szCs w:val="18"/>
      <w:shd w:val="clear" w:color="auto" w:fill="F8F8F8"/>
    </w:rPr>
  </w:style>
  <w:style w:type="character" w:customStyle="1" w:styleId="BaseNTok">
    <w:name w:val="BaseNTok"/>
    <w:basedOn w:val="VerbatimChar"/>
    <w:rPr>
      <w:rFonts w:ascii="Consolas" w:hAnsi="Consolas"/>
      <w:b w:val="0"/>
      <w:bCs w:val="0"/>
      <w:i w:val="0"/>
      <w:iCs/>
      <w:color w:val="0000CF"/>
      <w:spacing w:val="10"/>
      <w:sz w:val="22"/>
      <w:szCs w:val="18"/>
      <w:shd w:val="clear" w:color="auto" w:fill="F8F8F8"/>
    </w:rPr>
  </w:style>
  <w:style w:type="character" w:customStyle="1" w:styleId="FloatTok">
    <w:name w:val="FloatTok"/>
    <w:basedOn w:val="VerbatimChar"/>
    <w:rPr>
      <w:rFonts w:ascii="Consolas" w:hAnsi="Consolas"/>
      <w:b w:val="0"/>
      <w:bCs w:val="0"/>
      <w:i w:val="0"/>
      <w:iCs/>
      <w:color w:val="0000CF"/>
      <w:spacing w:val="10"/>
      <w:sz w:val="22"/>
      <w:szCs w:val="18"/>
      <w:shd w:val="clear" w:color="auto" w:fill="F8F8F8"/>
    </w:rPr>
  </w:style>
  <w:style w:type="character" w:customStyle="1" w:styleId="ConstantTok">
    <w:name w:val="ConstantTok"/>
    <w:basedOn w:val="VerbatimChar"/>
    <w:rPr>
      <w:rFonts w:ascii="Consolas" w:hAnsi="Consolas"/>
      <w:b w:val="0"/>
      <w:bCs w:val="0"/>
      <w:i w:val="0"/>
      <w:iCs/>
      <w:color w:val="000000"/>
      <w:spacing w:val="10"/>
      <w:sz w:val="22"/>
      <w:szCs w:val="18"/>
      <w:shd w:val="clear" w:color="auto" w:fill="F8F8F8"/>
    </w:rPr>
  </w:style>
  <w:style w:type="character" w:customStyle="1" w:styleId="CharTok">
    <w:name w:val="CharTok"/>
    <w:basedOn w:val="VerbatimChar"/>
    <w:rPr>
      <w:rFonts w:ascii="Consolas" w:hAnsi="Consolas"/>
      <w:b w:val="0"/>
      <w:bCs w:val="0"/>
      <w:i w:val="0"/>
      <w:iCs/>
      <w:color w:val="4E9A06"/>
      <w:spacing w:val="10"/>
      <w:sz w:val="22"/>
      <w:szCs w:val="18"/>
      <w:shd w:val="clear" w:color="auto" w:fill="F8F8F8"/>
    </w:rPr>
  </w:style>
  <w:style w:type="character" w:customStyle="1" w:styleId="SpecialCharTok">
    <w:name w:val="SpecialCharTok"/>
    <w:basedOn w:val="VerbatimChar"/>
    <w:rPr>
      <w:rFonts w:ascii="Consolas" w:hAnsi="Consolas"/>
      <w:b w:val="0"/>
      <w:bCs w:val="0"/>
      <w:i w:val="0"/>
      <w:iCs/>
      <w:color w:val="000000"/>
      <w:spacing w:val="10"/>
      <w:sz w:val="22"/>
      <w:szCs w:val="18"/>
      <w:shd w:val="clear" w:color="auto" w:fill="F8F8F8"/>
    </w:rPr>
  </w:style>
  <w:style w:type="character" w:customStyle="1" w:styleId="StringTok">
    <w:name w:val="StringTok"/>
    <w:basedOn w:val="VerbatimChar"/>
    <w:rPr>
      <w:rFonts w:ascii="Consolas" w:hAnsi="Consolas"/>
      <w:b w:val="0"/>
      <w:bCs w:val="0"/>
      <w:i w:val="0"/>
      <w:iCs/>
      <w:color w:val="4E9A06"/>
      <w:spacing w:val="10"/>
      <w:sz w:val="22"/>
      <w:szCs w:val="18"/>
      <w:shd w:val="clear" w:color="auto" w:fill="F8F8F8"/>
    </w:rPr>
  </w:style>
  <w:style w:type="character" w:customStyle="1" w:styleId="VerbatimStringTok">
    <w:name w:val="VerbatimStringTok"/>
    <w:basedOn w:val="VerbatimChar"/>
    <w:rPr>
      <w:rFonts w:ascii="Consolas" w:hAnsi="Consolas"/>
      <w:b w:val="0"/>
      <w:bCs w:val="0"/>
      <w:i w:val="0"/>
      <w:iCs/>
      <w:color w:val="4E9A06"/>
      <w:spacing w:val="10"/>
      <w:sz w:val="22"/>
      <w:szCs w:val="18"/>
      <w:shd w:val="clear" w:color="auto" w:fill="F8F8F8"/>
    </w:rPr>
  </w:style>
  <w:style w:type="character" w:customStyle="1" w:styleId="SpecialStringTok">
    <w:name w:val="SpecialStringTok"/>
    <w:basedOn w:val="VerbatimChar"/>
    <w:rPr>
      <w:rFonts w:ascii="Consolas" w:hAnsi="Consolas"/>
      <w:b w:val="0"/>
      <w:bCs w:val="0"/>
      <w:i w:val="0"/>
      <w:iCs/>
      <w:color w:val="4E9A06"/>
      <w:spacing w:val="10"/>
      <w:sz w:val="22"/>
      <w:szCs w:val="18"/>
      <w:shd w:val="clear" w:color="auto" w:fill="F8F8F8"/>
    </w:rPr>
  </w:style>
  <w:style w:type="character" w:customStyle="1" w:styleId="ImportTok">
    <w:name w:val="ImportTok"/>
    <w:basedOn w:val="VerbatimChar"/>
    <w:rPr>
      <w:rFonts w:ascii="Consolas" w:hAnsi="Consolas"/>
      <w:b w:val="0"/>
      <w:bCs w:val="0"/>
      <w:i w:val="0"/>
      <w:iCs/>
      <w:color w:val="121316" w:themeColor="text2"/>
      <w:spacing w:val="10"/>
      <w:sz w:val="22"/>
      <w:szCs w:val="18"/>
      <w:shd w:val="clear" w:color="auto" w:fill="F8F8F8"/>
    </w:rPr>
  </w:style>
  <w:style w:type="character" w:customStyle="1" w:styleId="CommentTok">
    <w:name w:val="CommentTok"/>
    <w:basedOn w:val="VerbatimChar"/>
    <w:rPr>
      <w:rFonts w:ascii="Consolas" w:hAnsi="Consolas"/>
      <w:b w:val="0"/>
      <w:bCs w:val="0"/>
      <w:i/>
      <w:iCs/>
      <w:color w:val="8F5902"/>
      <w:spacing w:val="10"/>
      <w:sz w:val="22"/>
      <w:szCs w:val="18"/>
      <w:shd w:val="clear" w:color="auto" w:fill="F8F8F8"/>
    </w:rPr>
  </w:style>
  <w:style w:type="character" w:customStyle="1" w:styleId="DocumentationTok">
    <w:name w:val="DocumentationTok"/>
    <w:basedOn w:val="VerbatimChar"/>
    <w:rPr>
      <w:rFonts w:ascii="Consolas" w:hAnsi="Consolas"/>
      <w:b/>
      <w:bCs w:val="0"/>
      <w:i/>
      <w:iCs/>
      <w:color w:val="8F5902"/>
      <w:spacing w:val="10"/>
      <w:sz w:val="22"/>
      <w:szCs w:val="18"/>
      <w:shd w:val="clear" w:color="auto" w:fill="F8F8F8"/>
    </w:rPr>
  </w:style>
  <w:style w:type="character" w:customStyle="1" w:styleId="AnnotationTok">
    <w:name w:val="AnnotationTok"/>
    <w:basedOn w:val="VerbatimChar"/>
    <w:rPr>
      <w:rFonts w:ascii="Consolas" w:hAnsi="Consolas"/>
      <w:b/>
      <w:bCs w:val="0"/>
      <w:i/>
      <w:iCs/>
      <w:color w:val="8F5902"/>
      <w:spacing w:val="10"/>
      <w:sz w:val="22"/>
      <w:szCs w:val="18"/>
      <w:shd w:val="clear" w:color="auto" w:fill="F8F8F8"/>
    </w:rPr>
  </w:style>
  <w:style w:type="character" w:customStyle="1" w:styleId="CommentVarTok">
    <w:name w:val="CommentVarTok"/>
    <w:basedOn w:val="VerbatimChar"/>
    <w:rPr>
      <w:rFonts w:ascii="Consolas" w:hAnsi="Consolas"/>
      <w:b/>
      <w:bCs w:val="0"/>
      <w:i/>
      <w:iCs/>
      <w:color w:val="8F5902"/>
      <w:spacing w:val="10"/>
      <w:sz w:val="22"/>
      <w:szCs w:val="18"/>
      <w:shd w:val="clear" w:color="auto" w:fill="F8F8F8"/>
    </w:rPr>
  </w:style>
  <w:style w:type="character" w:customStyle="1" w:styleId="OtherTok">
    <w:name w:val="OtherTok"/>
    <w:basedOn w:val="VerbatimChar"/>
    <w:rPr>
      <w:rFonts w:ascii="Consolas" w:hAnsi="Consolas"/>
      <w:b w:val="0"/>
      <w:bCs w:val="0"/>
      <w:i w:val="0"/>
      <w:iCs/>
      <w:color w:val="8F5902"/>
      <w:spacing w:val="10"/>
      <w:sz w:val="22"/>
      <w:szCs w:val="18"/>
      <w:shd w:val="clear" w:color="auto" w:fill="F8F8F8"/>
    </w:rPr>
  </w:style>
  <w:style w:type="character" w:customStyle="1" w:styleId="FunctionTok">
    <w:name w:val="FunctionTok"/>
    <w:basedOn w:val="VerbatimChar"/>
    <w:rPr>
      <w:rFonts w:ascii="Consolas" w:hAnsi="Consolas"/>
      <w:b w:val="0"/>
      <w:bCs w:val="0"/>
      <w:i w:val="0"/>
      <w:iCs/>
      <w:color w:val="000000"/>
      <w:spacing w:val="10"/>
      <w:sz w:val="22"/>
      <w:szCs w:val="18"/>
      <w:shd w:val="clear" w:color="auto" w:fill="F8F8F8"/>
    </w:rPr>
  </w:style>
  <w:style w:type="character" w:customStyle="1" w:styleId="VariableTok">
    <w:name w:val="VariableTok"/>
    <w:basedOn w:val="VerbatimChar"/>
    <w:rPr>
      <w:rFonts w:ascii="Consolas" w:hAnsi="Consolas"/>
      <w:b w:val="0"/>
      <w:bCs w:val="0"/>
      <w:i w:val="0"/>
      <w:iCs/>
      <w:color w:val="000000"/>
      <w:spacing w:val="10"/>
      <w:sz w:val="22"/>
      <w:szCs w:val="18"/>
      <w:shd w:val="clear" w:color="auto" w:fill="F8F8F8"/>
    </w:rPr>
  </w:style>
  <w:style w:type="character" w:customStyle="1" w:styleId="ControlFlowTok">
    <w:name w:val="ControlFlowTok"/>
    <w:basedOn w:val="VerbatimChar"/>
    <w:rPr>
      <w:rFonts w:ascii="Consolas" w:hAnsi="Consolas"/>
      <w:b/>
      <w:bCs w:val="0"/>
      <w:i w:val="0"/>
      <w:iCs/>
      <w:color w:val="204A87"/>
      <w:spacing w:val="10"/>
      <w:sz w:val="22"/>
      <w:szCs w:val="18"/>
      <w:shd w:val="clear" w:color="auto" w:fill="F8F8F8"/>
    </w:rPr>
  </w:style>
  <w:style w:type="character" w:customStyle="1" w:styleId="OperatorTok">
    <w:name w:val="OperatorTok"/>
    <w:basedOn w:val="VerbatimChar"/>
    <w:rPr>
      <w:rFonts w:ascii="Consolas" w:hAnsi="Consolas"/>
      <w:b/>
      <w:bCs w:val="0"/>
      <w:i w:val="0"/>
      <w:iCs/>
      <w:color w:val="CE5C00"/>
      <w:spacing w:val="10"/>
      <w:sz w:val="22"/>
      <w:szCs w:val="18"/>
      <w:shd w:val="clear" w:color="auto" w:fill="F8F8F8"/>
    </w:rPr>
  </w:style>
  <w:style w:type="character" w:customStyle="1" w:styleId="BuiltInTok">
    <w:name w:val="BuiltInTok"/>
    <w:basedOn w:val="VerbatimChar"/>
    <w:rPr>
      <w:rFonts w:ascii="Consolas" w:hAnsi="Consolas"/>
      <w:b w:val="0"/>
      <w:bCs w:val="0"/>
      <w:i w:val="0"/>
      <w:iCs/>
      <w:color w:val="121316" w:themeColor="text2"/>
      <w:spacing w:val="10"/>
      <w:sz w:val="22"/>
      <w:szCs w:val="18"/>
      <w:shd w:val="clear" w:color="auto" w:fill="F8F8F8"/>
    </w:rPr>
  </w:style>
  <w:style w:type="character" w:customStyle="1" w:styleId="ExtensionTok">
    <w:name w:val="ExtensionTok"/>
    <w:basedOn w:val="VerbatimChar"/>
    <w:rPr>
      <w:rFonts w:ascii="Consolas" w:hAnsi="Consolas"/>
      <w:b w:val="0"/>
      <w:bCs w:val="0"/>
      <w:i w:val="0"/>
      <w:iCs/>
      <w:color w:val="121316" w:themeColor="text2"/>
      <w:spacing w:val="10"/>
      <w:sz w:val="22"/>
      <w:szCs w:val="18"/>
      <w:shd w:val="clear" w:color="auto" w:fill="F8F8F8"/>
    </w:rPr>
  </w:style>
  <w:style w:type="character" w:customStyle="1" w:styleId="PreprocessorTok">
    <w:name w:val="PreprocessorTok"/>
    <w:basedOn w:val="VerbatimChar"/>
    <w:rPr>
      <w:rFonts w:ascii="Consolas" w:hAnsi="Consolas"/>
      <w:b w:val="0"/>
      <w:bCs w:val="0"/>
      <w:i/>
      <w:iCs/>
      <w:color w:val="8F5902"/>
      <w:spacing w:val="10"/>
      <w:sz w:val="22"/>
      <w:szCs w:val="18"/>
      <w:shd w:val="clear" w:color="auto" w:fill="F8F8F8"/>
    </w:rPr>
  </w:style>
  <w:style w:type="character" w:customStyle="1" w:styleId="AttributeTok">
    <w:name w:val="AttributeTok"/>
    <w:basedOn w:val="VerbatimChar"/>
    <w:rPr>
      <w:rFonts w:ascii="Consolas" w:hAnsi="Consolas"/>
      <w:b w:val="0"/>
      <w:bCs w:val="0"/>
      <w:i w:val="0"/>
      <w:iCs/>
      <w:color w:val="C4A000"/>
      <w:spacing w:val="10"/>
      <w:sz w:val="22"/>
      <w:szCs w:val="18"/>
      <w:shd w:val="clear" w:color="auto" w:fill="F8F8F8"/>
    </w:rPr>
  </w:style>
  <w:style w:type="character" w:customStyle="1" w:styleId="RegionMarkerTok">
    <w:name w:val="RegionMarkerTok"/>
    <w:basedOn w:val="VerbatimChar"/>
    <w:rPr>
      <w:rFonts w:ascii="Consolas" w:hAnsi="Consolas"/>
      <w:b w:val="0"/>
      <w:bCs w:val="0"/>
      <w:i w:val="0"/>
      <w:iCs/>
      <w:color w:val="121316" w:themeColor="text2"/>
      <w:spacing w:val="10"/>
      <w:sz w:val="22"/>
      <w:szCs w:val="18"/>
      <w:shd w:val="clear" w:color="auto" w:fill="F8F8F8"/>
    </w:rPr>
  </w:style>
  <w:style w:type="character" w:customStyle="1" w:styleId="InformationTok">
    <w:name w:val="InformationTok"/>
    <w:basedOn w:val="VerbatimChar"/>
    <w:rPr>
      <w:rFonts w:ascii="Consolas" w:hAnsi="Consolas"/>
      <w:b/>
      <w:bCs w:val="0"/>
      <w:i/>
      <w:iCs/>
      <w:color w:val="8F5902"/>
      <w:spacing w:val="10"/>
      <w:sz w:val="22"/>
      <w:szCs w:val="18"/>
      <w:shd w:val="clear" w:color="auto" w:fill="F8F8F8"/>
    </w:rPr>
  </w:style>
  <w:style w:type="character" w:customStyle="1" w:styleId="WarningTok">
    <w:name w:val="WarningTok"/>
    <w:basedOn w:val="VerbatimChar"/>
    <w:rPr>
      <w:rFonts w:ascii="Consolas" w:hAnsi="Consolas"/>
      <w:b/>
      <w:bCs w:val="0"/>
      <w:i/>
      <w:iCs/>
      <w:color w:val="8F5902"/>
      <w:spacing w:val="10"/>
      <w:sz w:val="22"/>
      <w:szCs w:val="18"/>
      <w:shd w:val="clear" w:color="auto" w:fill="F8F8F8"/>
    </w:rPr>
  </w:style>
  <w:style w:type="character" w:customStyle="1" w:styleId="AlertTok">
    <w:name w:val="AlertTok"/>
    <w:basedOn w:val="VerbatimChar"/>
    <w:rPr>
      <w:rFonts w:ascii="Consolas" w:hAnsi="Consolas"/>
      <w:b w:val="0"/>
      <w:bCs w:val="0"/>
      <w:i w:val="0"/>
      <w:iCs/>
      <w:color w:val="EF2929"/>
      <w:spacing w:val="10"/>
      <w:sz w:val="22"/>
      <w:szCs w:val="18"/>
      <w:shd w:val="clear" w:color="auto" w:fill="F8F8F8"/>
    </w:rPr>
  </w:style>
  <w:style w:type="character" w:customStyle="1" w:styleId="ErrorTok">
    <w:name w:val="ErrorTok"/>
    <w:basedOn w:val="VerbatimChar"/>
    <w:rPr>
      <w:rFonts w:ascii="Consolas" w:hAnsi="Consolas"/>
      <w:b/>
      <w:bCs w:val="0"/>
      <w:i w:val="0"/>
      <w:iCs/>
      <w:color w:val="A40000"/>
      <w:spacing w:val="10"/>
      <w:sz w:val="22"/>
      <w:szCs w:val="18"/>
      <w:shd w:val="clear" w:color="auto" w:fill="F8F8F8"/>
    </w:rPr>
  </w:style>
  <w:style w:type="character" w:customStyle="1" w:styleId="NormalTok">
    <w:name w:val="NormalTok"/>
    <w:basedOn w:val="VerbatimChar"/>
    <w:rPr>
      <w:rFonts w:ascii="Consolas" w:hAnsi="Consolas"/>
      <w:b w:val="0"/>
      <w:bCs w:val="0"/>
      <w:i w:val="0"/>
      <w:iCs/>
      <w:color w:val="121316" w:themeColor="text2"/>
      <w:spacing w:val="10"/>
      <w:sz w:val="22"/>
      <w:szCs w:val="18"/>
      <w:shd w:val="clear" w:color="auto" w:fill="F8F8F8"/>
    </w:rPr>
  </w:style>
  <w:style w:type="character" w:customStyle="1" w:styleId="Heading1Char">
    <w:name w:val="Heading 1 Char"/>
    <w:basedOn w:val="DefaultParagraphFont"/>
    <w:link w:val="Heading1"/>
    <w:uiPriority w:val="9"/>
    <w:rsid w:val="00F47B9E"/>
    <w:rPr>
      <w:rFonts w:ascii="Times New Roman" w:eastAsiaTheme="majorEastAsia" w:hAnsi="Times New Roman" w:cstheme="majorBidi"/>
      <w:b/>
      <w:bCs/>
      <w:color w:val="000000" w:themeColor="text1"/>
      <w:sz w:val="24"/>
      <w:szCs w:val="36"/>
    </w:rPr>
  </w:style>
  <w:style w:type="character" w:customStyle="1" w:styleId="Heading2Char">
    <w:name w:val="Heading 2 Char"/>
    <w:basedOn w:val="DefaultParagraphFont"/>
    <w:link w:val="Heading2"/>
    <w:uiPriority w:val="9"/>
    <w:rsid w:val="00DF60A9"/>
    <w:rPr>
      <w:rFonts w:ascii="Times New Roman" w:eastAsiaTheme="majorEastAsia" w:hAnsi="Times New Roman" w:cstheme="majorBidi"/>
      <w:b/>
      <w:bCs/>
      <w:color w:val="000000" w:themeColor="text1"/>
      <w:sz w:val="24"/>
      <w:szCs w:val="28"/>
    </w:rPr>
  </w:style>
  <w:style w:type="character" w:customStyle="1" w:styleId="Heading3Char">
    <w:name w:val="Heading 3 Char"/>
    <w:basedOn w:val="DefaultParagraphFont"/>
    <w:link w:val="Heading3"/>
    <w:uiPriority w:val="9"/>
    <w:rsid w:val="00562C33"/>
    <w:rPr>
      <w:rFonts w:ascii="Times New Roman" w:eastAsiaTheme="majorEastAsia" w:hAnsi="Times New Roman" w:cstheme="majorBidi"/>
      <w:bCs/>
      <w:i/>
      <w:color w:val="000000" w:themeColor="text1"/>
      <w:sz w:val="24"/>
    </w:rPr>
  </w:style>
  <w:style w:type="character" w:customStyle="1" w:styleId="Heading4Char">
    <w:name w:val="Heading 4 Char"/>
    <w:basedOn w:val="DefaultParagraphFont"/>
    <w:link w:val="Heading4"/>
    <w:uiPriority w:val="9"/>
    <w:rsid w:val="00E15113"/>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rsid w:val="00E15113"/>
    <w:rPr>
      <w:rFonts w:asciiTheme="majorHAnsi" w:eastAsiaTheme="majorEastAsia" w:hAnsiTheme="majorHAnsi" w:cstheme="majorBidi"/>
      <w:color w:val="0D0E10" w:themeColor="text2" w:themeShade="BF"/>
    </w:rPr>
  </w:style>
  <w:style w:type="character" w:customStyle="1" w:styleId="Heading6Char">
    <w:name w:val="Heading 6 Char"/>
    <w:basedOn w:val="DefaultParagraphFont"/>
    <w:link w:val="Heading6"/>
    <w:uiPriority w:val="9"/>
    <w:rsid w:val="00E15113"/>
    <w:rPr>
      <w:rFonts w:asciiTheme="majorHAnsi" w:eastAsiaTheme="majorEastAsia" w:hAnsiTheme="majorHAnsi" w:cstheme="majorBidi"/>
      <w:i/>
      <w:iCs/>
      <w:color w:val="0D0E10" w:themeColor="text2" w:themeShade="BF"/>
    </w:rPr>
  </w:style>
  <w:style w:type="character" w:customStyle="1" w:styleId="Heading7Char">
    <w:name w:val="Heading 7 Char"/>
    <w:basedOn w:val="DefaultParagraphFont"/>
    <w:link w:val="Heading7"/>
    <w:uiPriority w:val="9"/>
    <w:rsid w:val="00E1511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E1511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E15113"/>
    <w:rPr>
      <w:rFonts w:asciiTheme="majorHAnsi" w:eastAsiaTheme="majorEastAsia" w:hAnsiTheme="majorHAnsi" w:cstheme="majorBidi"/>
      <w:i/>
      <w:iCs/>
      <w:color w:val="404040" w:themeColor="text1" w:themeTint="BF"/>
      <w:sz w:val="20"/>
      <w:szCs w:val="20"/>
    </w:rPr>
  </w:style>
  <w:style w:type="character" w:customStyle="1" w:styleId="TitleChar">
    <w:name w:val="Title Char"/>
    <w:basedOn w:val="DefaultParagraphFont"/>
    <w:link w:val="Title"/>
    <w:uiPriority w:val="10"/>
    <w:rsid w:val="004455EB"/>
    <w:rPr>
      <w:rFonts w:ascii="Times New Roman" w:eastAsiaTheme="majorEastAsia" w:hAnsi="Times New Roman" w:cstheme="majorBidi"/>
      <w:b/>
      <w:color w:val="000000" w:themeColor="text1"/>
      <w:sz w:val="28"/>
      <w:szCs w:val="56"/>
    </w:rPr>
  </w:style>
  <w:style w:type="character" w:customStyle="1" w:styleId="SubtitleChar">
    <w:name w:val="Subtitle Char"/>
    <w:basedOn w:val="DefaultParagraphFont"/>
    <w:link w:val="Subtitle"/>
    <w:uiPriority w:val="11"/>
    <w:rsid w:val="00396F80"/>
    <w:rPr>
      <w:rFonts w:ascii="Times New Roman" w:hAnsi="Times New Roman"/>
      <w:color w:val="5A5A5A" w:themeColor="text1" w:themeTint="A5"/>
      <w:spacing w:val="10"/>
      <w:sz w:val="24"/>
    </w:rPr>
  </w:style>
  <w:style w:type="character" w:styleId="Strong">
    <w:name w:val="Strong"/>
    <w:basedOn w:val="DefaultParagraphFont"/>
    <w:uiPriority w:val="22"/>
    <w:qFormat/>
    <w:rsid w:val="00E15113"/>
    <w:rPr>
      <w:b/>
      <w:bCs/>
      <w:color w:val="000000" w:themeColor="text1"/>
    </w:rPr>
  </w:style>
  <w:style w:type="character" w:styleId="Emphasis">
    <w:name w:val="Emphasis"/>
    <w:basedOn w:val="DefaultParagraphFont"/>
    <w:uiPriority w:val="20"/>
    <w:qFormat/>
    <w:rsid w:val="00E15113"/>
    <w:rPr>
      <w:i/>
      <w:iCs/>
      <w:color w:val="auto"/>
    </w:rPr>
  </w:style>
  <w:style w:type="paragraph" w:styleId="NoSpacing">
    <w:name w:val="No Spacing"/>
    <w:uiPriority w:val="1"/>
    <w:qFormat/>
    <w:rsid w:val="00D960D1"/>
    <w:pPr>
      <w:spacing w:after="0" w:line="360" w:lineRule="auto"/>
    </w:pPr>
    <w:rPr>
      <w:rFonts w:ascii="Times New Roman" w:hAnsi="Times New Roman"/>
      <w:sz w:val="24"/>
    </w:rPr>
  </w:style>
  <w:style w:type="paragraph" w:styleId="Quote">
    <w:name w:val="Quote"/>
    <w:basedOn w:val="Normal"/>
    <w:next w:val="Normal"/>
    <w:link w:val="QuoteChar"/>
    <w:uiPriority w:val="29"/>
    <w:qFormat/>
    <w:rsid w:val="00E15113"/>
    <w:pPr>
      <w:spacing w:before="160"/>
      <w:ind w:left="720" w:right="720"/>
    </w:pPr>
    <w:rPr>
      <w:i/>
      <w:iCs/>
      <w:color w:val="000000" w:themeColor="text1"/>
    </w:rPr>
  </w:style>
  <w:style w:type="character" w:customStyle="1" w:styleId="QuoteChar">
    <w:name w:val="Quote Char"/>
    <w:basedOn w:val="DefaultParagraphFont"/>
    <w:link w:val="Quote"/>
    <w:uiPriority w:val="29"/>
    <w:rsid w:val="00E15113"/>
    <w:rPr>
      <w:i/>
      <w:iCs/>
      <w:color w:val="000000" w:themeColor="text1"/>
    </w:rPr>
  </w:style>
  <w:style w:type="paragraph" w:styleId="IntenseQuote">
    <w:name w:val="Intense Quote"/>
    <w:basedOn w:val="Normal"/>
    <w:next w:val="Normal"/>
    <w:link w:val="IntenseQuoteChar"/>
    <w:uiPriority w:val="30"/>
    <w:qFormat/>
    <w:rsid w:val="00E15113"/>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E15113"/>
    <w:rPr>
      <w:color w:val="000000" w:themeColor="text1"/>
      <w:shd w:val="clear" w:color="auto" w:fill="F2F2F2" w:themeFill="background1" w:themeFillShade="F2"/>
    </w:rPr>
  </w:style>
  <w:style w:type="character" w:styleId="SubtleEmphasis">
    <w:name w:val="Subtle Emphasis"/>
    <w:basedOn w:val="DefaultParagraphFont"/>
    <w:uiPriority w:val="19"/>
    <w:qFormat/>
    <w:rsid w:val="00E15113"/>
    <w:rPr>
      <w:i/>
      <w:iCs/>
      <w:color w:val="404040" w:themeColor="text1" w:themeTint="BF"/>
    </w:rPr>
  </w:style>
  <w:style w:type="character" w:styleId="IntenseEmphasis">
    <w:name w:val="Intense Emphasis"/>
    <w:basedOn w:val="DefaultParagraphFont"/>
    <w:uiPriority w:val="21"/>
    <w:qFormat/>
    <w:rsid w:val="00E15113"/>
    <w:rPr>
      <w:b/>
      <w:bCs/>
      <w:i/>
      <w:iCs/>
      <w:caps/>
    </w:rPr>
  </w:style>
  <w:style w:type="character" w:styleId="SubtleReference">
    <w:name w:val="Subtle Reference"/>
    <w:basedOn w:val="IntenseReference"/>
    <w:uiPriority w:val="31"/>
    <w:qFormat/>
    <w:rsid w:val="00D960D1"/>
    <w:rPr>
      <w:sz w:val="24"/>
      <w:szCs w:val="18"/>
    </w:rPr>
  </w:style>
  <w:style w:type="character" w:styleId="IntenseReference">
    <w:name w:val="Intense Reference"/>
    <w:basedOn w:val="DefaultParagraphFont"/>
    <w:uiPriority w:val="32"/>
    <w:qFormat/>
    <w:rsid w:val="0038196F"/>
    <w:rPr>
      <w:sz w:val="18"/>
      <w:szCs w:val="18"/>
    </w:rPr>
  </w:style>
  <w:style w:type="character" w:styleId="BookTitle">
    <w:name w:val="Book Title"/>
    <w:basedOn w:val="DefaultParagraphFont"/>
    <w:uiPriority w:val="33"/>
    <w:qFormat/>
    <w:rsid w:val="00E15113"/>
    <w:rPr>
      <w:b w:val="0"/>
      <w:bCs w:val="0"/>
      <w:smallCaps/>
      <w:spacing w:val="5"/>
    </w:rPr>
  </w:style>
  <w:style w:type="paragraph" w:styleId="ListParagraph">
    <w:name w:val="List Paragraph"/>
    <w:basedOn w:val="Normal"/>
    <w:uiPriority w:val="34"/>
    <w:qFormat/>
    <w:rsid w:val="00396F80"/>
    <w:pPr>
      <w:ind w:left="720"/>
      <w:contextualSpacing/>
    </w:pPr>
  </w:style>
  <w:style w:type="paragraph" w:styleId="TOC1">
    <w:name w:val="toc 1"/>
    <w:basedOn w:val="Normal"/>
    <w:next w:val="Normal"/>
    <w:autoRedefine/>
    <w:uiPriority w:val="39"/>
    <w:unhideWhenUsed/>
    <w:rsid w:val="0038196F"/>
    <w:pPr>
      <w:spacing w:after="100"/>
    </w:pPr>
  </w:style>
  <w:style w:type="paragraph" w:styleId="TOC2">
    <w:name w:val="toc 2"/>
    <w:basedOn w:val="Normal"/>
    <w:next w:val="Normal"/>
    <w:autoRedefine/>
    <w:uiPriority w:val="39"/>
    <w:unhideWhenUsed/>
    <w:rsid w:val="0038196F"/>
    <w:pPr>
      <w:spacing w:after="100"/>
      <w:ind w:left="220"/>
    </w:pPr>
  </w:style>
  <w:style w:type="character" w:customStyle="1" w:styleId="BodyTextChar">
    <w:name w:val="Body Text Char"/>
    <w:basedOn w:val="DefaultParagraphFont"/>
    <w:link w:val="BodyText"/>
    <w:rsid w:val="006D60D8"/>
  </w:style>
  <w:style w:type="paragraph" w:styleId="Header">
    <w:name w:val="header"/>
    <w:basedOn w:val="Normal"/>
    <w:link w:val="HeaderChar"/>
    <w:unhideWhenUsed/>
    <w:rsid w:val="00952713"/>
    <w:pPr>
      <w:tabs>
        <w:tab w:val="center" w:pos="4680"/>
        <w:tab w:val="right" w:pos="9360"/>
      </w:tabs>
      <w:spacing w:line="240" w:lineRule="auto"/>
    </w:pPr>
  </w:style>
  <w:style w:type="character" w:customStyle="1" w:styleId="HeaderChar">
    <w:name w:val="Header Char"/>
    <w:basedOn w:val="DefaultParagraphFont"/>
    <w:link w:val="Header"/>
    <w:rsid w:val="00952713"/>
  </w:style>
  <w:style w:type="paragraph" w:styleId="Footer">
    <w:name w:val="footer"/>
    <w:basedOn w:val="Normal"/>
    <w:link w:val="FooterChar"/>
    <w:uiPriority w:val="99"/>
    <w:unhideWhenUsed/>
    <w:rsid w:val="00952713"/>
    <w:pPr>
      <w:tabs>
        <w:tab w:val="center" w:pos="4680"/>
        <w:tab w:val="right" w:pos="9360"/>
      </w:tabs>
      <w:spacing w:line="240" w:lineRule="auto"/>
    </w:pPr>
  </w:style>
  <w:style w:type="character" w:customStyle="1" w:styleId="FooterChar">
    <w:name w:val="Footer Char"/>
    <w:basedOn w:val="DefaultParagraphFont"/>
    <w:link w:val="Footer"/>
    <w:uiPriority w:val="99"/>
    <w:rsid w:val="00952713"/>
  </w:style>
  <w:style w:type="character" w:styleId="LineNumber">
    <w:name w:val="line number"/>
    <w:basedOn w:val="DefaultParagraphFont"/>
    <w:semiHidden/>
    <w:unhideWhenUsed/>
    <w:rsid w:val="009605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am_Vorsino@fws.gov"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Adam_Vorsino@fws.gov" TargetMode="External"/><Relationship Id="rId12" Type="http://schemas.openxmlformats.org/officeDocument/2006/relationships/hyperlink" Target="https://www.vienna-scientific.com/products/tray-and-rack-systems/"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yadapco.com/product/bg-sentinel-2-trap/"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Supplemental%20Materials%20Section%201:%20Code%20used%20to%20infer%20instrastructure%20cost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xizy@msu.edu" TargetMode="External"/><Relationship Id="rId14" Type="http://schemas.openxmlformats.org/officeDocument/2006/relationships/header" Target="header2.xml"/></Relationships>
</file>

<file path=word/theme/theme1.xml><?xml version="1.0" encoding="utf-8"?>
<a:theme xmlns:a="http://schemas.openxmlformats.org/drawingml/2006/main" name="Feathered">
  <a:themeElements>
    <a:clrScheme name="Feathered">
      <a:dk1>
        <a:sysClr val="windowText" lastClr="000000"/>
      </a:dk1>
      <a:lt1>
        <a:sysClr val="window" lastClr="FFFFFF"/>
      </a:lt1>
      <a:dk2>
        <a:srgbClr val="121316"/>
      </a:dk2>
      <a:lt2>
        <a:srgbClr val="FEFCF7"/>
      </a:lt2>
      <a:accent1>
        <a:srgbClr val="606372"/>
      </a:accent1>
      <a:accent2>
        <a:srgbClr val="79A8A4"/>
      </a:accent2>
      <a:accent3>
        <a:srgbClr val="B2AD8F"/>
      </a:accent3>
      <a:accent4>
        <a:srgbClr val="AD8082"/>
      </a:accent4>
      <a:accent5>
        <a:srgbClr val="DEC18C"/>
      </a:accent5>
      <a:accent6>
        <a:srgbClr val="92A185"/>
      </a:accent6>
      <a:hlink>
        <a:srgbClr val="85C4D2"/>
      </a:hlink>
      <a:folHlink>
        <a:srgbClr val="8E8CA7"/>
      </a:folHlink>
    </a:clrScheme>
    <a:fontScheme name="Feathered">
      <a:majorFont>
        <a:latin typeface="Century Schoolbook" panose="02040604050505020304"/>
        <a:ea typeface=""/>
        <a:cs typeface=""/>
        <a:font script="Jpan" typeface="メイリオ"/>
        <a:font script="Hang" typeface="휴먼매직체"/>
        <a:font script="Hans" typeface="华文楷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メイリオ"/>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eathered">
      <a:fillStyleLst>
        <a:solidFill>
          <a:schemeClr val="phClr"/>
        </a:solidFill>
        <a:solidFill>
          <a:schemeClr val="phClr">
            <a:tint val="67000"/>
            <a:satMod val="105000"/>
          </a:schemeClr>
        </a:solidFill>
        <a:gradFill rotWithShape="1">
          <a:gsLst>
            <a:gs pos="0">
              <a:schemeClr val="phClr">
                <a:tint val="94000"/>
                <a:satMod val="103000"/>
                <a:lumMod val="102000"/>
              </a:schemeClr>
            </a:gs>
            <a:gs pos="50000">
              <a:schemeClr val="phClr">
                <a:shade val="100000"/>
                <a:satMod val="110000"/>
                <a:lumMod val="100000"/>
              </a:schemeClr>
            </a:gs>
            <a:gs pos="100000">
              <a:schemeClr val="phClr">
                <a:shade val="70000"/>
                <a:satMod val="120000"/>
                <a:lumMod val="99000"/>
              </a:schemeClr>
            </a:gs>
          </a:gsLst>
          <a:path path="circle">
            <a:fillToRect l="100000" t="100000" r="100000" b="100000"/>
          </a:path>
        </a:gradFill>
      </a:fillStyleLst>
      <a:lnStyleLst>
        <a:ln w="9525" cap="flat" cmpd="sng" algn="ctr">
          <a:solidFill>
            <a:schemeClr val="phClr"/>
          </a:solidFill>
          <a:prstDash val="solid"/>
        </a:ln>
        <a:ln w="12700" cap="flat" cmpd="sng" algn="ctr">
          <a:solidFill>
            <a:schemeClr val="phClr"/>
          </a:solidFill>
          <a:prstDash val="solid"/>
        </a:ln>
        <a:ln w="19050" cap="flat" cmpd="sng" algn="ctr">
          <a:solidFill>
            <a:schemeClr val="phClr">
              <a:tint val="50000"/>
              <a:shade val="83000"/>
            </a:schemeClr>
          </a:solidFill>
          <a:prstDash val="solid"/>
        </a:ln>
      </a:lnStyleLst>
      <a:effectStyleLst>
        <a:effectStyle>
          <a:effectLst/>
        </a:effectStyle>
        <a:effectStyle>
          <a:effectLst/>
        </a:effectStyle>
        <a:effectStyle>
          <a:effectLst>
            <a:outerShdw blurRad="57150" dist="25400" dir="5400000" algn="ctr" rotWithShape="0">
              <a:srgbClr val="000000">
                <a:alpha val="20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Feathered" id="{EEC9B30E-2747-4D42-BCBE-A02BDEEEA114}" vid="{AACE42CE-5C67-4514-8A89-3472F564E146}"/>
    </a:ext>
  </a:extLst>
</a:theme>
</file>

<file path=docProps/app.xml><?xml version="1.0" encoding="utf-8"?>
<Properties xmlns="http://schemas.openxmlformats.org/officeDocument/2006/extended-properties" xmlns:vt="http://schemas.openxmlformats.org/officeDocument/2006/docPropsVTypes">
  <Template>Normal.dotm</Template>
  <TotalTime>32</TotalTime>
  <Pages>27</Pages>
  <Words>6684</Words>
  <Characters>38102</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Selection of Random Points for Hawaiian hoary bat (Aeorestes semotus) Monitoring at Bellows Air Force Station, Oahu</vt:lpstr>
    </vt:vector>
  </TitlesOfParts>
  <Company>Department of Interior</Company>
  <LinksUpToDate>false</LinksUpToDate>
  <CharactersWithSpaces>44697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Incompatible insect technique mass rearing infrastructure cost calcualtor for the control of Culex quinquefasciatus in Hawaiʻi</dc:title>
  <dc:creator>; Adam E. Vorsino1*, Zhiyong Xi2; ; 1Strategic Habitat Conservation Program, Ecological Services, Pacific Islands Fish and Wildlife Office, U.S. Fish and Wildlife Service, 300 Ala Moana Blvd Ste. 3-122, Honolulu, Hawaiʻi 96850; ; 2Department of Microbiology and Molecular Genetics, Michigan State University, 314 Giltner Hall, 293 Farm Lane, East Lansing, Michigan 48824; ; *Corresponding author: Adam_Vorsino@fws.gov; ; AEV: Adam_Vorsino@fws.gov; ZX: xizy@msu.edu</dc:creator>
  <cp:keywords/>
  <cp:lastModifiedBy>USFWS</cp:lastModifiedBy>
  <cp:revision>2</cp:revision>
  <dcterms:created xsi:type="dcterms:W3CDTF">2022-03-07T21:19:00Z</dcterms:created>
  <dcterms:modified xsi:type="dcterms:W3CDTF">2022-04-26T15:28:00Z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Itemized_Mosquito_Infra_Costs.bib</vt:lpwstr>
  </property>
  <property fmtid="{D5CDD505-2E9C-101B-9397-08002B2CF9AE}" pid="3" name="csl">
    <vt:lpwstr>parasites-and-vectors.csl</vt:lpwstr>
  </property>
  <property fmtid="{D5CDD505-2E9C-101B-9397-08002B2CF9AE}" pid="4" name="editor_options">
    <vt:lpwstr/>
  </property>
  <property fmtid="{D5CDD505-2E9C-101B-9397-08002B2CF9AE}" pid="5" name="font-family">
    <vt:lpwstr>Times New Roman</vt:lpwstr>
  </property>
  <property fmtid="{D5CDD505-2E9C-101B-9397-08002B2CF9AE}" pid="6" name="nocite">
    <vt:lpwstr>@kandul19</vt:lpwstr>
  </property>
  <property fmtid="{D5CDD505-2E9C-101B-9397-08002B2CF9AE}" pid="7" name="output">
    <vt:lpwstr/>
  </property>
</Properties>
</file>