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2.png" ContentType="image/png"/>
  <Override PartName="/word/media/image1.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>
          <w:rFonts w:ascii="Liberation Serif" w:hAnsi="Liberation Serif"/>
          <w:b/>
          <w:b/>
          <w:position w:val="0"/>
          <w:sz w:val="24"/>
          <w:sz w:val="24"/>
          <w:szCs w:val="24"/>
          <w:vertAlign w:val="baseline"/>
        </w:rPr>
      </w:pPr>
      <w:r>
        <w:rPr>
          <w:b/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/>
          <w:b/>
          <w:position w:val="0"/>
          <w:sz w:val="24"/>
          <w:sz w:val="24"/>
          <w:szCs w:val="24"/>
          <w:vertAlign w:val="baseline"/>
        </w:rPr>
      </w:pPr>
      <w:r>
        <w:rPr>
          <w:b/>
          <w:position w:val="0"/>
          <w:sz w:val="24"/>
          <w:sz w:val="24"/>
          <w:szCs w:val="24"/>
          <w:vertAlign w:val="baseline"/>
        </w:rPr>
        <w:t>SUPPLEMENTARY MATERIAL</w:t>
      </w:r>
    </w:p>
    <w:p>
      <w:pPr>
        <w:pStyle w:val="Normal"/>
        <w:jc w:val="both"/>
        <w:rPr>
          <w:rFonts w:ascii="Liberation Serif" w:hAnsi="Liberation Serif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b/>
          <w:sz w:val="24"/>
          <w:szCs w:val="24"/>
          <w:highlight w:val="white"/>
        </w:rPr>
        <w:t xml:space="preserve">Supplementary Table 1. </w:t>
      </w:r>
      <w:r>
        <w:rPr>
          <w:b w:val="false"/>
          <w:bCs w:val="false"/>
          <w:sz w:val="24"/>
          <w:szCs w:val="24"/>
          <w:highlight w:val="white"/>
        </w:rPr>
        <w:t xml:space="preserve">Additional quality criteria for </w:t>
      </w:r>
      <w:r>
        <w:rPr>
          <w:b w:val="false"/>
          <w:bCs w:val="false"/>
          <w:sz w:val="24"/>
          <w:szCs w:val="24"/>
          <w:highlight w:val="white"/>
        </w:rPr>
        <w:t>m</w:t>
      </w:r>
      <w:r>
        <w:rPr>
          <w:b w:val="false"/>
          <w:bCs w:val="false"/>
          <w:sz w:val="24"/>
          <w:szCs w:val="24"/>
          <w:highlight w:val="white"/>
        </w:rPr>
        <w:t xml:space="preserve">agnetic </w:t>
      </w:r>
      <w:r>
        <w:rPr>
          <w:b w:val="false"/>
          <w:bCs w:val="false"/>
          <w:sz w:val="24"/>
          <w:szCs w:val="24"/>
          <w:highlight w:val="white"/>
        </w:rPr>
        <w:t>r</w:t>
      </w:r>
      <w:r>
        <w:rPr>
          <w:b w:val="false"/>
          <w:bCs w:val="false"/>
          <w:sz w:val="24"/>
          <w:szCs w:val="24"/>
          <w:highlight w:val="white"/>
        </w:rPr>
        <w:t xml:space="preserve">esonance </w:t>
      </w:r>
      <w:r>
        <w:rPr>
          <w:b w:val="false"/>
          <w:bCs w:val="false"/>
          <w:sz w:val="24"/>
          <w:szCs w:val="24"/>
          <w:highlight w:val="white"/>
        </w:rPr>
        <w:t>s</w:t>
      </w:r>
      <w:r>
        <w:rPr>
          <w:b w:val="false"/>
          <w:bCs w:val="false"/>
          <w:sz w:val="24"/>
          <w:szCs w:val="24"/>
          <w:highlight w:val="white"/>
        </w:rPr>
        <w:t>pectroscopy (MRS)</w:t>
      </w:r>
      <w:r>
        <w:rPr>
          <w:b w:val="false"/>
          <w:bCs w:val="false"/>
          <w:sz w:val="24"/>
          <w:szCs w:val="24"/>
          <w:highlight w:val="white"/>
        </w:rPr>
        <w:t xml:space="preserve"> acquisition.</w:t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tbl>
      <w:tblPr>
        <w:tblW w:w="9455" w:type="dxa"/>
        <w:jc w:val="left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insideH w:val="single" w:sz="6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</w:tblPr>
      <w:tblGrid>
        <w:gridCol w:w="1495"/>
        <w:gridCol w:w="950"/>
        <w:gridCol w:w="1040"/>
        <w:gridCol w:w="950"/>
        <w:gridCol w:w="1040"/>
        <w:gridCol w:w="950"/>
        <w:gridCol w:w="1040"/>
        <w:gridCol w:w="950"/>
        <w:gridCol w:w="1040"/>
      </w:tblGrid>
      <w:tr>
        <w:trPr/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Hippocampus</w:t>
            </w:r>
          </w:p>
        </w:tc>
        <w:tc>
          <w:tcPr>
            <w:tcW w:w="1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Thalamus</w:t>
            </w:r>
          </w:p>
        </w:tc>
        <w:tc>
          <w:tcPr>
            <w:tcW w:w="1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Striatum</w:t>
            </w:r>
          </w:p>
        </w:tc>
        <w:tc>
          <w:tcPr>
            <w:tcW w:w="1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Cortex</w:t>
            </w:r>
          </w:p>
        </w:tc>
      </w:tr>
      <w:tr>
        <w:trPr/>
        <w:tc>
          <w:tcPr>
            <w:tcW w:w="1495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rFonts w:ascii="Liberation Serif" w:hAnsi="Liberation Serif"/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WT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rFonts w:ascii="Liberation Serif" w:hAnsi="Liberation Serif"/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Tg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rFonts w:ascii="Liberation Serif" w:hAnsi="Liberation Serif"/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WT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rFonts w:ascii="Liberation Serif" w:hAnsi="Liberation Serif"/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Tg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rFonts w:ascii="Liberation Serif" w:hAnsi="Liberation Serif"/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WT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rFonts w:ascii="Liberation Serif" w:hAnsi="Liberation Serif"/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Tg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rFonts w:ascii="Liberation Serif" w:hAnsi="Liberation Serif"/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WT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center"/>
              <w:rPr>
                <w:rFonts w:ascii="Liberation Serif" w:hAnsi="Liberation Serif"/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Tg</w:t>
            </w:r>
          </w:p>
        </w:tc>
      </w:tr>
      <w:tr>
        <w:trPr/>
        <w:tc>
          <w:tcPr>
            <w:tcW w:w="1495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Voxel location (%)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63.</w:t>
            </w:r>
            <w:r>
              <w:rPr>
                <w:sz w:val="18"/>
                <w:szCs w:val="18"/>
              </w:rPr>
              <w:t>55</w:t>
            </w:r>
            <w:r>
              <w:rPr>
                <w:sz w:val="18"/>
                <w:szCs w:val="18"/>
              </w:rPr>
              <w:t>±8.</w:t>
            </w: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67.</w:t>
            </w:r>
            <w:r>
              <w:rPr>
                <w:sz w:val="18"/>
                <w:szCs w:val="18"/>
              </w:rPr>
              <w:t>03</w:t>
            </w:r>
            <w:r>
              <w:rPr>
                <w:sz w:val="18"/>
                <w:szCs w:val="18"/>
              </w:rPr>
              <w:t>±15.</w:t>
            </w:r>
            <w:r>
              <w:rPr>
                <w:sz w:val="18"/>
                <w:szCs w:val="18"/>
              </w:rPr>
              <w:t>41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69.98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7.</w:t>
            </w:r>
            <w:r>
              <w:rPr>
                <w:sz w:val="18"/>
                <w:szCs w:val="18"/>
              </w:rPr>
              <w:t>43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8.</w:t>
            </w:r>
            <w:r>
              <w:rPr>
                <w:sz w:val="18"/>
                <w:szCs w:val="18"/>
              </w:rPr>
              <w:t>15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20.</w:t>
            </w:r>
            <w:r>
              <w:rPr>
                <w:sz w:val="18"/>
                <w:szCs w:val="18"/>
              </w:rPr>
              <w:t>38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77.</w:t>
            </w:r>
            <w:r>
              <w:rPr>
                <w:sz w:val="18"/>
                <w:szCs w:val="18"/>
              </w:rPr>
              <w:t>19</w:t>
            </w:r>
            <w:r>
              <w:rPr>
                <w:sz w:val="18"/>
                <w:szCs w:val="18"/>
              </w:rPr>
              <w:t>±8.</w:t>
            </w:r>
            <w:r>
              <w:rPr>
                <w:sz w:val="18"/>
                <w:szCs w:val="18"/>
              </w:rPr>
              <w:t>50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4.19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8.72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2.63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6.98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1.</w:t>
            </w:r>
            <w:r>
              <w:rPr>
                <w:sz w:val="18"/>
                <w:szCs w:val="18"/>
              </w:rPr>
              <w:t>34</w:t>
            </w:r>
            <w:r>
              <w:rPr>
                <w:sz w:val="18"/>
                <w:szCs w:val="18"/>
              </w:rPr>
              <w:t>±1</w:t>
            </w:r>
            <w:r>
              <w:rPr>
                <w:sz w:val="18"/>
                <w:szCs w:val="18"/>
              </w:rPr>
              <w:t>1.</w:t>
            </w:r>
            <w:r>
              <w:rPr>
                <w:sz w:val="18"/>
                <w:szCs w:val="18"/>
              </w:rPr>
              <w:t>53</w:t>
            </w:r>
          </w:p>
        </w:tc>
      </w:tr>
      <w:tr>
        <w:trPr/>
        <w:tc>
          <w:tcPr>
            <w:tcW w:w="1495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Brain temperature 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36.23±1.01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35.89±1.01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89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0.84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</w:t>
            </w:r>
            <w:r>
              <w:rPr>
                <w:sz w:val="18"/>
                <w:szCs w:val="18"/>
              </w:rPr>
              <w:t>55</w:t>
            </w:r>
            <w:r>
              <w:rPr>
                <w:sz w:val="18"/>
                <w:szCs w:val="18"/>
              </w:rPr>
              <w:t>±1.0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55</w:t>
            </w:r>
            <w:r>
              <w:rPr>
                <w:sz w:val="18"/>
                <w:szCs w:val="18"/>
              </w:rPr>
              <w:t>±1.</w:t>
            </w:r>
            <w:r>
              <w:rPr>
                <w:sz w:val="18"/>
                <w:szCs w:val="18"/>
              </w:rPr>
              <w:t>12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.8</w:t>
            </w:r>
            <w:r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±1.</w:t>
            </w:r>
            <w:r>
              <w:rPr>
                <w:sz w:val="18"/>
                <w:szCs w:val="18"/>
              </w:rPr>
              <w:t>35</w:t>
            </w:r>
            <w:r>
              <w:rPr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35.55</w:t>
            </w:r>
            <w:r>
              <w:rPr>
                <w:sz w:val="18"/>
                <w:szCs w:val="18"/>
              </w:rPr>
              <w:t>±1.</w:t>
            </w:r>
            <w:r>
              <w:rPr>
                <w:sz w:val="18"/>
                <w:szCs w:val="18"/>
              </w:rPr>
              <w:t>35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</w:t>
            </w:r>
            <w:r>
              <w:rPr>
                <w:sz w:val="18"/>
                <w:szCs w:val="18"/>
              </w:rPr>
              <w:t>22</w:t>
            </w:r>
            <w:r>
              <w:rPr>
                <w:sz w:val="18"/>
                <w:szCs w:val="18"/>
              </w:rPr>
              <w:t>±1.</w:t>
            </w:r>
            <w:r>
              <w:rPr>
                <w:sz w:val="18"/>
                <w:szCs w:val="18"/>
              </w:rPr>
              <w:t>35</w:t>
            </w:r>
            <w:r>
              <w:rPr>
                <w:b/>
                <w:bCs/>
                <w:sz w:val="18"/>
                <w:szCs w:val="18"/>
              </w:rPr>
              <w:t>*</w:t>
            </w:r>
          </w:p>
        </w:tc>
      </w:tr>
      <w:tr>
        <w:trPr/>
        <w:tc>
          <w:tcPr>
            <w:tcW w:w="1495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Rectal temperature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35.30±0.98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34.84±0.93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35.42±1.12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34.73±0.98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35.43±1.10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34.70±0.91</w:t>
            </w:r>
            <w:r>
              <w:rPr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35.32±1.04</w:t>
            </w:r>
          </w:p>
        </w:tc>
        <w:tc>
          <w:tcPr>
            <w:tcW w:w="1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240" w:after="0"/>
              <w:jc w:val="both"/>
              <w:rPr>
                <w:rFonts w:ascii="Liberation Serif" w:hAnsi="Liberation Serif"/>
                <w:sz w:val="18"/>
                <w:szCs w:val="18"/>
              </w:rPr>
            </w:pPr>
            <w:r>
              <w:rPr>
                <w:sz w:val="18"/>
                <w:szCs w:val="18"/>
              </w:rPr>
              <w:t>34.60±0.98</w:t>
            </w:r>
            <w:r>
              <w:rPr>
                <w:b/>
                <w:bCs/>
                <w:sz w:val="18"/>
                <w:szCs w:val="18"/>
              </w:rPr>
              <w:t>*</w:t>
            </w:r>
          </w:p>
        </w:tc>
      </w:tr>
    </w:tbl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jc w:val="both"/>
        <w:rPr>
          <w:rFonts w:ascii="Liberation Serif" w:hAnsi="Liberation Serif"/>
          <w:b/>
          <w:b/>
          <w:sz w:val="24"/>
          <w:szCs w:val="24"/>
        </w:rPr>
      </w:pPr>
      <w:r>
        <w:rPr>
          <w:b w:val="false"/>
          <w:bCs w:val="false"/>
          <w:sz w:val="24"/>
          <w:szCs w:val="24"/>
          <w:highlight w:val="white"/>
        </w:rPr>
        <w:t>Accuracy of the voxel location, estimated as the p</w:t>
      </w:r>
      <w:r>
        <w:rPr>
          <w:b w:val="false"/>
          <w:bCs w:val="false"/>
          <w:sz w:val="24"/>
          <w:szCs w:val="24"/>
          <w:highlight w:val="white"/>
        </w:rPr>
        <w:t xml:space="preserve">ercentage of the MRS voxel </w:t>
      </w:r>
      <w:r>
        <w:rPr>
          <w:b w:val="false"/>
          <w:bCs w:val="false"/>
          <w:sz w:val="24"/>
          <w:szCs w:val="24"/>
          <w:highlight w:val="white"/>
        </w:rPr>
        <w:t xml:space="preserve">covering the region </w:t>
      </w:r>
      <w:r>
        <w:rPr>
          <w:b w:val="false"/>
          <w:bCs w:val="false"/>
          <w:sz w:val="24"/>
          <w:szCs w:val="24"/>
          <w:highlight w:val="white"/>
        </w:rPr>
        <w:t>of interest;</w:t>
      </w:r>
      <w:r>
        <w:rPr>
          <w:b w:val="false"/>
          <w:bCs w:val="false"/>
          <w:sz w:val="24"/>
          <w:szCs w:val="24"/>
          <w:highlight w:val="white"/>
        </w:rPr>
        <w:t xml:space="preserve"> and measured and estimated temperature during estimation were evaluated to ensure acquisition quality. Rectal measurement of temperature was performed during acquisition. Brain temper</w:t>
      </w:r>
      <w:r>
        <w:rPr>
          <w:b w:val="false"/>
          <w:bCs w:val="false"/>
          <w:sz w:val="24"/>
          <w:szCs w:val="24"/>
          <w:highlight w:val="white"/>
        </w:rPr>
        <w:t xml:space="preserve">ature </w:t>
      </w:r>
      <w:r>
        <w:rPr>
          <w:b w:val="false"/>
          <w:bCs w:val="false"/>
          <w:sz w:val="24"/>
          <w:szCs w:val="24"/>
          <w:highlight w:val="white"/>
        </w:rPr>
        <w:t>was estimated</w:t>
      </w:r>
      <w:r>
        <w:rPr>
          <w:b w:val="false"/>
          <w:bCs w:val="false"/>
          <w:sz w:val="24"/>
          <w:szCs w:val="24"/>
          <w:highlight w:val="white"/>
        </w:rPr>
        <w:t xml:space="preserve"> based on </w:t>
      </w:r>
      <w:r>
        <w:rPr>
          <w:b w:val="false"/>
          <w:bCs w:val="false"/>
          <w:sz w:val="24"/>
          <w:szCs w:val="24"/>
          <w:highlight w:val="white"/>
        </w:rPr>
        <w:t>chemical shift of the</w:t>
      </w:r>
      <w:r>
        <w:rPr>
          <w:b w:val="false"/>
          <w:bCs w:val="false"/>
          <w:sz w:val="24"/>
          <w:szCs w:val="24"/>
          <w:highlight w:val="white"/>
        </w:rPr>
        <w:t xml:space="preserve"> N-</w:t>
      </w:r>
      <w:r>
        <w:rPr>
          <w:b w:val="false"/>
          <w:bCs w:val="false"/>
          <w:sz w:val="24"/>
          <w:szCs w:val="24"/>
          <w:highlight w:val="white"/>
        </w:rPr>
        <w:t>acetylaspartate (N</w:t>
      </w:r>
      <w:r>
        <w:rPr>
          <w:b w:val="false"/>
          <w:bCs w:val="false"/>
          <w:sz w:val="24"/>
          <w:szCs w:val="24"/>
          <w:highlight w:val="white"/>
        </w:rPr>
        <w:t>AA</w:t>
      </w:r>
      <w:r>
        <w:rPr>
          <w:b w:val="false"/>
          <w:bCs w:val="false"/>
          <w:sz w:val="24"/>
          <w:szCs w:val="24"/>
          <w:highlight w:val="white"/>
        </w:rPr>
        <w:t>)</w:t>
      </w:r>
      <w:r>
        <w:rPr>
          <w:b w:val="false"/>
          <w:bCs w:val="false"/>
          <w:sz w:val="24"/>
          <w:szCs w:val="24"/>
          <w:highlight w:val="white"/>
        </w:rPr>
        <w:t xml:space="preserve"> peak </w:t>
      </w:r>
      <w:r>
        <w:rPr>
          <w:b w:val="false"/>
          <w:bCs w:val="false"/>
          <w:sz w:val="24"/>
          <w:szCs w:val="24"/>
          <w:highlight w:val="white"/>
        </w:rPr>
        <w:t>relative to water</w:t>
      </w:r>
      <w:r>
        <w:rPr>
          <w:b w:val="false"/>
          <w:bCs w:val="false"/>
          <w:sz w:val="24"/>
          <w:szCs w:val="24"/>
          <w:highlight w:val="white"/>
        </w:rPr>
        <w:t xml:space="preserve">. </w:t>
      </w:r>
      <w:r>
        <w:rPr>
          <w:b w:val="false"/>
          <w:bCs w:val="false"/>
          <w:sz w:val="24"/>
          <w:szCs w:val="24"/>
          <w:highlight w:val="white"/>
        </w:rPr>
        <w:t>Asterisks indicate significant differences between</w:t>
      </w:r>
      <w:r>
        <w:rPr>
          <w:b w:val="false"/>
          <w:bCs w:val="false"/>
          <w:sz w:val="24"/>
          <w:szCs w:val="24"/>
          <w:highlight w:val="white"/>
        </w:rPr>
        <w:t xml:space="preserve"> wildtype and transgenic animals.</w:t>
      </w:r>
    </w:p>
    <w:p>
      <w:pPr>
        <w:pStyle w:val="Normal"/>
        <w:jc w:val="both"/>
        <w:rPr>
          <w:rFonts w:ascii="Liberation Serif" w:hAnsi="Liberation Serif"/>
          <w:b/>
          <w:b/>
          <w:bCs w:val="false"/>
          <w:position w:val="0"/>
          <w:sz w:val="24"/>
          <w:sz w:val="24"/>
          <w:szCs w:val="24"/>
          <w:vertAlign w:val="baseline"/>
        </w:rPr>
      </w:pPr>
      <w:r>
        <w:rPr>
          <w:b/>
          <w:bCs w:val="false"/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/>
          <w:b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/>
          <w:position w:val="0"/>
          <w:sz w:val="24"/>
          <w:sz w:val="24"/>
          <w:szCs w:val="24"/>
          <w:highlight w:val="white"/>
          <w:vertAlign w:val="baseline"/>
        </w:rPr>
        <w:t xml:space="preserve">Supplementary Table 2.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Significant effects of age, group or age-group interaction in the metabolite concentration.</w:t>
      </w:r>
    </w:p>
    <w:p>
      <w:pPr>
        <w:pStyle w:val="Normal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  <w:t xml:space="preserve"> </w:t>
      </w:r>
    </w:p>
    <w:tbl>
      <w:tblPr>
        <w:tblW w:w="9633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256"/>
        <w:gridCol w:w="1172"/>
        <w:gridCol w:w="1172"/>
        <w:gridCol w:w="991"/>
        <w:gridCol w:w="1198"/>
        <w:gridCol w:w="1202"/>
        <w:gridCol w:w="1198"/>
      </w:tblGrid>
      <w:tr>
        <w:trPr>
          <w:trHeight w:val="293" w:hRule="atLeast"/>
        </w:trPr>
        <w:tc>
          <w:tcPr>
            <w:tcW w:w="1444" w:type="dxa"/>
            <w:tcBorders/>
            <w:shd w:fill="auto" w:val="clear"/>
          </w:tcPr>
          <w:p>
            <w:pPr>
              <w:pStyle w:val="Normal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REGION</w:t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METAB.</w:t>
            </w:r>
          </w:p>
        </w:tc>
        <w:tc>
          <w:tcPr>
            <w:tcW w:w="2344" w:type="dxa"/>
            <w:gridSpan w:val="2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Age</w:t>
            </w:r>
          </w:p>
        </w:tc>
        <w:tc>
          <w:tcPr>
            <w:tcW w:w="2189" w:type="dxa"/>
            <w:gridSpan w:val="2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Group</w:t>
            </w:r>
          </w:p>
        </w:tc>
        <w:tc>
          <w:tcPr>
            <w:tcW w:w="2400" w:type="dxa"/>
            <w:gridSpan w:val="2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Group x age interaction</w:t>
            </w:r>
          </w:p>
        </w:tc>
      </w:tr>
      <w:tr>
        <w:trPr>
          <w:trHeight w:val="293" w:hRule="atLeast"/>
        </w:trPr>
        <w:tc>
          <w:tcPr>
            <w:tcW w:w="1444" w:type="dxa"/>
            <w:tcBorders/>
            <w:shd w:fill="auto" w:val="clear"/>
          </w:tcPr>
          <w:p>
            <w:pPr>
              <w:pStyle w:val="Normal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p-value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 xml:space="preserve">Cohen’s f² 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p-value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 xml:space="preserve">Cohen’s f² 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p-value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 xml:space="preserve">Cohen’s f² 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restart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Cortex</w:t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Cr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0.0069**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0.6134***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0.0408*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0.6245***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tCr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0.0077**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0.3910***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NAA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0.0060**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0.9723***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0.0325*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0.4156***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0.0027**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1.1117***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tNAA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0.0072**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0.8372***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0.0370*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0.3457**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0.0049**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0.9624***</w:t>
            </w:r>
          </w:p>
        </w:tc>
      </w:tr>
      <w:tr>
        <w:trPr>
          <w:trHeight w:val="256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Glu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0.0127*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0.2977**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</w:tr>
      <w:tr>
        <w:trPr>
          <w:trHeight w:val="256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Glx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0.0267*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0.2726**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</w:tr>
      <w:tr>
        <w:trPr>
          <w:trHeight w:val="256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Tau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1.09e-6***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2.4696***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0.0092**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0.9263***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8.08e-5***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2.5571***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tCho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0.0105*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0.2466**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0.0445*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0.7643**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restart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Thalamus</w:t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tCr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0.0097**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1.7123***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0.0012**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2.2174***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NAA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0.0002***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2.0831***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6.86e-6***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2.8519***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tNAA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0.0119*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1.0185***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0.0036**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1.4505***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Glu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0.0028**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1.0504***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0.0138*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1.1599***</w:t>
            </w:r>
          </w:p>
        </w:tc>
      </w:tr>
      <w:tr>
        <w:trPr>
          <w:trHeight w:val="256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Glx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0.0356*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0.6520***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Ins+Gly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0.0281*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0.6752***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tC</w:t>
            </w: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ho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0.0031**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1.6175***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restart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Hippocampus</w:t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NAA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0.0211*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0.5779***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Ins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0.0089**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0.3165**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Ins+Gly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0.0116*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0.2298**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tCho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0.0449*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0.2116**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restart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Striatum</w:t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Glu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0.0437*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0.3845***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Ins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0.0149*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0.8547***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</w:tr>
      <w:tr>
        <w:trPr>
          <w:trHeight w:val="293" w:hRule="atLeast"/>
        </w:trPr>
        <w:tc>
          <w:tcPr>
            <w:tcW w:w="1444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56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Ins+Gly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0.0395*</w:t>
            </w:r>
          </w:p>
        </w:tc>
        <w:tc>
          <w:tcPr>
            <w:tcW w:w="117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1.2619***</w:t>
            </w:r>
          </w:p>
        </w:tc>
        <w:tc>
          <w:tcPr>
            <w:tcW w:w="991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202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0.0178*</w:t>
            </w:r>
          </w:p>
        </w:tc>
        <w:tc>
          <w:tcPr>
            <w:tcW w:w="1198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0.7194***</w:t>
            </w:r>
          </w:p>
        </w:tc>
      </w:tr>
    </w:tbl>
    <w:p>
      <w:pPr>
        <w:pStyle w:val="Normal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highlight w:val="white"/>
          <w:vertAlign w:val="baseline"/>
        </w:rPr>
        <w:t>Significant effects of age, group or age-group interaction in the metabolite concentration adjusted b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>y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 xml:space="preserve"> linear mixed effects model (LME). p-value (* p&lt;0.05; ** p&lt;0.01; *** p&lt;0.001) and Cohen’s f² effect size are reported. Asterisks represent small (*, f²&gt;0.02), medium (**, f²&gt;0.15) and large (***, f²&gt;0.35) 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 xml:space="preserve">effect 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 xml:space="preserve">according to convention. 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>Cr: creatine, tCr: total creatine; NAA: N-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>a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>cetyl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>a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>spartate; tNAA: NAA+N-acetylaspartylglutamate (NAAG) pool; Glu: glutamate; Glx: Glutamate and glutamine pool; Tau: taurine; tCho: choline compounds; Ins: myo-inositol; Ins + Gly: myo-inositol and glycine.</w:t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/>
          <w:b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/>
          <w:position w:val="0"/>
          <w:sz w:val="24"/>
          <w:sz w:val="24"/>
          <w:szCs w:val="24"/>
          <w:highlight w:val="white"/>
          <w:vertAlign w:val="baseline"/>
        </w:rPr>
        <w:t xml:space="preserve">Supplementary table 3.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S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ignificant age effects in the metabolite concentration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in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wild-type and TgF344-AD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 animals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.</w:t>
      </w:r>
    </w:p>
    <w:tbl>
      <w:tblPr>
        <w:tblW w:w="9631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534"/>
        <w:gridCol w:w="1666"/>
        <w:gridCol w:w="1666"/>
        <w:gridCol w:w="1666"/>
        <w:gridCol w:w="1666"/>
      </w:tblGrid>
      <w:tr>
        <w:trPr>
          <w:trHeight w:val="293" w:hRule="atLeast"/>
        </w:trPr>
        <w:tc>
          <w:tcPr>
            <w:tcW w:w="1433" w:type="dxa"/>
            <w:tcBorders/>
            <w:shd w:fill="auto" w:val="clear"/>
          </w:tcPr>
          <w:p>
            <w:pPr>
              <w:pStyle w:val="Normal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</w:r>
          </w:p>
        </w:tc>
        <w:tc>
          <w:tcPr>
            <w:tcW w:w="3332" w:type="dxa"/>
            <w:gridSpan w:val="2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CONTROL</w:t>
            </w:r>
          </w:p>
        </w:tc>
        <w:tc>
          <w:tcPr>
            <w:tcW w:w="3332" w:type="dxa"/>
            <w:gridSpan w:val="2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TgF344-AD</w:t>
            </w:r>
          </w:p>
        </w:tc>
      </w:tr>
      <w:tr>
        <w:trPr>
          <w:trHeight w:val="293" w:hRule="atLeast"/>
        </w:trPr>
        <w:tc>
          <w:tcPr>
            <w:tcW w:w="1433" w:type="dxa"/>
            <w:tcBorders/>
            <w:shd w:fill="auto" w:val="clear"/>
          </w:tcPr>
          <w:p>
            <w:pPr>
              <w:pStyle w:val="Normal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REGION</w:t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METAB.</w:t>
            </w:r>
          </w:p>
        </w:tc>
        <w:tc>
          <w:tcPr>
            <w:tcW w:w="3332" w:type="dxa"/>
            <w:gridSpan w:val="2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Age</w:t>
            </w:r>
          </w:p>
        </w:tc>
        <w:tc>
          <w:tcPr>
            <w:tcW w:w="3332" w:type="dxa"/>
            <w:gridSpan w:val="2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Age</w:t>
            </w:r>
          </w:p>
        </w:tc>
      </w:tr>
      <w:tr>
        <w:trPr>
          <w:trHeight w:val="293" w:hRule="atLeast"/>
        </w:trPr>
        <w:tc>
          <w:tcPr>
            <w:tcW w:w="1433" w:type="dxa"/>
            <w:tcBorders/>
            <w:shd w:fill="auto" w:val="clear"/>
          </w:tcPr>
          <w:p>
            <w:pPr>
              <w:pStyle w:val="Normal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p-value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 xml:space="preserve">Cohen’s f² 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p-value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 xml:space="preserve">Cohen’s f² </w:t>
            </w:r>
          </w:p>
        </w:tc>
      </w:tr>
      <w:tr>
        <w:trPr>
          <w:trHeight w:val="293" w:hRule="atLeast"/>
        </w:trPr>
        <w:tc>
          <w:tcPr>
            <w:tcW w:w="1433" w:type="dxa"/>
            <w:vMerge w:val="restart"/>
            <w:tcBorders/>
            <w:shd w:fill="auto" w:val="clear"/>
          </w:tcPr>
          <w:p>
            <w:pPr>
              <w:pStyle w:val="Normal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Cortex</w:t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Cr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0.0065**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0.3326**</w:t>
            </w:r>
          </w:p>
        </w:tc>
      </w:tr>
      <w:tr>
        <w:trPr>
          <w:trHeight w:val="293" w:hRule="atLeast"/>
        </w:trPr>
        <w:tc>
          <w:tcPr>
            <w:tcW w:w="1433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NAA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0.0024**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0.3973***</w:t>
            </w:r>
          </w:p>
        </w:tc>
      </w:tr>
      <w:tr>
        <w:trPr>
          <w:trHeight w:val="293" w:hRule="atLeast"/>
        </w:trPr>
        <w:tc>
          <w:tcPr>
            <w:tcW w:w="1433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tNAA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0.0038**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0.3780***</w:t>
            </w:r>
          </w:p>
        </w:tc>
      </w:tr>
      <w:tr>
        <w:trPr>
          <w:trHeight w:val="256" w:hRule="atLeast"/>
        </w:trPr>
        <w:tc>
          <w:tcPr>
            <w:tcW w:w="1433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Tau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1.03e-5***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0.8274***</w:t>
            </w:r>
          </w:p>
        </w:tc>
      </w:tr>
      <w:tr>
        <w:trPr>
          <w:trHeight w:val="293" w:hRule="atLeast"/>
        </w:trPr>
        <w:tc>
          <w:tcPr>
            <w:tcW w:w="1433" w:type="dxa"/>
            <w:vMerge w:val="restart"/>
            <w:tcBorders/>
            <w:shd w:fill="auto" w:val="clear"/>
          </w:tcPr>
          <w:p>
            <w:pPr>
              <w:pStyle w:val="Normal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Thalamus</w:t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tCr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0.0278*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0.3443**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0.0040**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0.4784***</w:t>
            </w:r>
          </w:p>
        </w:tc>
      </w:tr>
      <w:tr>
        <w:trPr>
          <w:trHeight w:val="293" w:hRule="atLeast"/>
        </w:trPr>
        <w:tc>
          <w:tcPr>
            <w:tcW w:w="1433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NAA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0.0057**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0.3035**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0.0006***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0.7764***</w:t>
            </w:r>
          </w:p>
        </w:tc>
      </w:tr>
      <w:tr>
        <w:trPr>
          <w:trHeight w:val="293" w:hRule="atLeast"/>
        </w:trPr>
        <w:tc>
          <w:tcPr>
            <w:tcW w:w="1433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tNAA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0.0050**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0.6552***</w:t>
            </w:r>
          </w:p>
        </w:tc>
      </w:tr>
      <w:tr>
        <w:trPr>
          <w:trHeight w:val="293" w:hRule="atLeast"/>
        </w:trPr>
        <w:tc>
          <w:tcPr>
            <w:tcW w:w="1433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Glu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0.0041**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0.6062***</w:t>
            </w:r>
          </w:p>
        </w:tc>
      </w:tr>
      <w:tr>
        <w:trPr>
          <w:trHeight w:val="293" w:hRule="atLeast"/>
        </w:trPr>
        <w:tc>
          <w:tcPr>
            <w:tcW w:w="1433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Ins+Gly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0.0400*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0.1877**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s.s.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</w:tr>
      <w:tr>
        <w:trPr>
          <w:trHeight w:val="293" w:hRule="atLeast"/>
        </w:trPr>
        <w:tc>
          <w:tcPr>
            <w:tcW w:w="1433" w:type="dxa"/>
            <w:tcBorders/>
            <w:shd w:fill="auto" w:val="clear"/>
          </w:tcPr>
          <w:p>
            <w:pPr>
              <w:pStyle w:val="Normal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Hippocampus</w:t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NAA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0.0171*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0.2690**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n.s.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-</w:t>
            </w:r>
          </w:p>
        </w:tc>
      </w:tr>
      <w:tr>
        <w:trPr>
          <w:trHeight w:val="293" w:hRule="atLeast"/>
        </w:trPr>
        <w:tc>
          <w:tcPr>
            <w:tcW w:w="1433" w:type="dxa"/>
            <w:tcBorders/>
            <w:shd w:fill="auto" w:val="clear"/>
          </w:tcPr>
          <w:p>
            <w:pPr>
              <w:pStyle w:val="Normal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Striatum</w:t>
            </w:r>
          </w:p>
        </w:tc>
        <w:tc>
          <w:tcPr>
            <w:tcW w:w="1534" w:type="dxa"/>
            <w:tcBorders/>
            <w:shd w:fill="auto" w:val="clear"/>
          </w:tcPr>
          <w:p>
            <w:pPr>
              <w:pStyle w:val="Normal"/>
              <w:jc w:val="left"/>
              <w:rPr>
                <w:rFonts w:ascii="Liberation Serif" w:hAnsi="Liberation Serif"/>
                <w:b/>
                <w:b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b/>
                <w:position w:val="0"/>
                <w:sz w:val="20"/>
                <w:sz w:val="20"/>
                <w:szCs w:val="20"/>
                <w:vertAlign w:val="baseline"/>
              </w:rPr>
              <w:t>Ins+Gly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7.95e-8***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1.0284***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0.0272*</w:t>
            </w:r>
          </w:p>
        </w:tc>
        <w:tc>
          <w:tcPr>
            <w:tcW w:w="1666" w:type="dxa"/>
            <w:tcBorders/>
            <w:shd w:fill="auto" w:val="clear"/>
          </w:tcPr>
          <w:p>
            <w:pPr>
              <w:pStyle w:val="Normal"/>
              <w:jc w:val="right"/>
              <w:rPr>
                <w:rFonts w:ascii="Liberation Serif" w:hAnsi="Liberation Serif"/>
                <w:position w:val="0"/>
                <w:sz w:val="20"/>
                <w:sz w:val="20"/>
                <w:szCs w:val="20"/>
                <w:vertAlign w:val="baseline"/>
              </w:rPr>
            </w:pPr>
            <w:r>
              <w:rPr>
                <w:position w:val="0"/>
                <w:sz w:val="20"/>
                <w:sz w:val="20"/>
                <w:szCs w:val="20"/>
                <w:vertAlign w:val="baseline"/>
              </w:rPr>
              <w:t>0.2374**</w:t>
            </w:r>
          </w:p>
        </w:tc>
      </w:tr>
    </w:tbl>
    <w:p>
      <w:pPr>
        <w:pStyle w:val="Normal"/>
        <w:jc w:val="both"/>
        <w:rPr>
          <w:rFonts w:ascii="Liberation Serif" w:hAnsi="Liberation Serif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position w:val="0"/>
          <w:sz w:val="24"/>
          <w:sz w:val="24"/>
          <w:szCs w:val="24"/>
          <w:highlight w:val="white"/>
          <w:vertAlign w:val="baseline"/>
        </w:rPr>
        <w:t>Significant effects of age detecte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>d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 xml:space="preserve"> after fitting linear mixed effect model to each group (estimated only if age-group interaction was significant in the whole-cohort model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>)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 xml:space="preserve">. p-value (* p&lt;0.05; ** p&lt;0.01; *** p&lt;0.001) and Cohen’s f² effect size are reported. Asterisks represent small (*, f²&gt;0.02), medium (**, f²&gt;0.15) and large (***, f²&gt;0.35) according to convention. </w:t>
      </w:r>
      <w:r>
        <w:rPr>
          <w:position w:val="0"/>
          <w:sz w:val="24"/>
          <w:sz w:val="24"/>
          <w:szCs w:val="24"/>
          <w:highlight w:val="white"/>
          <w:vertAlign w:val="baseline"/>
        </w:rPr>
        <w:t xml:space="preserve">Cr: creatine, tCr: total creatine; NAA: N-acetylaspartate; tNAA: NAA+N-a1cetylaspartylglutamate (NAAG) pool; Glu: glutamate; Tau: taurine; Ins + Gly: myo-inositol and glycine. </w:t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458978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89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/>
          <w:b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/>
          <w:position w:val="0"/>
          <w:sz w:val="24"/>
          <w:sz w:val="24"/>
          <w:szCs w:val="24"/>
          <w:highlight w:val="white"/>
          <w:vertAlign w:val="baseline"/>
        </w:rPr>
        <w:t xml:space="preserve">Supplementary </w:t>
      </w:r>
      <w:r>
        <w:rPr>
          <w:b/>
          <w:position w:val="0"/>
          <w:sz w:val="24"/>
          <w:sz w:val="24"/>
          <w:szCs w:val="24"/>
          <w:highlight w:val="white"/>
          <w:vertAlign w:val="baseline"/>
        </w:rPr>
        <w:t>Figure</w:t>
      </w:r>
      <w:r>
        <w:rPr>
          <w:b/>
          <w:position w:val="0"/>
          <w:sz w:val="24"/>
          <w:sz w:val="24"/>
          <w:szCs w:val="24"/>
          <w:highlight w:val="white"/>
          <w:vertAlign w:val="baseline"/>
        </w:rPr>
        <w:t xml:space="preserve"> </w:t>
      </w:r>
      <w:r>
        <w:rPr>
          <w:b/>
          <w:position w:val="0"/>
          <w:sz w:val="24"/>
          <w:sz w:val="24"/>
          <w:szCs w:val="24"/>
          <w:highlight w:val="white"/>
          <w:vertAlign w:val="baseline"/>
        </w:rPr>
        <w:t>1</w:t>
      </w:r>
      <w:r>
        <w:rPr>
          <w:b/>
          <w:position w:val="0"/>
          <w:sz w:val="24"/>
          <w:sz w:val="24"/>
          <w:szCs w:val="24"/>
          <w:highlight w:val="white"/>
          <w:vertAlign w:val="baseline"/>
        </w:rPr>
        <w:t xml:space="preserve">.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Intra-regional c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orrelation coefficients between metabolite concentration in each region. Upper triangle: correlation in wildtype animals; lower triangle: correlation in TgF344-AD.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NAA: N-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a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cetyl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a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spartate; tNAA: NAA+N-acetylaspartylglutamate (NAAG) pool;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Gln: glutamine;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 Glu: glutamate;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Glx: Glu+Glx pool; GSH: glutathione;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Cr: creatine;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PCr: phosphocreatine; t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Cr: total creatine;  Tau: taurine;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Ins: myo-inositol;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Ins + Gly: myo-inositol and glycine.</w:t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r>
    </w:p>
    <w:p>
      <w:pPr>
        <w:pStyle w:val="Normal"/>
        <w:jc w:val="both"/>
        <w:rPr>
          <w:rFonts w:ascii="Liberation Serif" w:hAnsi="Liberation Serif"/>
          <w:b w:val="false"/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7811135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81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Liberation Serif" w:hAnsi="Liberation Serif"/>
          <w:b/>
          <w:b/>
          <w:position w:val="0"/>
          <w:sz w:val="24"/>
          <w:sz w:val="24"/>
          <w:szCs w:val="24"/>
          <w:highlight w:val="white"/>
          <w:vertAlign w:val="baseline"/>
        </w:rPr>
      </w:pPr>
      <w:r>
        <w:rPr>
          <w:b/>
          <w:bCs/>
          <w:position w:val="0"/>
          <w:sz w:val="24"/>
          <w:sz w:val="24"/>
          <w:szCs w:val="24"/>
          <w:highlight w:val="white"/>
          <w:vertAlign w:val="baseline"/>
        </w:rPr>
        <w:t xml:space="preserve">Supplementary </w:t>
      </w:r>
      <w:r>
        <w:rPr>
          <w:b/>
          <w:bCs/>
          <w:position w:val="0"/>
          <w:sz w:val="24"/>
          <w:sz w:val="24"/>
          <w:szCs w:val="24"/>
          <w:highlight w:val="white"/>
          <w:vertAlign w:val="baseline"/>
        </w:rPr>
        <w:t>Figure</w:t>
      </w:r>
      <w:r>
        <w:rPr>
          <w:b/>
          <w:bCs/>
          <w:position w:val="0"/>
          <w:sz w:val="24"/>
          <w:sz w:val="24"/>
          <w:szCs w:val="24"/>
          <w:highlight w:val="white"/>
          <w:vertAlign w:val="baseline"/>
        </w:rPr>
        <w:t xml:space="preserve"> </w:t>
      </w:r>
      <w:r>
        <w:rPr>
          <w:b/>
          <w:bCs/>
          <w:position w:val="0"/>
          <w:sz w:val="24"/>
          <w:sz w:val="24"/>
          <w:szCs w:val="24"/>
          <w:highlight w:val="white"/>
          <w:vertAlign w:val="baseline"/>
        </w:rPr>
        <w:t>2</w:t>
      </w:r>
      <w:r>
        <w:rPr>
          <w:b/>
          <w:bCs/>
          <w:position w:val="0"/>
          <w:sz w:val="24"/>
          <w:sz w:val="24"/>
          <w:szCs w:val="24"/>
          <w:highlight w:val="white"/>
          <w:vertAlign w:val="baseline"/>
        </w:rPr>
        <w:t>.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Inter-regional c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orrelation coefficients between metabolite concentration in each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pair of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 region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s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in wildtype (superior rows) and TgF344-AD (inferior rows)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.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NAA: N-Acetyl-Aspartate; tNAA: NAA+N-acetyl-aspartyl-glutamate (NAAG) pool;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Gln: glutamine;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 Glu: glutamate;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Glx: Glu+Glx pool; GSH: glutathione;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Cr: creatine;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PCr: phosphocreatine; t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Cr: total creatine;  Tau: taurine;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 xml:space="preserve">Ins: myoinositol; </w:t>
      </w:r>
      <w:r>
        <w:rPr>
          <w:b w:val="false"/>
          <w:bCs w:val="false"/>
          <w:position w:val="0"/>
          <w:sz w:val="24"/>
          <w:sz w:val="24"/>
          <w:szCs w:val="24"/>
          <w:highlight w:val="white"/>
          <w:vertAlign w:val="baseline"/>
        </w:rPr>
        <w:t>Ins + Gly: myoinositol and glycine.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6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4323</TotalTime>
  <Application>LibreOffice/6.0.7.3$Linux_X86_64 LibreOffice_project/00m0$Build-3</Application>
  <Pages>5</Pages>
  <Words>680</Words>
  <Characters>4220</Characters>
  <CharactersWithSpaces>4606</CharactersWithSpaces>
  <Paragraphs>287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2022-03-21T14:17:19Z</dcterms:created>
  <dc:creator>EMMA </dc:creator>
  <dc:description/>
  <dc:language>en-US</dc:language>
  <cp:lastModifiedBy>EMMA </cp:lastModifiedBy>
  <dcterms:modified xsi:type="dcterms:W3CDTF">2022-04-14T12:46:49Z</dcterms:modified>
  <cp:revision>12</cp:revision>
  <dc:subject/>
  <dc:title/>
</cp:coreProperties>
</file>