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480" w:after="240" w:line="360" w:lineRule="auto"/>
        <w:jc w:val="center"/>
        <w:rPr>
          <w:rFonts w:ascii="Arial" w:hAnsi="Arial" w:cs="Arial"/>
          <w:b/>
          <w:sz w:val="32"/>
          <w:szCs w:val="56"/>
        </w:rPr>
      </w:pPr>
      <w:bookmarkStart w:id="0" w:name="_Hlk37884880"/>
      <w:bookmarkEnd w:id="0"/>
      <w:bookmarkStart w:id="1" w:name="_Hlk530328943"/>
      <w:bookmarkStart w:id="2" w:name="_Hlk530323155"/>
      <w:bookmarkStart w:id="3" w:name="_Hlk533158930"/>
      <w:bookmarkStart w:id="4" w:name="_Hlk530321619"/>
      <w:bookmarkStart w:id="5" w:name="OLE_LINK2"/>
      <w:bookmarkStart w:id="6" w:name="_Hlk519963817"/>
      <w:bookmarkStart w:id="7" w:name="OLE_LINK1"/>
      <w:r>
        <w:rPr>
          <w:rFonts w:ascii="Arial" w:hAnsi="Arial" w:cs="Arial"/>
          <w:b/>
          <w:sz w:val="32"/>
          <w:szCs w:val="56"/>
        </w:rPr>
        <w:t>Supplementary Information</w:t>
      </w:r>
    </w:p>
    <w:bookmarkEnd w:id="1"/>
    <w:bookmarkEnd w:id="2"/>
    <w:bookmarkEnd w:id="3"/>
    <w:bookmarkEnd w:id="4"/>
    <w:p>
      <w:pPr>
        <w:rPr>
          <w:rFonts w:ascii="Arial" w:hAnsi="Arial" w:cs="Arial"/>
          <w:sz w:val="26"/>
          <w:szCs w:val="26"/>
        </w:rPr>
      </w:pPr>
      <w:r>
        <w:rPr>
          <w:rFonts w:ascii="Arial" w:hAnsi="Arial" w:cs="Arial" w:eastAsiaTheme="minorEastAsia"/>
          <w:b/>
          <w:kern w:val="36"/>
          <w:sz w:val="26"/>
          <w:szCs w:val="26"/>
          <w:lang w:eastAsia="zh-CN"/>
        </w:rPr>
        <w:t>Controllable mitochondrial aggregation and fusion by a programmable DNA binder</w:t>
      </w:r>
    </w:p>
    <w:bookmarkEnd w:id="5"/>
    <w:bookmarkEnd w:id="6"/>
    <w:bookmarkEnd w:id="7"/>
    <w:p>
      <w:pPr>
        <w:adjustRightInd w:val="0"/>
        <w:snapToGrid w:val="0"/>
        <w:spacing w:line="480" w:lineRule="auto"/>
        <w:rPr>
          <w:rFonts w:ascii="Arial" w:hAnsi="Arial" w:cs="Arial"/>
          <w:color w:val="000000"/>
          <w:sz w:val="22"/>
          <w:szCs w:val="24"/>
        </w:rPr>
      </w:pPr>
    </w:p>
    <w:p>
      <w:pPr>
        <w:adjustRightInd w:val="0"/>
        <w:snapToGrid w:val="0"/>
        <w:spacing w:line="480" w:lineRule="auto"/>
        <w:rPr>
          <w:rFonts w:ascii="Arial" w:hAnsi="Arial" w:cs="Arial"/>
          <w:color w:val="000000"/>
          <w:sz w:val="22"/>
          <w:szCs w:val="24"/>
        </w:rPr>
      </w:pPr>
      <w:r>
        <w:rPr>
          <w:rFonts w:ascii="Arial" w:hAnsi="Arial" w:cs="Arial"/>
          <w:color w:val="000000"/>
          <w:sz w:val="22"/>
          <w:szCs w:val="24"/>
        </w:rPr>
        <w:t>L</w:t>
      </w:r>
      <w:r>
        <w:rPr>
          <w:rFonts w:hint="eastAsia" w:ascii="Arial" w:hAnsi="Arial" w:cs="Arial"/>
          <w:color w:val="000000"/>
          <w:sz w:val="22"/>
          <w:szCs w:val="24"/>
        </w:rPr>
        <w:t>ong</w:t>
      </w:r>
      <w:r>
        <w:rPr>
          <w:rFonts w:ascii="Arial" w:hAnsi="Arial" w:cs="Arial"/>
          <w:color w:val="000000"/>
          <w:sz w:val="22"/>
          <w:szCs w:val="24"/>
        </w:rPr>
        <w:t>yi Zhu</w:t>
      </w:r>
      <w:r>
        <w:rPr>
          <w:rFonts w:ascii="Arial" w:hAnsi="Arial" w:cs="Arial"/>
          <w:color w:val="000000"/>
          <w:sz w:val="22"/>
          <w:szCs w:val="24"/>
          <w:vertAlign w:val="superscript"/>
        </w:rPr>
        <w:t>1</w:t>
      </w:r>
      <w:r>
        <w:rPr>
          <w:rFonts w:ascii="Arial" w:hAnsi="Arial" w:cs="Arial"/>
          <w:color w:val="000000"/>
          <w:sz w:val="22"/>
          <w:szCs w:val="24"/>
        </w:rPr>
        <w:t>, Yiting Shen</w:t>
      </w:r>
      <w:r>
        <w:rPr>
          <w:rFonts w:ascii="Arial" w:hAnsi="Arial" w:cs="Arial"/>
          <w:color w:val="000000"/>
          <w:sz w:val="22"/>
          <w:szCs w:val="24"/>
          <w:vertAlign w:val="superscript"/>
        </w:rPr>
        <w:t>1</w:t>
      </w:r>
      <w:r>
        <w:rPr>
          <w:rFonts w:ascii="Arial" w:hAnsi="Arial" w:cs="Arial"/>
          <w:color w:val="000000"/>
          <w:sz w:val="22"/>
          <w:szCs w:val="24"/>
        </w:rPr>
        <w:t>, Shengyuan Deng</w:t>
      </w:r>
      <w:r>
        <w:rPr>
          <w:rFonts w:ascii="Arial" w:hAnsi="Arial" w:cs="Arial"/>
          <w:color w:val="000000"/>
          <w:sz w:val="22"/>
          <w:szCs w:val="24"/>
          <w:vertAlign w:val="superscript"/>
        </w:rPr>
        <w:t>2</w:t>
      </w:r>
      <w:r>
        <w:rPr>
          <w:rFonts w:ascii="Arial" w:hAnsi="Arial" w:cs="Arial"/>
          <w:color w:val="000000"/>
          <w:sz w:val="22"/>
          <w:szCs w:val="24"/>
        </w:rPr>
        <w:t>, Ying Wan</w:t>
      </w:r>
      <w:r>
        <w:rPr>
          <w:rFonts w:ascii="Arial" w:hAnsi="Arial" w:cs="Arial"/>
          <w:color w:val="000000"/>
          <w:sz w:val="22"/>
          <w:szCs w:val="24"/>
          <w:vertAlign w:val="superscript"/>
        </w:rPr>
        <w:t>3</w:t>
      </w:r>
      <w:r>
        <w:rPr>
          <w:rFonts w:ascii="Arial" w:hAnsi="Arial" w:cs="Arial"/>
          <w:color w:val="000000"/>
          <w:sz w:val="22"/>
          <w:szCs w:val="24"/>
        </w:rPr>
        <w:t>*, Jun Luo</w:t>
      </w:r>
      <w:r>
        <w:rPr>
          <w:rFonts w:ascii="Arial" w:hAnsi="Arial" w:cs="Arial"/>
          <w:color w:val="000000"/>
          <w:sz w:val="22"/>
          <w:szCs w:val="24"/>
          <w:vertAlign w:val="superscript"/>
        </w:rPr>
        <w:t>1</w:t>
      </w:r>
      <w:r>
        <w:rPr>
          <w:rFonts w:ascii="Arial" w:hAnsi="Arial" w:cs="Arial"/>
          <w:color w:val="000000"/>
          <w:sz w:val="22"/>
          <w:szCs w:val="24"/>
        </w:rPr>
        <w:t>, Yan Su</w:t>
      </w:r>
      <w:r>
        <w:rPr>
          <w:rFonts w:ascii="Arial" w:hAnsi="Arial" w:cs="Arial"/>
          <w:color w:val="000000"/>
          <w:sz w:val="22"/>
          <w:szCs w:val="24"/>
          <w:vertAlign w:val="superscript"/>
        </w:rPr>
        <w:t>3</w:t>
      </w:r>
      <w:r>
        <w:rPr>
          <w:rFonts w:ascii="Arial" w:hAnsi="Arial" w:cs="Arial"/>
          <w:color w:val="000000"/>
          <w:sz w:val="22"/>
          <w:szCs w:val="24"/>
        </w:rPr>
        <w:t>, Mingxu You</w:t>
      </w:r>
      <w:r>
        <w:rPr>
          <w:rFonts w:ascii="Arial" w:hAnsi="Arial" w:cs="Arial"/>
          <w:color w:val="000000"/>
          <w:sz w:val="22"/>
          <w:szCs w:val="24"/>
          <w:vertAlign w:val="superscript"/>
        </w:rPr>
        <w:t>4</w:t>
      </w:r>
      <w:r>
        <w:rPr>
          <w:rFonts w:ascii="Arial" w:hAnsi="Arial" w:cs="Arial"/>
          <w:color w:val="000000"/>
          <w:sz w:val="22"/>
          <w:szCs w:val="24"/>
        </w:rPr>
        <w:t>, Chunhai Fan</w:t>
      </w:r>
      <w:r>
        <w:rPr>
          <w:rFonts w:ascii="Arial" w:hAnsi="Arial" w:cs="Arial"/>
          <w:color w:val="000000"/>
          <w:sz w:val="22"/>
          <w:szCs w:val="24"/>
          <w:vertAlign w:val="superscript"/>
        </w:rPr>
        <w:t>5</w:t>
      </w:r>
      <w:r>
        <w:rPr>
          <w:rFonts w:ascii="Arial" w:hAnsi="Arial" w:cs="Arial"/>
          <w:color w:val="000000"/>
          <w:sz w:val="22"/>
          <w:szCs w:val="24"/>
        </w:rPr>
        <w:t xml:space="preserve"> and Kewei Ren</w:t>
      </w:r>
      <w:r>
        <w:rPr>
          <w:rFonts w:ascii="Arial" w:hAnsi="Arial" w:cs="Arial"/>
          <w:color w:val="000000"/>
          <w:sz w:val="22"/>
          <w:szCs w:val="24"/>
          <w:vertAlign w:val="superscript"/>
        </w:rPr>
        <w:t>1</w:t>
      </w:r>
      <w:r>
        <w:rPr>
          <w:rFonts w:ascii="Arial" w:hAnsi="Arial" w:cs="Arial"/>
          <w:color w:val="000000"/>
          <w:sz w:val="22"/>
          <w:szCs w:val="24"/>
        </w:rPr>
        <w:t>*</w:t>
      </w:r>
    </w:p>
    <w:p>
      <w:pPr>
        <w:adjustRightInd w:val="0"/>
        <w:snapToGrid w:val="0"/>
        <w:spacing w:line="480" w:lineRule="auto"/>
        <w:rPr>
          <w:rFonts w:ascii="Arial" w:hAnsi="Arial" w:cs="Arial"/>
          <w:color w:val="000000"/>
          <w:sz w:val="22"/>
          <w:szCs w:val="24"/>
        </w:rPr>
      </w:pPr>
    </w:p>
    <w:p>
      <w:pPr>
        <w:adjustRightInd w:val="0"/>
        <w:snapToGrid w:val="0"/>
        <w:spacing w:line="480" w:lineRule="auto"/>
        <w:rPr>
          <w:rFonts w:ascii="Arial" w:hAnsi="Arial" w:cs="Arial"/>
          <w:color w:val="000000"/>
          <w:sz w:val="22"/>
          <w:szCs w:val="24"/>
        </w:rPr>
      </w:pPr>
      <w:r>
        <w:rPr>
          <w:rFonts w:ascii="Arial" w:hAnsi="Arial" w:cs="Arial"/>
          <w:color w:val="000000" w:themeColor="text1"/>
          <w:sz w:val="22"/>
          <w:vertAlign w:val="superscript"/>
          <w14:textFill>
            <w14:solidFill>
              <w14:schemeClr w14:val="tx1"/>
            </w14:solidFill>
          </w14:textFill>
        </w:rPr>
        <w:t xml:space="preserve">1 </w:t>
      </w:r>
      <w:r>
        <w:rPr>
          <w:rFonts w:ascii="Arial" w:hAnsi="Arial" w:cs="Arial"/>
          <w:color w:val="000000"/>
          <w:sz w:val="22"/>
          <w:szCs w:val="24"/>
        </w:rPr>
        <w:t>School of Chemistry and Chemical Engineering, Nanjing University of Science and Technology, Nanjing 210094, China</w:t>
      </w:r>
    </w:p>
    <w:p>
      <w:pPr>
        <w:adjustRightInd w:val="0"/>
        <w:snapToGrid w:val="0"/>
        <w:spacing w:line="480" w:lineRule="auto"/>
        <w:rPr>
          <w:rFonts w:ascii="Arial" w:hAnsi="Arial" w:cs="Arial"/>
          <w:color w:val="000000"/>
          <w:sz w:val="22"/>
          <w:szCs w:val="24"/>
        </w:rPr>
      </w:pPr>
      <w:r>
        <w:rPr>
          <w:rFonts w:ascii="Arial" w:hAnsi="Arial" w:cs="Arial"/>
          <w:color w:val="000000" w:themeColor="text1"/>
          <w:sz w:val="22"/>
          <w:vertAlign w:val="superscript"/>
          <w14:textFill>
            <w14:solidFill>
              <w14:schemeClr w14:val="tx1"/>
            </w14:solidFill>
          </w14:textFill>
        </w:rPr>
        <w:t xml:space="preserve">2 </w:t>
      </w:r>
      <w:r>
        <w:rPr>
          <w:rFonts w:ascii="Arial" w:hAnsi="Arial" w:cs="Arial"/>
          <w:color w:val="000000"/>
          <w:sz w:val="22"/>
          <w:szCs w:val="24"/>
        </w:rPr>
        <w:t>School of Environmental and Biological Engineering, Nanjing University of Science and Technology, Nanjing 210094, P.R. China</w:t>
      </w:r>
    </w:p>
    <w:p>
      <w:pPr>
        <w:adjustRightInd w:val="0"/>
        <w:snapToGrid w:val="0"/>
        <w:spacing w:line="480" w:lineRule="auto"/>
        <w:rPr>
          <w:rFonts w:ascii="Arial" w:hAnsi="Arial" w:cs="Arial"/>
          <w:color w:val="000000"/>
          <w:sz w:val="22"/>
          <w:szCs w:val="24"/>
        </w:rPr>
      </w:pPr>
      <w:r>
        <w:rPr>
          <w:rFonts w:ascii="Arial" w:hAnsi="Arial" w:cs="Arial"/>
          <w:color w:val="000000" w:themeColor="text1"/>
          <w:sz w:val="22"/>
          <w:vertAlign w:val="superscript"/>
          <w14:textFill>
            <w14:solidFill>
              <w14:schemeClr w14:val="tx1"/>
            </w14:solidFill>
          </w14:textFill>
        </w:rPr>
        <w:t xml:space="preserve">3 </w:t>
      </w:r>
      <w:r>
        <w:rPr>
          <w:rFonts w:ascii="Arial" w:hAnsi="Arial" w:cs="Arial"/>
          <w:color w:val="000000"/>
          <w:sz w:val="22"/>
          <w:szCs w:val="24"/>
        </w:rPr>
        <w:t>Intelligent Microsystem Technology and Engineering Center, School of Mechanical Engineering, Nanjing University of Science and Technology, Nanjing 210094, P.R. China</w:t>
      </w:r>
    </w:p>
    <w:p>
      <w:pPr>
        <w:adjustRightInd w:val="0"/>
        <w:snapToGrid w:val="0"/>
        <w:spacing w:line="480" w:lineRule="auto"/>
        <w:rPr>
          <w:rFonts w:ascii="Arial" w:hAnsi="Arial" w:cs="Arial"/>
          <w:color w:val="000000"/>
          <w:sz w:val="22"/>
          <w:szCs w:val="24"/>
        </w:rPr>
      </w:pPr>
      <w:r>
        <w:rPr>
          <w:rFonts w:ascii="Arial" w:hAnsi="Arial" w:cs="Arial"/>
          <w:color w:val="000000" w:themeColor="text1"/>
          <w:sz w:val="22"/>
          <w:vertAlign w:val="superscript"/>
          <w14:textFill>
            <w14:solidFill>
              <w14:schemeClr w14:val="tx1"/>
            </w14:solidFill>
          </w14:textFill>
        </w:rPr>
        <w:t xml:space="preserve">4 </w:t>
      </w:r>
      <w:r>
        <w:rPr>
          <w:rFonts w:ascii="Arial" w:hAnsi="Arial" w:cs="Arial"/>
          <w:color w:val="000000"/>
          <w:sz w:val="22"/>
          <w:szCs w:val="24"/>
        </w:rPr>
        <w:t>Department of Chemistry, University of Massachusetts, Amherst, MA 01003, USA</w:t>
      </w:r>
    </w:p>
    <w:p>
      <w:pPr>
        <w:adjustRightInd w:val="0"/>
        <w:snapToGrid w:val="0"/>
        <w:spacing w:line="480" w:lineRule="auto"/>
        <w:rPr>
          <w:rFonts w:ascii="Arial" w:hAnsi="Arial" w:cs="Arial"/>
          <w:color w:val="000000"/>
          <w:sz w:val="22"/>
          <w:szCs w:val="24"/>
        </w:rPr>
      </w:pPr>
      <w:r>
        <w:rPr>
          <w:rFonts w:ascii="Arial" w:hAnsi="Arial" w:cs="Arial"/>
          <w:color w:val="000000" w:themeColor="text1"/>
          <w:sz w:val="22"/>
          <w:vertAlign w:val="superscript"/>
          <w14:textFill>
            <w14:solidFill>
              <w14:schemeClr w14:val="tx1"/>
            </w14:solidFill>
          </w14:textFill>
        </w:rPr>
        <w:t xml:space="preserve">5 </w:t>
      </w:r>
      <w:r>
        <w:rPr>
          <w:rFonts w:ascii="Arial" w:hAnsi="Arial" w:cs="Arial"/>
          <w:color w:val="000000"/>
          <w:sz w:val="22"/>
          <w:szCs w:val="24"/>
        </w:rPr>
        <w:t>School of Chemistry and Chemical Engineering, Shanghai Jiao Tong University, Shanghai 200127, China</w:t>
      </w:r>
    </w:p>
    <w:p>
      <w:pPr>
        <w:adjustRightInd w:val="0"/>
        <w:snapToGrid w:val="0"/>
        <w:spacing w:line="480" w:lineRule="auto"/>
        <w:rPr>
          <w:rFonts w:ascii="Arial" w:hAnsi="Arial" w:cs="Arial"/>
          <w:sz w:val="22"/>
          <w:szCs w:val="24"/>
        </w:rPr>
      </w:pPr>
      <w:r>
        <w:rPr>
          <w:rFonts w:ascii="Arial" w:hAnsi="Arial" w:cs="Arial"/>
          <w:sz w:val="22"/>
          <w:szCs w:val="24"/>
        </w:rPr>
        <w:t>*e-mail: wanying@njust.edu.cn (Y.W.); kwren@njust.edu.cn (K.W.R.)</w:t>
      </w:r>
    </w:p>
    <w:p>
      <w:pPr>
        <w:spacing w:after="0"/>
        <w:jc w:val="left"/>
        <w:rPr>
          <w:rStyle w:val="13"/>
          <w:rFonts w:ascii="Arial" w:hAnsi="Arial" w:cs="Arial"/>
          <w:color w:val="auto"/>
          <w:szCs w:val="24"/>
          <w:u w:val="none"/>
        </w:rPr>
      </w:pPr>
      <w:r>
        <w:rPr>
          <w:rStyle w:val="13"/>
          <w:rFonts w:ascii="Arial" w:hAnsi="Arial" w:cs="Arial"/>
          <w:color w:val="auto"/>
          <w:szCs w:val="24"/>
          <w:u w:val="none"/>
        </w:rPr>
        <w:br w:type="page"/>
      </w:r>
    </w:p>
    <w:sdt>
      <w:sdtPr>
        <w:rPr>
          <w:rFonts w:ascii="Arial" w:hAnsi="Arial" w:eastAsia="宋体" w:cs="Arial"/>
          <w:color w:val="0563C1" w:themeColor="hyperlink"/>
          <w:sz w:val="24"/>
          <w:szCs w:val="20"/>
          <w:u w:val="single"/>
          <w:lang w:val="zh-CN" w:eastAsia="en-US"/>
          <w14:textFill>
            <w14:solidFill>
              <w14:schemeClr w14:val="hlink"/>
            </w14:solidFill>
          </w14:textFill>
        </w:rPr>
        <w:id w:val="1131218720"/>
        <w:docPartObj>
          <w:docPartGallery w:val="Table of Contents"/>
          <w:docPartUnique/>
        </w:docPartObj>
      </w:sdtPr>
      <w:sdtEndPr>
        <w:rPr>
          <w:rFonts w:ascii="Arial" w:hAnsi="Arial" w:eastAsia="宋体" w:cs="Arial"/>
          <w:b/>
          <w:bCs/>
          <w:color w:val="auto"/>
          <w:sz w:val="24"/>
          <w:szCs w:val="20"/>
          <w:u w:val="single"/>
          <w:lang w:val="zh-CN" w:eastAsia="en-US"/>
        </w:rPr>
      </w:sdtEndPr>
      <w:sdtContent>
        <w:p>
          <w:pPr>
            <w:pStyle w:val="29"/>
            <w:spacing w:before="312" w:line="480" w:lineRule="auto"/>
            <w:jc w:val="center"/>
            <w:rPr>
              <w:rFonts w:ascii="Arial" w:hAnsi="Arial" w:cs="Arial"/>
              <w:b/>
              <w:color w:val="auto"/>
              <w:sz w:val="22"/>
              <w:szCs w:val="22"/>
            </w:rPr>
          </w:pPr>
          <w:r>
            <w:rPr>
              <w:rFonts w:ascii="Arial" w:hAnsi="Arial" w:cs="Arial"/>
              <w:b/>
              <w:color w:val="auto"/>
              <w:sz w:val="26"/>
              <w:szCs w:val="26"/>
            </w:rPr>
            <w:t>Table of Contents</w:t>
          </w:r>
          <w:r>
            <w:rPr>
              <w:rFonts w:ascii="Arial" w:hAnsi="Arial" w:cs="Arial" w:eastAsiaTheme="minorEastAsia"/>
              <w:sz w:val="22"/>
              <w:szCs w:val="22"/>
            </w:rPr>
            <w:fldChar w:fldCharType="begin"/>
          </w:r>
          <w:r>
            <w:rPr>
              <w:rFonts w:ascii="Arial" w:hAnsi="Arial" w:cs="Arial"/>
              <w:sz w:val="22"/>
              <w:szCs w:val="22"/>
            </w:rPr>
            <w:instrText xml:space="preserve"> TOC \o "1-3" \h \z \u </w:instrText>
          </w:r>
          <w:r>
            <w:rPr>
              <w:rFonts w:ascii="Arial" w:hAnsi="Arial" w:cs="Arial" w:eastAsiaTheme="minorEastAsia"/>
              <w:sz w:val="22"/>
              <w:szCs w:val="22"/>
            </w:rPr>
            <w:fldChar w:fldCharType="separate"/>
          </w:r>
          <w:r>
            <w:fldChar w:fldCharType="begin"/>
          </w:r>
          <w:r>
            <w:instrText xml:space="preserve"> HYPERLINK \l "_Toc7060653" </w:instrText>
          </w:r>
          <w:r>
            <w:fldChar w:fldCharType="separate"/>
          </w:r>
          <w:r>
            <w:fldChar w:fldCharType="end"/>
          </w:r>
        </w:p>
        <w:p>
          <w:pPr>
            <w:pStyle w:val="9"/>
            <w:spacing w:line="480" w:lineRule="auto"/>
            <w:rPr>
              <w:rFonts w:ascii="Arial" w:hAnsi="Arial" w:cs="Arial"/>
              <w:b/>
            </w:rPr>
          </w:pPr>
          <w:r>
            <w:rPr>
              <w:rStyle w:val="13"/>
              <w:rFonts w:ascii="Arial" w:hAnsi="Arial" w:cs="Arial"/>
              <w:b/>
              <w:color w:val="auto"/>
              <w:u w:val="none"/>
            </w:rPr>
            <w:t xml:space="preserve">1. </w:t>
          </w:r>
          <w:r>
            <w:fldChar w:fldCharType="begin"/>
          </w:r>
          <w:r>
            <w:instrText xml:space="preserve"> HYPERLINK \l "_Toc7060655" </w:instrText>
          </w:r>
          <w:r>
            <w:fldChar w:fldCharType="separate"/>
          </w:r>
          <w:r>
            <w:rPr>
              <w:rStyle w:val="13"/>
              <w:rFonts w:ascii="Arial" w:hAnsi="Arial" w:cs="Arial"/>
              <w:b/>
              <w:color w:val="auto"/>
              <w:u w:val="none"/>
            </w:rPr>
            <w:t>Supplementary Table</w:t>
          </w:r>
          <w:r>
            <w:rPr>
              <w:rFonts w:ascii="Arial" w:hAnsi="Arial" w:cs="Arial"/>
              <w:b/>
            </w:rPr>
            <w:tab/>
          </w:r>
          <w:r>
            <w:rPr>
              <w:rFonts w:ascii="Arial" w:hAnsi="Arial" w:cs="Arial"/>
              <w:b/>
            </w:rPr>
            <w:t>S</w:t>
          </w:r>
          <w:r>
            <w:rPr>
              <w:rFonts w:ascii="Arial" w:hAnsi="Arial" w:cs="Arial"/>
              <w:b/>
            </w:rPr>
            <w:fldChar w:fldCharType="end"/>
          </w:r>
          <w:r>
            <w:rPr>
              <w:rFonts w:ascii="Arial" w:hAnsi="Arial" w:cs="Arial"/>
              <w:b/>
            </w:rPr>
            <w:t>3</w:t>
          </w:r>
        </w:p>
        <w:p>
          <w:pPr>
            <w:pStyle w:val="9"/>
            <w:spacing w:line="480" w:lineRule="auto"/>
            <w:rPr>
              <w:rFonts w:ascii="Arial" w:hAnsi="Arial" w:cs="Arial"/>
              <w:b/>
              <w:kern w:val="2"/>
            </w:rPr>
          </w:pPr>
          <w:r>
            <w:rPr>
              <w:rStyle w:val="13"/>
              <w:rFonts w:ascii="Arial" w:hAnsi="Arial" w:cs="Arial"/>
              <w:b/>
              <w:color w:val="auto"/>
              <w:u w:val="none"/>
            </w:rPr>
            <w:t xml:space="preserve">2. </w:t>
          </w:r>
          <w:r>
            <w:fldChar w:fldCharType="begin"/>
          </w:r>
          <w:r>
            <w:instrText xml:space="preserve"> HYPERLINK \l "_Toc7060656" </w:instrText>
          </w:r>
          <w:r>
            <w:fldChar w:fldCharType="separate"/>
          </w:r>
          <w:r>
            <w:rPr>
              <w:rStyle w:val="13"/>
              <w:rFonts w:ascii="Arial" w:hAnsi="Arial" w:cs="Arial"/>
              <w:b/>
              <w:color w:val="auto"/>
              <w:u w:val="none"/>
            </w:rPr>
            <w:t>Supplementary Figures</w:t>
          </w:r>
          <w:r>
            <w:rPr>
              <w:rFonts w:ascii="Arial" w:hAnsi="Arial" w:cs="Arial"/>
              <w:b/>
            </w:rPr>
            <w:tab/>
          </w:r>
          <w:r>
            <w:rPr>
              <w:rFonts w:ascii="Arial" w:hAnsi="Arial" w:cs="Arial"/>
              <w:b/>
            </w:rPr>
            <w:t>S4-S9</w:t>
          </w:r>
          <w:r>
            <w:rPr>
              <w:rFonts w:ascii="Arial" w:hAnsi="Arial" w:cs="Arial"/>
              <w:b/>
            </w:rPr>
            <w:fldChar w:fldCharType="end"/>
          </w:r>
        </w:p>
        <w:p>
          <w:pPr>
            <w:spacing w:line="480" w:lineRule="auto"/>
            <w:rPr>
              <w:rFonts w:ascii="Arial" w:hAnsi="Arial" w:cs="Arial"/>
            </w:rPr>
          </w:pPr>
          <w:r>
            <w:rPr>
              <w:rFonts w:ascii="Arial" w:hAnsi="Arial" w:cs="Arial"/>
              <w:b/>
              <w:bCs/>
              <w:sz w:val="22"/>
              <w:szCs w:val="22"/>
              <w:lang w:val="zh-CN"/>
            </w:rPr>
            <w:fldChar w:fldCharType="end"/>
          </w:r>
        </w:p>
      </w:sdtContent>
    </w:sdt>
    <w:p>
      <w:pPr>
        <w:adjustRightInd w:val="0"/>
        <w:snapToGrid w:val="0"/>
        <w:spacing w:line="480" w:lineRule="auto"/>
        <w:rPr>
          <w:rStyle w:val="13"/>
          <w:rFonts w:ascii="Arial" w:hAnsi="Arial" w:cs="Arial"/>
          <w:color w:val="auto"/>
          <w:szCs w:val="24"/>
          <w:u w:val="none"/>
          <w:lang w:eastAsia="zh-CN"/>
        </w:rPr>
      </w:pPr>
    </w:p>
    <w:p>
      <w:pPr>
        <w:spacing w:after="0"/>
        <w:jc w:val="left"/>
        <w:rPr>
          <w:rStyle w:val="13"/>
          <w:rFonts w:ascii="Arial" w:hAnsi="Arial" w:cs="Arial"/>
          <w:color w:val="auto"/>
          <w:szCs w:val="24"/>
          <w:u w:val="none"/>
          <w:lang w:eastAsia="zh-CN"/>
        </w:rPr>
      </w:pPr>
      <w:r>
        <w:rPr>
          <w:rStyle w:val="13"/>
          <w:rFonts w:ascii="Arial" w:hAnsi="Arial" w:cs="Arial"/>
          <w:color w:val="auto"/>
          <w:szCs w:val="24"/>
          <w:u w:val="none"/>
          <w:lang w:eastAsia="zh-CN"/>
        </w:rPr>
        <w:br w:type="page"/>
      </w:r>
    </w:p>
    <w:p>
      <w:pPr>
        <w:pStyle w:val="2"/>
        <w:spacing w:before="312"/>
        <w:rPr>
          <w:rFonts w:ascii="Arial" w:hAnsi="Arial" w:cs="Arial"/>
          <w:sz w:val="26"/>
          <w:szCs w:val="26"/>
        </w:rPr>
      </w:pPr>
      <w:bookmarkStart w:id="8" w:name="_Toc7060655"/>
      <w:r>
        <w:rPr>
          <w:rFonts w:ascii="Arial" w:hAnsi="Arial" w:cs="Arial"/>
          <w:sz w:val="26"/>
          <w:szCs w:val="26"/>
        </w:rPr>
        <w:t>Supplementary Table</w:t>
      </w:r>
    </w:p>
    <w:p>
      <w:pPr>
        <w:snapToGrid w:val="0"/>
        <w:spacing w:before="120" w:after="0" w:line="480" w:lineRule="auto"/>
        <w:contextualSpacing/>
        <w:rPr>
          <w:rFonts w:ascii="Arial" w:hAnsi="Arial" w:eastAsia="GulliverIT" w:cs="Arial"/>
          <w:sz w:val="22"/>
          <w:szCs w:val="22"/>
          <w:lang w:eastAsia="zh-CN"/>
        </w:rPr>
      </w:pPr>
      <w:r>
        <w:rPr>
          <w:rFonts w:ascii="Arial" w:hAnsi="Arial" w:eastAsia="GulliverIT" w:cs="Arial"/>
          <w:b/>
          <w:color w:val="000000"/>
          <w:kern w:val="2"/>
          <w:sz w:val="22"/>
          <w:szCs w:val="24"/>
          <w:lang w:eastAsia="zh-CN"/>
        </w:rPr>
        <w:t xml:space="preserve">Supplementary Table </w:t>
      </w:r>
      <w:r>
        <w:rPr>
          <w:rFonts w:ascii="Arial" w:hAnsi="Arial" w:eastAsia="GulliverIT" w:cs="Arial"/>
          <w:b/>
          <w:kern w:val="2"/>
          <w:sz w:val="22"/>
          <w:szCs w:val="24"/>
          <w:lang w:eastAsia="zh-CN"/>
        </w:rPr>
        <w:t xml:space="preserve">1.  </w:t>
      </w:r>
      <w:r>
        <w:rPr>
          <w:rFonts w:ascii="Arial" w:hAnsi="Arial" w:eastAsia="GulliverIT" w:cs="Arial"/>
          <w:sz w:val="22"/>
          <w:szCs w:val="24"/>
          <w:lang w:eastAsia="zh-CN"/>
        </w:rPr>
        <w:t>DNA sequences used in this work. The binding sequences of primer1 and liner DNA1 are shown in bold. The binding sequences of primer2 and liner DNA2 are shown in bold and italic. The ATP aptamer sequences in SA1 (TAMRA-SA1) and BHQ-SA2 are shown in blue</w:t>
      </w:r>
      <w:r>
        <w:rPr>
          <w:rFonts w:ascii="Arial" w:hAnsi="Arial" w:eastAsia="GulliverIT" w:cs="Arial"/>
          <w:sz w:val="22"/>
          <w:szCs w:val="22"/>
          <w:lang w:eastAsia="zh-CN"/>
        </w:rPr>
        <w:t>.</w:t>
      </w:r>
    </w:p>
    <w:tbl>
      <w:tblPr>
        <w:tblStyle w:val="16"/>
        <w:tblW w:w="92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7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458" w:type="dxa"/>
            <w:vAlign w:val="center"/>
          </w:tcPr>
          <w:p>
            <w:pPr>
              <w:snapToGrid w:val="0"/>
              <w:spacing w:before="60" w:after="60"/>
              <w:jc w:val="center"/>
              <w:rPr>
                <w:rFonts w:eastAsia="GulliverIT"/>
                <w:b/>
                <w:bCs/>
                <w:lang w:eastAsia="zh-CN"/>
              </w:rPr>
            </w:pPr>
            <w:r>
              <w:rPr>
                <w:rFonts w:ascii="Times New Roman" w:hAnsi="Times New Roman"/>
                <w:b/>
                <w:bCs/>
                <w:lang w:eastAsia="zh-CN"/>
              </w:rPr>
              <w:t>Primer1</w:t>
            </w:r>
          </w:p>
        </w:tc>
        <w:tc>
          <w:tcPr>
            <w:tcW w:w="7756" w:type="dxa"/>
            <w:vAlign w:val="center"/>
          </w:tcPr>
          <w:p>
            <w:pPr>
              <w:snapToGrid w:val="0"/>
              <w:spacing w:before="60" w:after="60"/>
              <w:rPr>
                <w:rFonts w:eastAsia="GulliverIT"/>
                <w:lang w:eastAsia="zh-CN"/>
              </w:rPr>
            </w:pPr>
            <w:r>
              <w:rPr>
                <w:rFonts w:ascii="Times New Roman" w:hAnsi="Times New Roman"/>
                <w:b/>
                <w:lang w:eastAsia="zh-CN"/>
              </w:rPr>
              <w:t>AATCTGGCTGCGCTTGAA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458" w:type="dxa"/>
            <w:vAlign w:val="center"/>
          </w:tcPr>
          <w:p>
            <w:pPr>
              <w:snapToGrid w:val="0"/>
              <w:spacing w:before="60" w:after="60"/>
              <w:jc w:val="center"/>
              <w:rPr>
                <w:rFonts w:eastAsia="GulliverIT"/>
                <w:b/>
                <w:bCs/>
                <w:lang w:eastAsia="zh-CN"/>
              </w:rPr>
            </w:pPr>
            <w:r>
              <w:rPr>
                <w:rFonts w:ascii="Times New Roman" w:hAnsi="Times New Roman"/>
                <w:b/>
                <w:bCs/>
                <w:lang w:eastAsia="zh-CN"/>
              </w:rPr>
              <w:t>Ligation DNA1</w:t>
            </w:r>
          </w:p>
        </w:tc>
        <w:tc>
          <w:tcPr>
            <w:tcW w:w="7756" w:type="dxa"/>
            <w:vAlign w:val="center"/>
          </w:tcPr>
          <w:p>
            <w:pPr>
              <w:snapToGrid w:val="0"/>
              <w:spacing w:before="60" w:after="60"/>
              <w:rPr>
                <w:rFonts w:eastAsia="GulliverIT"/>
                <w:lang w:eastAsia="zh-CN"/>
              </w:rPr>
            </w:pPr>
            <w:r>
              <w:rPr>
                <w:rFonts w:ascii="Times New Roman" w:hAnsi="Times New Roman"/>
                <w:bCs/>
                <w:lang w:eastAsia="zh-CN"/>
              </w:rPr>
              <w:t>TGCTTTAGGAAATCTGGCTG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458" w:type="dxa"/>
            <w:vAlign w:val="center"/>
          </w:tcPr>
          <w:p>
            <w:pPr>
              <w:snapToGrid w:val="0"/>
              <w:spacing w:before="60" w:after="60"/>
              <w:jc w:val="center"/>
              <w:rPr>
                <w:rFonts w:eastAsia="GulliverIT"/>
                <w:b/>
                <w:bCs/>
                <w:lang w:eastAsia="zh-CN"/>
              </w:rPr>
            </w:pPr>
            <w:r>
              <w:rPr>
                <w:rFonts w:ascii="Times New Roman" w:hAnsi="Times New Roman"/>
                <w:b/>
                <w:bCs/>
                <w:lang w:eastAsia="zh-CN"/>
              </w:rPr>
              <w:t>Linear DNA1</w:t>
            </w:r>
          </w:p>
        </w:tc>
        <w:tc>
          <w:tcPr>
            <w:tcW w:w="7756" w:type="dxa"/>
            <w:vAlign w:val="center"/>
          </w:tcPr>
          <w:p>
            <w:pPr>
              <w:snapToGrid w:val="0"/>
              <w:spacing w:before="60" w:after="60"/>
              <w:rPr>
                <w:b/>
                <w:lang w:eastAsia="zh-CN"/>
              </w:rPr>
            </w:pPr>
            <w:r>
              <w:rPr>
                <w:rFonts w:ascii="Times New Roman" w:hAnsi="Times New Roman"/>
                <w:bCs/>
                <w:lang w:eastAsia="zh-CN"/>
              </w:rPr>
              <w:t>P-TCCTAAAGCATGACCTTCCGTTTCCGTAGT</w:t>
            </w:r>
            <w:r>
              <w:rPr>
                <w:rFonts w:ascii="Times New Roman" w:hAnsi="Times New Roman"/>
                <w:b/>
                <w:lang w:eastAsia="zh-CN"/>
              </w:rPr>
              <w:t>TTCAAGCGCAGC</w:t>
            </w:r>
          </w:p>
          <w:p>
            <w:pPr>
              <w:snapToGrid w:val="0"/>
              <w:spacing w:before="60" w:after="60"/>
              <w:rPr>
                <w:rFonts w:eastAsia="GulliverIT"/>
                <w:lang w:eastAsia="zh-CN"/>
              </w:rPr>
            </w:pPr>
            <w:r>
              <w:rPr>
                <w:rFonts w:ascii="Times New Roman" w:hAnsi="Times New Roman"/>
                <w:b/>
                <w:lang w:eastAsia="zh-CN"/>
              </w:rPr>
              <w:t>CAGATT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458" w:type="dxa"/>
            <w:vAlign w:val="center"/>
          </w:tcPr>
          <w:p>
            <w:pPr>
              <w:snapToGrid w:val="0"/>
              <w:spacing w:before="60" w:after="60"/>
              <w:jc w:val="center"/>
              <w:rPr>
                <w:b/>
                <w:bCs/>
                <w:lang w:eastAsia="zh-CN"/>
              </w:rPr>
            </w:pPr>
            <w:r>
              <w:rPr>
                <w:rFonts w:ascii="Times New Roman" w:hAnsi="Times New Roman"/>
                <w:b/>
                <w:bCs/>
                <w:lang w:eastAsia="zh-CN"/>
              </w:rPr>
              <w:t>Linkage DNA</w:t>
            </w:r>
          </w:p>
        </w:tc>
        <w:tc>
          <w:tcPr>
            <w:tcW w:w="7756" w:type="dxa"/>
            <w:vAlign w:val="center"/>
          </w:tcPr>
          <w:p>
            <w:pPr>
              <w:snapToGrid w:val="0"/>
              <w:spacing w:before="60" w:after="60"/>
              <w:rPr>
                <w:rFonts w:eastAsia="GulliverIT"/>
                <w:lang w:eastAsia="zh-CN"/>
              </w:rPr>
            </w:pPr>
            <w:r>
              <w:rPr>
                <w:rFonts w:ascii="Times New Roman" w:hAnsi="Times New Roman"/>
                <w:bCs/>
                <w:lang w:eastAsia="zh-CN"/>
              </w:rPr>
              <w:t>TCCTAAAGCATGACCTTCCGTTTCTTTTTTTTTTT-Azide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458" w:type="dxa"/>
            <w:vAlign w:val="center"/>
          </w:tcPr>
          <w:p>
            <w:pPr>
              <w:snapToGrid w:val="0"/>
              <w:spacing w:before="60" w:after="60"/>
              <w:jc w:val="center"/>
              <w:rPr>
                <w:rFonts w:eastAsia="GulliverIT"/>
                <w:b/>
                <w:bCs/>
                <w:lang w:eastAsia="zh-CN"/>
              </w:rPr>
            </w:pPr>
            <w:r>
              <w:rPr>
                <w:rFonts w:ascii="Times New Roman" w:hAnsi="Times New Roman"/>
                <w:b/>
                <w:bCs/>
                <w:lang w:eastAsia="zh-CN"/>
              </w:rPr>
              <w:t>FAM-linkage DNA</w:t>
            </w:r>
          </w:p>
        </w:tc>
        <w:tc>
          <w:tcPr>
            <w:tcW w:w="7756" w:type="dxa"/>
            <w:vAlign w:val="center"/>
          </w:tcPr>
          <w:p>
            <w:pPr>
              <w:snapToGrid w:val="0"/>
              <w:spacing w:before="60" w:after="60"/>
              <w:rPr>
                <w:rFonts w:eastAsia="GulliverIT"/>
                <w:lang w:eastAsia="zh-CN"/>
              </w:rPr>
            </w:pPr>
            <w:r>
              <w:rPr>
                <w:rFonts w:ascii="Times New Roman" w:hAnsi="Times New Roman"/>
                <w:bCs/>
                <w:lang w:eastAsia="zh-CN"/>
              </w:rPr>
              <w:t>TCCTAAAGCATGACCTTCCGTTTCTTTTTTTTTTT-FAM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458" w:type="dxa"/>
            <w:vAlign w:val="center"/>
          </w:tcPr>
          <w:p>
            <w:pPr>
              <w:snapToGrid w:val="0"/>
              <w:spacing w:before="60" w:after="60"/>
              <w:jc w:val="center"/>
              <w:rPr>
                <w:rFonts w:eastAsia="GulliverIT"/>
                <w:b/>
                <w:bCs/>
                <w:lang w:eastAsia="zh-CN"/>
              </w:rPr>
            </w:pPr>
            <w:r>
              <w:rPr>
                <w:rFonts w:ascii="Times New Roman" w:hAnsi="Times New Roman"/>
                <w:b/>
                <w:bCs/>
                <w:lang w:eastAsia="zh-CN"/>
              </w:rPr>
              <w:t>Primer2</w:t>
            </w:r>
          </w:p>
        </w:tc>
        <w:tc>
          <w:tcPr>
            <w:tcW w:w="7756" w:type="dxa"/>
            <w:vAlign w:val="center"/>
          </w:tcPr>
          <w:p>
            <w:pPr>
              <w:snapToGrid w:val="0"/>
              <w:contextualSpacing/>
              <w:rPr>
                <w:rFonts w:eastAsia="GulliverIT"/>
                <w:lang w:eastAsia="zh-CN"/>
              </w:rPr>
            </w:pPr>
            <w:r>
              <w:rPr>
                <w:rFonts w:ascii="Times New Roman" w:hAnsi="Times New Roman"/>
                <w:b/>
                <w:bCs/>
                <w:i/>
                <w:iCs/>
                <w:lang w:eastAsia="zh-CN"/>
              </w:rPr>
              <w:t>TTTTGCGGAGGAAGGTTT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458" w:type="dxa"/>
            <w:vAlign w:val="center"/>
          </w:tcPr>
          <w:p>
            <w:pPr>
              <w:snapToGrid w:val="0"/>
              <w:spacing w:before="60" w:after="60"/>
              <w:jc w:val="center"/>
              <w:rPr>
                <w:rFonts w:eastAsia="GulliverIT"/>
                <w:b/>
                <w:bCs/>
                <w:lang w:eastAsia="zh-CN"/>
              </w:rPr>
            </w:pPr>
            <w:r>
              <w:rPr>
                <w:rFonts w:ascii="Times New Roman" w:hAnsi="Times New Roman"/>
                <w:b/>
                <w:bCs/>
                <w:lang w:eastAsia="zh-CN"/>
              </w:rPr>
              <w:t>Ligation DNA2</w:t>
            </w:r>
          </w:p>
        </w:tc>
        <w:tc>
          <w:tcPr>
            <w:tcW w:w="7756" w:type="dxa"/>
            <w:vAlign w:val="center"/>
          </w:tcPr>
          <w:p>
            <w:pPr>
              <w:snapToGrid w:val="0"/>
              <w:spacing w:before="60" w:after="60"/>
              <w:rPr>
                <w:rFonts w:eastAsia="GulliverIT"/>
                <w:lang w:eastAsia="zh-CN"/>
              </w:rPr>
            </w:pPr>
            <w:r>
              <w:rPr>
                <w:rFonts w:ascii="Times New Roman" w:hAnsi="Times New Roman"/>
                <w:bCs/>
                <w:lang w:eastAsia="zh-CN"/>
              </w:rPr>
              <w:t>AGGAAGGTTTTTTTGCGGAG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458" w:type="dxa"/>
            <w:vAlign w:val="center"/>
          </w:tcPr>
          <w:p>
            <w:pPr>
              <w:snapToGrid w:val="0"/>
              <w:contextualSpacing/>
              <w:jc w:val="center"/>
              <w:rPr>
                <w:rFonts w:eastAsia="GulliverIT"/>
                <w:b/>
                <w:bCs/>
                <w:lang w:eastAsia="zh-CN"/>
              </w:rPr>
            </w:pPr>
            <w:r>
              <w:rPr>
                <w:rFonts w:ascii="Times New Roman" w:hAnsi="Times New Roman"/>
                <w:b/>
                <w:bCs/>
                <w:lang w:eastAsia="zh-CN"/>
              </w:rPr>
              <w:t>Linear DNA2</w:t>
            </w:r>
          </w:p>
        </w:tc>
        <w:tc>
          <w:tcPr>
            <w:tcW w:w="7756" w:type="dxa"/>
            <w:vAlign w:val="center"/>
          </w:tcPr>
          <w:p>
            <w:pPr>
              <w:numPr>
                <w:ilvl w:val="0"/>
                <w:numId w:val="1"/>
              </w:numPr>
              <w:snapToGrid w:val="0"/>
              <w:spacing w:before="60" w:after="60"/>
              <w:jc w:val="left"/>
              <w:rPr>
                <w:rFonts w:eastAsia="GulliverIT"/>
                <w:lang w:eastAsia="zh-CN"/>
              </w:rPr>
            </w:pPr>
            <w:r>
              <w:rPr>
                <w:rFonts w:ascii="Times New Roman" w:hAnsi="Times New Roman"/>
                <w:lang w:eastAsia="zh-CN"/>
              </w:rPr>
              <w:t>AAACCTTCCTCCGCAAAAAAACCTTCCTCCGCAAAA</w:t>
            </w:r>
            <w:r>
              <w:rPr>
                <w:rFonts w:ascii="Times New Roman" w:hAnsi="Times New Roman"/>
                <w:b/>
                <w:bCs/>
                <w:i/>
                <w:iCs/>
                <w:lang w:eastAsia="zh-CN"/>
              </w:rPr>
              <w:t>AAACCTTCCTCCGCAAAA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458" w:type="dxa"/>
            <w:vAlign w:val="center"/>
          </w:tcPr>
          <w:p>
            <w:pPr>
              <w:snapToGrid w:val="0"/>
              <w:contextualSpacing/>
              <w:jc w:val="center"/>
              <w:rPr>
                <w:rFonts w:eastAsia="GulliverIT"/>
                <w:b/>
                <w:bCs/>
                <w:lang w:eastAsia="zh-CN"/>
              </w:rPr>
            </w:pPr>
            <w:r>
              <w:rPr>
                <w:rFonts w:ascii="Times New Roman" w:hAnsi="Times New Roman"/>
                <w:b/>
                <w:bCs/>
                <w:lang w:eastAsia="zh-CN"/>
              </w:rPr>
              <w:t>SA1</w:t>
            </w:r>
          </w:p>
        </w:tc>
        <w:tc>
          <w:tcPr>
            <w:tcW w:w="7756" w:type="dxa"/>
            <w:vAlign w:val="center"/>
          </w:tcPr>
          <w:p>
            <w:pPr>
              <w:snapToGrid w:val="0"/>
              <w:contextualSpacing/>
              <w:rPr>
                <w:rFonts w:eastAsia="GulliverIT"/>
                <w:lang w:eastAsia="zh-CN"/>
              </w:rPr>
            </w:pPr>
            <w:r>
              <w:rPr>
                <w:rFonts w:ascii="Times New Roman" w:hAnsi="Times New Roman"/>
                <w:color w:val="00B0F0"/>
                <w:lang w:eastAsia="zh-CN"/>
              </w:rPr>
              <w:t>ACCTGGGGGAGTAT</w:t>
            </w:r>
            <w:r>
              <w:rPr>
                <w:rFonts w:ascii="Times New Roman" w:hAnsi="Times New Roman"/>
                <w:lang w:eastAsia="zh-CN"/>
              </w:rPr>
              <w:t>TTTTTTTTTTTTTT-</w:t>
            </w:r>
            <w:r>
              <w:rPr>
                <w:rFonts w:ascii="Times New Roman" w:hAnsi="Times New Roman"/>
                <w:bCs/>
                <w:lang w:eastAsia="zh-CN"/>
              </w:rPr>
              <w:t>Azide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458" w:type="dxa"/>
            <w:vAlign w:val="center"/>
          </w:tcPr>
          <w:p>
            <w:pPr>
              <w:snapToGrid w:val="0"/>
              <w:spacing w:before="60" w:after="60"/>
              <w:jc w:val="center"/>
              <w:rPr>
                <w:rFonts w:eastAsia="GulliverIT"/>
                <w:b/>
                <w:bCs/>
                <w:lang w:eastAsia="zh-CN"/>
              </w:rPr>
            </w:pPr>
            <w:r>
              <w:rPr>
                <w:rFonts w:ascii="Times New Roman" w:hAnsi="Times New Roman"/>
                <w:b/>
                <w:bCs/>
                <w:lang w:eastAsia="zh-CN"/>
              </w:rPr>
              <w:t>TAMRA-SA1</w:t>
            </w:r>
          </w:p>
        </w:tc>
        <w:tc>
          <w:tcPr>
            <w:tcW w:w="7756" w:type="dxa"/>
            <w:vAlign w:val="center"/>
          </w:tcPr>
          <w:p>
            <w:pPr>
              <w:snapToGrid w:val="0"/>
              <w:spacing w:before="60" w:after="60"/>
              <w:rPr>
                <w:rFonts w:eastAsia="GulliverIT"/>
                <w:lang w:eastAsia="zh-CN"/>
              </w:rPr>
            </w:pPr>
            <w:r>
              <w:rPr>
                <w:rFonts w:ascii="Times New Roman" w:hAnsi="Times New Roman"/>
                <w:lang w:eastAsia="zh-CN"/>
              </w:rPr>
              <w:t>TAMRA-</w:t>
            </w:r>
            <w:r>
              <w:rPr>
                <w:rFonts w:ascii="Times New Roman" w:hAnsi="Times New Roman"/>
                <w:color w:val="00B0F0"/>
                <w:lang w:eastAsia="zh-CN"/>
              </w:rPr>
              <w:t>ACCTGGGGGAGTAT</w:t>
            </w:r>
            <w:r>
              <w:rPr>
                <w:rFonts w:ascii="Times New Roman" w:hAnsi="Times New Roman"/>
                <w:lang w:eastAsia="zh-CN"/>
              </w:rPr>
              <w:t>TTTTTTTTTTTTTT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458" w:type="dxa"/>
            <w:vAlign w:val="center"/>
          </w:tcPr>
          <w:p>
            <w:pPr>
              <w:snapToGrid w:val="0"/>
              <w:spacing w:before="60" w:after="60"/>
              <w:jc w:val="center"/>
              <w:rPr>
                <w:rFonts w:eastAsia="GulliverIT"/>
                <w:b/>
                <w:bCs/>
                <w:lang w:eastAsia="zh-CN"/>
              </w:rPr>
            </w:pPr>
            <w:r>
              <w:rPr>
                <w:rFonts w:ascii="Times New Roman" w:hAnsi="Times New Roman"/>
                <w:b/>
                <w:bCs/>
                <w:lang w:eastAsia="zh-CN"/>
              </w:rPr>
              <w:t>CSA1</w:t>
            </w:r>
          </w:p>
        </w:tc>
        <w:tc>
          <w:tcPr>
            <w:tcW w:w="7756" w:type="dxa"/>
            <w:vAlign w:val="center"/>
          </w:tcPr>
          <w:p>
            <w:pPr>
              <w:snapToGrid w:val="0"/>
              <w:spacing w:before="60" w:after="60"/>
              <w:rPr>
                <w:rFonts w:eastAsia="GulliverIT"/>
                <w:lang w:eastAsia="zh-CN"/>
              </w:rPr>
            </w:pPr>
            <w:r>
              <w:rPr>
                <w:rFonts w:ascii="Times New Roman" w:hAnsi="Times New Roman"/>
                <w:lang w:eastAsia="zh-CN"/>
              </w:rPr>
              <w:t>GACGCGTGAGTAGTTTTTTTTTTTTTTT-</w:t>
            </w:r>
            <w:r>
              <w:rPr>
                <w:rFonts w:ascii="Times New Roman" w:hAnsi="Times New Roman"/>
                <w:bCs/>
                <w:lang w:eastAsia="zh-CN"/>
              </w:rPr>
              <w:t>Azide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458" w:type="dxa"/>
            <w:vAlign w:val="center"/>
          </w:tcPr>
          <w:p>
            <w:pPr>
              <w:snapToGrid w:val="0"/>
              <w:spacing w:before="60" w:after="60"/>
              <w:jc w:val="center"/>
              <w:rPr>
                <w:rFonts w:eastAsia="GulliverIT"/>
                <w:b/>
                <w:bCs/>
                <w:lang w:eastAsia="zh-CN"/>
              </w:rPr>
            </w:pPr>
            <w:r>
              <w:rPr>
                <w:rFonts w:ascii="Times New Roman" w:hAnsi="Times New Roman"/>
                <w:b/>
                <w:bCs/>
                <w:lang w:eastAsia="zh-CN"/>
              </w:rPr>
              <w:t>TAMRA-CSA1</w:t>
            </w:r>
          </w:p>
        </w:tc>
        <w:tc>
          <w:tcPr>
            <w:tcW w:w="7756" w:type="dxa"/>
            <w:vAlign w:val="center"/>
          </w:tcPr>
          <w:p>
            <w:pPr>
              <w:snapToGrid w:val="0"/>
              <w:spacing w:before="60" w:after="60"/>
              <w:rPr>
                <w:rFonts w:eastAsia="GulliverIT"/>
                <w:lang w:eastAsia="zh-CN"/>
              </w:rPr>
            </w:pPr>
            <w:r>
              <w:rPr>
                <w:rFonts w:ascii="Times New Roman" w:hAnsi="Times New Roman"/>
                <w:lang w:eastAsia="zh-CN"/>
              </w:rPr>
              <w:t>TAMRA-GACGCGTGAGTAGTTTTTTTTTTTTTTT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458" w:type="dxa"/>
            <w:vAlign w:val="center"/>
          </w:tcPr>
          <w:p>
            <w:pPr>
              <w:snapToGrid w:val="0"/>
              <w:contextualSpacing/>
              <w:jc w:val="center"/>
              <w:rPr>
                <w:rFonts w:eastAsia="GulliverIT"/>
                <w:b/>
                <w:bCs/>
                <w:lang w:eastAsia="zh-CN"/>
              </w:rPr>
            </w:pPr>
            <w:r>
              <w:rPr>
                <w:rFonts w:ascii="Times New Roman" w:hAnsi="Times New Roman"/>
                <w:b/>
                <w:bCs/>
                <w:lang w:eastAsia="zh-CN"/>
              </w:rPr>
              <w:t>BHQ-SA2</w:t>
            </w:r>
          </w:p>
        </w:tc>
        <w:tc>
          <w:tcPr>
            <w:tcW w:w="7756" w:type="dxa"/>
            <w:vAlign w:val="center"/>
          </w:tcPr>
          <w:p>
            <w:pPr>
              <w:snapToGrid w:val="0"/>
              <w:contextualSpacing/>
              <w:rPr>
                <w:rFonts w:eastAsia="GulliverIT"/>
                <w:lang w:eastAsia="zh-CN"/>
              </w:rPr>
            </w:pPr>
            <w:r>
              <w:rPr>
                <w:rFonts w:ascii="Times New Roman" w:hAnsi="Times New Roman"/>
                <w:color w:val="00B0F0"/>
                <w:lang w:eastAsia="zh-CN"/>
              </w:rPr>
              <w:t>TGCGGAGGAAGGT</w:t>
            </w:r>
            <w:r>
              <w:rPr>
                <w:rFonts w:ascii="Times New Roman" w:hAnsi="Times New Roman"/>
                <w:lang w:eastAsia="zh-CN"/>
              </w:rPr>
              <w:t>-BHQ2</w:t>
            </w:r>
          </w:p>
        </w:tc>
      </w:tr>
    </w:tbl>
    <w:p>
      <w:pPr>
        <w:snapToGrid w:val="0"/>
        <w:spacing w:before="120" w:after="0" w:line="480" w:lineRule="auto"/>
        <w:contextualSpacing/>
        <w:rPr>
          <w:rFonts w:ascii="Arial" w:hAnsi="Arial" w:eastAsia="GulliverIT" w:cs="Arial"/>
          <w:sz w:val="22"/>
          <w:szCs w:val="22"/>
          <w:lang w:eastAsia="zh-CN"/>
        </w:rPr>
      </w:pPr>
    </w:p>
    <w:p>
      <w:pPr>
        <w:pStyle w:val="2"/>
        <w:spacing w:before="312" w:after="120"/>
        <w:rPr>
          <w:rFonts w:ascii="Arial" w:hAnsi="Arial" w:cs="Arial"/>
          <w:sz w:val="26"/>
          <w:szCs w:val="26"/>
        </w:rPr>
      </w:pPr>
      <w:r>
        <w:rPr>
          <w:rFonts w:ascii="Arial" w:hAnsi="Arial" w:cs="Arial"/>
          <w:sz w:val="26"/>
          <w:szCs w:val="26"/>
        </w:rPr>
        <w:t>Supplementary Figures</w:t>
      </w:r>
      <w:bookmarkEnd w:id="8"/>
    </w:p>
    <w:p>
      <w:pPr>
        <w:spacing w:after="0"/>
        <w:jc w:val="center"/>
        <w:rPr>
          <w:rFonts w:ascii="Arial" w:hAnsi="Arial" w:cs="Arial"/>
        </w:rPr>
      </w:pPr>
      <w:r>
        <w:rPr>
          <w:rFonts w:ascii="Arial" w:hAnsi="Arial" w:cs="Arial"/>
        </w:rPr>
        <w:t xml:space="preserve"> </w:t>
      </w:r>
      <w:r>
        <w:drawing>
          <wp:inline distT="0" distB="0" distL="0" distR="0">
            <wp:extent cx="4585335" cy="3277235"/>
            <wp:effectExtent l="0" t="0" r="571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604152" cy="3291042"/>
                    </a:xfrm>
                    <a:prstGeom prst="rect">
                      <a:avLst/>
                    </a:prstGeom>
                    <a:noFill/>
                    <a:ln>
                      <a:noFill/>
                    </a:ln>
                  </pic:spPr>
                </pic:pic>
              </a:graphicData>
            </a:graphic>
          </wp:inline>
        </w:drawing>
      </w:r>
    </w:p>
    <w:p>
      <w:pPr>
        <w:widowControl w:val="0"/>
        <w:adjustRightInd w:val="0"/>
        <w:snapToGrid w:val="0"/>
        <w:spacing w:before="120" w:after="0" w:line="480" w:lineRule="auto"/>
        <w:rPr>
          <w:rFonts w:ascii="Arial" w:hAnsi="Arial" w:cs="Arial" w:eastAsiaTheme="minorEastAsia"/>
          <w:bCs/>
          <w:kern w:val="2"/>
          <w:sz w:val="22"/>
          <w:szCs w:val="22"/>
          <w:lang w:eastAsia="zh-CN"/>
        </w:rPr>
      </w:pPr>
      <w:r>
        <w:rPr>
          <w:rFonts w:ascii="Arial" w:hAnsi="Arial" w:cs="Arial"/>
          <w:b/>
          <w:sz w:val="22"/>
          <w:szCs w:val="22"/>
        </w:rPr>
        <w:t>Supplementary</w:t>
      </w:r>
      <w:r>
        <w:rPr>
          <w:rFonts w:ascii="Arial" w:hAnsi="Arial" w:cs="Arial"/>
          <w:b/>
          <w:bCs/>
          <w:sz w:val="22"/>
          <w:szCs w:val="22"/>
        </w:rPr>
        <w:t xml:space="preserve"> Fig. 1 </w:t>
      </w:r>
      <w:r>
        <w:rPr>
          <w:rFonts w:ascii="Arial" w:hAnsi="Arial" w:cs="Arial"/>
          <w:b/>
          <w:bCs/>
          <w:i/>
          <w:iCs/>
          <w:sz w:val="22"/>
          <w:szCs w:val="22"/>
        </w:rPr>
        <w:t xml:space="preserve"> </w:t>
      </w:r>
      <w:r>
        <w:rPr>
          <w:rFonts w:ascii="Arial" w:hAnsi="Arial" w:cs="Arial" w:eastAsiaTheme="minorEastAsia"/>
          <w:b/>
          <w:bCs/>
          <w:color w:val="000000" w:themeColor="text1"/>
          <w:kern w:val="2"/>
          <w:sz w:val="22"/>
          <w:szCs w:val="22"/>
          <w:vertAlign w:val="superscript"/>
          <w:lang w:eastAsia="zh-CN"/>
          <w14:textFill>
            <w14:solidFill>
              <w14:schemeClr w14:val="tx1"/>
            </w14:solidFill>
          </w14:textFill>
        </w:rPr>
        <w:t>1</w:t>
      </w:r>
      <w:r>
        <w:rPr>
          <w:rFonts w:ascii="Arial" w:hAnsi="Arial" w:cs="Arial" w:eastAsiaTheme="minorEastAsia"/>
          <w:b/>
          <w:bCs/>
          <w:color w:val="000000" w:themeColor="text1"/>
          <w:kern w:val="2"/>
          <w:sz w:val="22"/>
          <w:szCs w:val="22"/>
          <w:lang w:eastAsia="zh-CN"/>
          <w14:textFill>
            <w14:solidFill>
              <w14:schemeClr w14:val="tx1"/>
            </w14:solidFill>
          </w14:textFill>
        </w:rPr>
        <w:t>H-NMR spectrum of alkynyl-TPP.</w:t>
      </w:r>
    </w:p>
    <w:p>
      <w:pPr>
        <w:widowControl w:val="0"/>
        <w:adjustRightInd w:val="0"/>
        <w:snapToGrid w:val="0"/>
        <w:spacing w:before="120" w:after="0" w:line="480" w:lineRule="auto"/>
        <w:rPr>
          <w:rFonts w:ascii="Arial" w:hAnsi="Arial" w:cs="Arial" w:eastAsiaTheme="minorEastAsia"/>
          <w:bCs/>
          <w:kern w:val="2"/>
          <w:sz w:val="22"/>
          <w:szCs w:val="22"/>
          <w:lang w:eastAsia="zh-CN"/>
        </w:rPr>
      </w:pPr>
    </w:p>
    <w:p>
      <w:pPr>
        <w:spacing w:after="0"/>
        <w:jc w:val="center"/>
        <w:rPr>
          <w:rFonts w:ascii="Arial" w:hAnsi="Arial" w:cs="Arial"/>
          <w:sz w:val="22"/>
          <w:szCs w:val="22"/>
        </w:rPr>
      </w:pPr>
      <w:r>
        <w:rPr>
          <w:rFonts w:ascii="Arial" w:hAnsi="Arial" w:cs="Arial"/>
          <w:sz w:val="22"/>
          <w:szCs w:val="22"/>
          <w:lang w:eastAsia="zh-CN"/>
        </w:rPr>
        <w:t xml:space="preserve"> </w:t>
      </w:r>
      <w:r>
        <w:drawing>
          <wp:inline distT="0" distB="0" distL="0" distR="0">
            <wp:extent cx="4271645" cy="3048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97927" cy="3067173"/>
                    </a:xfrm>
                    <a:prstGeom prst="rect">
                      <a:avLst/>
                    </a:prstGeom>
                    <a:noFill/>
                    <a:ln>
                      <a:noFill/>
                    </a:ln>
                  </pic:spPr>
                </pic:pic>
              </a:graphicData>
            </a:graphic>
          </wp:inline>
        </w:drawing>
      </w:r>
    </w:p>
    <w:p>
      <w:pPr>
        <w:adjustRightInd w:val="0"/>
        <w:snapToGrid w:val="0"/>
        <w:spacing w:before="120" w:after="312" w:afterLines="100" w:line="480" w:lineRule="auto"/>
        <w:rPr>
          <w:rFonts w:ascii="Arial" w:hAnsi="Arial" w:cs="Arial"/>
          <w:sz w:val="22"/>
          <w:szCs w:val="22"/>
        </w:rPr>
      </w:pPr>
      <w:bookmarkStart w:id="9" w:name="OLE_LINK3"/>
      <w:r>
        <w:rPr>
          <w:rFonts w:ascii="Arial" w:hAnsi="Arial" w:cs="Arial"/>
          <w:b/>
          <w:sz w:val="22"/>
          <w:szCs w:val="22"/>
        </w:rPr>
        <w:t>Supplementary</w:t>
      </w:r>
      <w:r>
        <w:rPr>
          <w:rFonts w:ascii="Arial" w:hAnsi="Arial" w:cs="Arial"/>
          <w:b/>
          <w:bCs/>
          <w:sz w:val="22"/>
          <w:szCs w:val="22"/>
        </w:rPr>
        <w:t xml:space="preserve"> Fig. </w:t>
      </w:r>
      <w:bookmarkEnd w:id="9"/>
      <w:r>
        <w:rPr>
          <w:rFonts w:ascii="Arial" w:hAnsi="Arial" w:cs="Arial"/>
          <w:b/>
          <w:bCs/>
          <w:sz w:val="22"/>
          <w:szCs w:val="22"/>
        </w:rPr>
        <w:t xml:space="preserve">2  </w:t>
      </w:r>
      <w:r>
        <w:rPr>
          <w:rFonts w:ascii="Arial" w:hAnsi="Arial" w:cs="Arial"/>
          <w:b/>
          <w:bCs/>
          <w:sz w:val="22"/>
          <w:szCs w:val="22"/>
          <w:vertAlign w:val="superscript"/>
        </w:rPr>
        <w:t>13</w:t>
      </w:r>
      <w:r>
        <w:rPr>
          <w:rFonts w:ascii="Arial" w:hAnsi="Arial" w:cs="Arial"/>
          <w:b/>
          <w:bCs/>
          <w:sz w:val="22"/>
          <w:szCs w:val="22"/>
        </w:rPr>
        <w:t>C-NMR spectrum of alkynyl-TPP.</w:t>
      </w:r>
    </w:p>
    <w:p>
      <w:pPr>
        <w:adjustRightInd w:val="0"/>
        <w:snapToGrid w:val="0"/>
        <w:spacing w:after="0"/>
        <w:jc w:val="center"/>
        <w:rPr>
          <w:rFonts w:ascii="Arial" w:hAnsi="Arial" w:cs="Arial"/>
          <w:sz w:val="22"/>
          <w:szCs w:val="22"/>
        </w:rPr>
      </w:pPr>
      <w:r>
        <w:drawing>
          <wp:inline distT="0" distB="0" distL="0" distR="0">
            <wp:extent cx="3875405" cy="2963545"/>
            <wp:effectExtent l="0" t="0" r="0" b="8255"/>
            <wp:docPr id="11" name="图片 1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893264" cy="2976929"/>
                    </a:xfrm>
                    <a:prstGeom prst="rect">
                      <a:avLst/>
                    </a:prstGeom>
                    <a:noFill/>
                    <a:ln>
                      <a:noFill/>
                    </a:ln>
                  </pic:spPr>
                </pic:pic>
              </a:graphicData>
            </a:graphic>
          </wp:inline>
        </w:drawing>
      </w:r>
    </w:p>
    <w:p>
      <w:pPr>
        <w:widowControl w:val="0"/>
        <w:adjustRightInd w:val="0"/>
        <w:snapToGrid w:val="0"/>
        <w:spacing w:before="120" w:after="0" w:line="480" w:lineRule="auto"/>
        <w:rPr>
          <w:rFonts w:ascii="Arial" w:hAnsi="Arial" w:cs="Arial" w:eastAsiaTheme="minorEastAsia"/>
          <w:bCs/>
          <w:kern w:val="2"/>
          <w:sz w:val="22"/>
          <w:szCs w:val="22"/>
          <w:lang w:eastAsia="zh-CN"/>
        </w:rPr>
      </w:pPr>
      <w:r>
        <w:rPr>
          <w:rFonts w:ascii="Arial" w:hAnsi="Arial" w:cs="Arial"/>
          <w:b/>
          <w:sz w:val="22"/>
          <w:szCs w:val="22"/>
        </w:rPr>
        <w:t>Supplementary</w:t>
      </w:r>
      <w:r>
        <w:rPr>
          <w:rFonts w:ascii="Arial" w:hAnsi="Arial" w:cs="Arial"/>
          <w:b/>
          <w:bCs/>
          <w:sz w:val="22"/>
          <w:szCs w:val="22"/>
        </w:rPr>
        <w:t xml:space="preserve"> Fig. 3 </w:t>
      </w:r>
      <w:r>
        <w:rPr>
          <w:rFonts w:ascii="Arial" w:hAnsi="Arial" w:cs="Arial"/>
          <w:b/>
          <w:sz w:val="22"/>
          <w:szCs w:val="22"/>
        </w:rPr>
        <w:t xml:space="preserve"> ESI-MS spectrum of alkynyl-TPP cation.</w:t>
      </w:r>
    </w:p>
    <w:p>
      <w:pPr>
        <w:widowControl w:val="0"/>
        <w:adjustRightInd w:val="0"/>
        <w:snapToGrid w:val="0"/>
        <w:spacing w:before="120" w:after="0" w:line="480" w:lineRule="auto"/>
        <w:rPr>
          <w:rFonts w:ascii="Arial" w:hAnsi="Arial" w:cs="Arial" w:eastAsiaTheme="minorEastAsia"/>
          <w:bCs/>
          <w:kern w:val="2"/>
          <w:sz w:val="22"/>
          <w:szCs w:val="22"/>
          <w:lang w:eastAsia="zh-CN"/>
        </w:rPr>
      </w:pPr>
    </w:p>
    <w:p>
      <w:pPr>
        <w:widowControl w:val="0"/>
        <w:adjustRightInd w:val="0"/>
        <w:snapToGrid w:val="0"/>
        <w:spacing w:before="120" w:after="0" w:line="480" w:lineRule="auto"/>
        <w:rPr>
          <w:rFonts w:ascii="Arial" w:hAnsi="Arial" w:cs="Arial" w:eastAsiaTheme="minorEastAsia"/>
          <w:bCs/>
          <w:kern w:val="2"/>
          <w:sz w:val="22"/>
          <w:szCs w:val="22"/>
          <w:lang w:eastAsia="zh-CN"/>
        </w:rPr>
      </w:pPr>
    </w:p>
    <w:p>
      <w:pPr>
        <w:spacing w:after="0"/>
        <w:jc w:val="center"/>
        <w:rPr>
          <w:rFonts w:ascii="Arial" w:hAnsi="Arial" w:cs="Arial"/>
          <w:sz w:val="22"/>
          <w:szCs w:val="22"/>
        </w:rPr>
      </w:pPr>
    </w:p>
    <w:p>
      <w:pPr>
        <w:spacing w:after="0"/>
        <w:jc w:val="center"/>
        <w:rPr>
          <w:rFonts w:ascii="Arial" w:hAnsi="Arial" w:cs="Arial"/>
          <w:sz w:val="22"/>
          <w:szCs w:val="22"/>
        </w:rPr>
      </w:pPr>
      <w:r>
        <w:rPr>
          <w:rFonts w:ascii="Arial" w:hAnsi="Arial" w:cs="Arial"/>
          <w:sz w:val="22"/>
          <w:szCs w:val="22"/>
        </w:rPr>
        <w:t xml:space="preserve"> </w:t>
      </w:r>
      <w:r>
        <w:rPr>
          <w:rFonts w:ascii="Arial" w:hAnsi="Arial" w:cs="Arial"/>
          <w:sz w:val="22"/>
          <w:szCs w:val="22"/>
          <w:lang w:eastAsia="zh-CN"/>
        </w:rPr>
        <w:t xml:space="preserve"> </w:t>
      </w:r>
      <w:r>
        <w:rPr>
          <w:bCs/>
          <w:lang w:eastAsia="zh-CN"/>
        </w:rPr>
        <w:drawing>
          <wp:inline distT="0" distB="0" distL="114300" distR="114300">
            <wp:extent cx="3121660" cy="2520315"/>
            <wp:effectExtent l="0" t="0" r="2540" b="13335"/>
            <wp:docPr id="14" name="图片 14"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ure S4"/>
                    <pic:cNvPicPr>
                      <a:picLocks noChangeAspect="1"/>
                    </pic:cNvPicPr>
                  </pic:nvPicPr>
                  <pic:blipFill>
                    <a:blip r:embed="rId8"/>
                    <a:stretch>
                      <a:fillRect/>
                    </a:stretch>
                  </pic:blipFill>
                  <pic:spPr>
                    <a:xfrm>
                      <a:off x="0" y="0"/>
                      <a:ext cx="3121660" cy="2520315"/>
                    </a:xfrm>
                    <a:prstGeom prst="rect">
                      <a:avLst/>
                    </a:prstGeom>
                  </pic:spPr>
                </pic:pic>
              </a:graphicData>
            </a:graphic>
          </wp:inline>
        </w:drawing>
      </w:r>
    </w:p>
    <w:p>
      <w:pPr>
        <w:adjustRightInd w:val="0"/>
        <w:snapToGrid w:val="0"/>
        <w:spacing w:before="120" w:after="240" w:line="480" w:lineRule="auto"/>
        <w:rPr>
          <w:rFonts w:ascii="Arial" w:hAnsi="Arial" w:cs="Arial"/>
          <w:sz w:val="22"/>
          <w:szCs w:val="22"/>
        </w:rPr>
      </w:pPr>
      <w:r>
        <w:rPr>
          <w:rFonts w:ascii="Arial" w:hAnsi="Arial" w:cs="Arial"/>
          <w:b/>
          <w:sz w:val="22"/>
          <w:szCs w:val="22"/>
        </w:rPr>
        <w:t>Supplementary</w:t>
      </w:r>
      <w:r>
        <w:rPr>
          <w:rFonts w:ascii="Arial" w:hAnsi="Arial" w:cs="Arial"/>
          <w:b/>
          <w:bCs/>
          <w:sz w:val="22"/>
          <w:szCs w:val="22"/>
        </w:rPr>
        <w:t xml:space="preserve"> Fig. 4 </w:t>
      </w:r>
      <w:r>
        <w:rPr>
          <w:rFonts w:ascii="Arial" w:hAnsi="Arial" w:cs="Arial"/>
          <w:b/>
          <w:sz w:val="22"/>
          <w:szCs w:val="22"/>
        </w:rPr>
        <w:t xml:space="preserve"> MALDI-TOF MS spectra of LDNA and TPP-LDNA</w:t>
      </w:r>
      <w:r>
        <w:rPr>
          <w:rFonts w:ascii="Arial" w:hAnsi="Arial" w:cs="Arial"/>
          <w:sz w:val="22"/>
          <w:szCs w:val="22"/>
        </w:rPr>
        <w:t>.</w:t>
      </w:r>
    </w:p>
    <w:p>
      <w:pPr>
        <w:spacing w:after="0"/>
        <w:jc w:val="center"/>
        <w:rPr>
          <w:rFonts w:ascii="Arial" w:hAnsi="Arial" w:cs="Arial"/>
          <w:sz w:val="22"/>
          <w:szCs w:val="22"/>
        </w:rPr>
      </w:pPr>
      <w:r>
        <w:t xml:space="preserve"> </w:t>
      </w:r>
      <w:r>
        <w:rPr>
          <w:rFonts w:ascii="Times New Roman" w:hAnsi="Times New Roman" w:eastAsia="宋体" w:cs="Times New Roman"/>
          <w:lang w:eastAsia="zh-CN"/>
        </w:rPr>
        <w:drawing>
          <wp:inline distT="0" distB="0" distL="0" distR="0">
            <wp:extent cx="4319905" cy="1878965"/>
            <wp:effectExtent l="0" t="0" r="4445" b="6985"/>
            <wp:docPr id="13" name="图片 1"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Graph2"/>
                    <pic:cNvPicPr>
                      <a:picLocks noChangeAspect="1"/>
                    </pic:cNvPicPr>
                  </pic:nvPicPr>
                  <pic:blipFill>
                    <a:blip r:embed="rId9"/>
                    <a:srcRect l="2633" t="19282" r="27355" b="37081"/>
                    <a:stretch>
                      <a:fillRect/>
                    </a:stretch>
                  </pic:blipFill>
                  <pic:spPr>
                    <a:xfrm>
                      <a:off x="0" y="0"/>
                      <a:ext cx="4319905" cy="1878965"/>
                    </a:xfrm>
                    <a:prstGeom prst="rect">
                      <a:avLst/>
                    </a:prstGeom>
                  </pic:spPr>
                </pic:pic>
              </a:graphicData>
            </a:graphic>
          </wp:inline>
        </w:drawing>
      </w:r>
    </w:p>
    <w:p>
      <w:pPr>
        <w:adjustRightInd w:val="0"/>
        <w:snapToGrid w:val="0"/>
        <w:spacing w:before="120" w:after="0" w:line="480" w:lineRule="auto"/>
        <w:rPr>
          <w:rFonts w:ascii="Arial" w:hAnsi="Arial" w:cs="Arial"/>
          <w:sz w:val="22"/>
          <w:szCs w:val="22"/>
        </w:rPr>
      </w:pPr>
      <w:r>
        <w:rPr>
          <w:rFonts w:ascii="Arial" w:hAnsi="Arial" w:cs="Arial"/>
          <w:b/>
          <w:sz w:val="22"/>
          <w:szCs w:val="22"/>
        </w:rPr>
        <w:t>Supplementary</w:t>
      </w:r>
      <w:r>
        <w:rPr>
          <w:rFonts w:ascii="Arial" w:hAnsi="Arial" w:cs="Arial"/>
          <w:b/>
          <w:bCs/>
          <w:sz w:val="22"/>
          <w:szCs w:val="22"/>
        </w:rPr>
        <w:t xml:space="preserve"> Fig. 5  Grafting ratio calculation of TPP-LDNA on the DNA chain.</w:t>
      </w:r>
      <w:r>
        <w:rPr>
          <w:rFonts w:ascii="Arial" w:hAnsi="Arial" w:cs="Arial"/>
          <w:sz w:val="22"/>
          <w:szCs w:val="22"/>
        </w:rPr>
        <w:t xml:space="preserve">  </w:t>
      </w:r>
      <w:r>
        <w:rPr>
          <w:rFonts w:ascii="Arial" w:hAnsi="Arial" w:cs="Arial"/>
          <w:bCs/>
          <w:sz w:val="22"/>
          <w:szCs w:val="22"/>
        </w:rPr>
        <w:t>(</w:t>
      </w:r>
      <w:r>
        <w:rPr>
          <w:rFonts w:hint="eastAsia" w:ascii="Arial" w:hAnsi="Arial" w:cs="Arial"/>
          <w:b/>
          <w:sz w:val="22"/>
          <w:szCs w:val="22"/>
          <w:lang w:val="en-US" w:eastAsia="zh-CN"/>
        </w:rPr>
        <w:t>a</w:t>
      </w:r>
      <w:r>
        <w:rPr>
          <w:rFonts w:ascii="Arial" w:hAnsi="Arial" w:cs="Arial"/>
          <w:bCs/>
          <w:sz w:val="22"/>
          <w:szCs w:val="22"/>
        </w:rPr>
        <w:t xml:space="preserve">) Standard calibration curves for FAM-LDNA at </w:t>
      </w:r>
      <w:r>
        <w:rPr>
          <w:rFonts w:ascii="Arial" w:hAnsi="Arial" w:cs="Arial"/>
          <w:bCs/>
          <w:i/>
          <w:sz w:val="22"/>
          <w:szCs w:val="22"/>
        </w:rPr>
        <w:sym w:font="Symbol" w:char="F06C"/>
      </w:r>
      <w:r>
        <w:rPr>
          <w:rFonts w:ascii="Arial" w:hAnsi="Arial" w:cs="Arial"/>
          <w:bCs/>
          <w:i/>
          <w:sz w:val="22"/>
          <w:szCs w:val="22"/>
          <w:vertAlign w:val="subscript"/>
        </w:rPr>
        <w:t>ex</w:t>
      </w:r>
      <w:r>
        <w:rPr>
          <w:rFonts w:ascii="Arial" w:hAnsi="Arial" w:cs="Arial"/>
          <w:bCs/>
          <w:sz w:val="22"/>
          <w:szCs w:val="22"/>
        </w:rPr>
        <w:t xml:space="preserve"> of 488 nm. The data error bars indicate means ± SD (n=3). (</w:t>
      </w:r>
      <w:r>
        <w:rPr>
          <w:rFonts w:hint="eastAsia" w:ascii="Arial" w:hAnsi="Arial" w:cs="Arial"/>
          <w:b/>
          <w:sz w:val="22"/>
          <w:szCs w:val="22"/>
          <w:lang w:val="en-US" w:eastAsia="zh-CN"/>
        </w:rPr>
        <w:t>b</w:t>
      </w:r>
      <w:r>
        <w:rPr>
          <w:rFonts w:ascii="Arial" w:hAnsi="Arial" w:cs="Arial"/>
          <w:bCs/>
          <w:sz w:val="22"/>
          <w:szCs w:val="22"/>
        </w:rPr>
        <w:t>) Fluorescence spectrum of 1.0 µM F-binder. The concentration of FAM-LDNA strands was calculated as 0.93 µM according to the linear equation.</w:t>
      </w:r>
    </w:p>
    <w:p>
      <w:pPr>
        <w:adjustRightInd w:val="0"/>
        <w:snapToGrid w:val="0"/>
        <w:spacing w:before="120" w:after="0" w:line="480" w:lineRule="auto"/>
        <w:rPr>
          <w:rFonts w:ascii="Arial" w:hAnsi="Arial" w:cs="Arial"/>
          <w:sz w:val="22"/>
          <w:szCs w:val="22"/>
        </w:rPr>
      </w:pPr>
    </w:p>
    <w:p>
      <w:pPr>
        <w:adjustRightInd w:val="0"/>
        <w:snapToGrid w:val="0"/>
        <w:spacing w:before="120" w:after="0" w:line="480" w:lineRule="auto"/>
        <w:rPr>
          <w:rFonts w:ascii="Arial" w:hAnsi="Arial" w:cs="Arial"/>
          <w:sz w:val="22"/>
          <w:szCs w:val="22"/>
        </w:rPr>
      </w:pPr>
    </w:p>
    <w:p>
      <w:pPr>
        <w:spacing w:after="0" w:line="480" w:lineRule="auto"/>
        <w:jc w:val="center"/>
        <w:rPr>
          <w:rFonts w:ascii="Arial" w:hAnsi="Arial" w:cs="Arial"/>
          <w:b/>
          <w:sz w:val="22"/>
          <w:szCs w:val="22"/>
        </w:rPr>
      </w:pPr>
      <w:r>
        <w:rPr>
          <w:rFonts w:ascii="Arial" w:hAnsi="Arial" w:cs="Arial"/>
          <w:sz w:val="22"/>
          <w:szCs w:val="22"/>
        </w:rPr>
        <w:t xml:space="preserve"> </w:t>
      </w:r>
      <w:r>
        <w:t xml:space="preserve"> </w:t>
      </w:r>
      <w:r>
        <w:drawing>
          <wp:inline distT="0" distB="0" distL="0" distR="0">
            <wp:extent cx="4319905" cy="2346325"/>
            <wp:effectExtent l="0" t="0" r="4445" b="0"/>
            <wp:docPr id="21" name="图片 1"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S5"/>
                    <pic:cNvPicPr>
                      <a:picLocks noChangeAspect="1"/>
                    </pic:cNvPicPr>
                  </pic:nvPicPr>
                  <pic:blipFill>
                    <a:blip r:embed="rId10"/>
                    <a:stretch>
                      <a:fillRect/>
                    </a:stretch>
                  </pic:blipFill>
                  <pic:spPr>
                    <a:xfrm>
                      <a:off x="0" y="0"/>
                      <a:ext cx="4320000" cy="2346923"/>
                    </a:xfrm>
                    <a:prstGeom prst="rect">
                      <a:avLst/>
                    </a:prstGeom>
                  </pic:spPr>
                </pic:pic>
              </a:graphicData>
            </a:graphic>
          </wp:inline>
        </w:drawing>
      </w:r>
    </w:p>
    <w:p>
      <w:pPr>
        <w:adjustRightInd w:val="0"/>
        <w:snapToGrid w:val="0"/>
        <w:spacing w:before="120" w:after="0" w:line="480" w:lineRule="auto"/>
        <w:rPr>
          <w:rFonts w:ascii="Arial" w:hAnsi="Arial" w:cs="Arial"/>
          <w:b/>
          <w:sz w:val="22"/>
          <w:szCs w:val="22"/>
        </w:rPr>
      </w:pPr>
      <w:r>
        <w:rPr>
          <w:rFonts w:ascii="Arial" w:hAnsi="Arial" w:cs="Arial"/>
          <w:b/>
          <w:sz w:val="22"/>
          <w:szCs w:val="22"/>
        </w:rPr>
        <w:t>Supplementary</w:t>
      </w:r>
      <w:r>
        <w:rPr>
          <w:rFonts w:ascii="Arial" w:hAnsi="Arial" w:cs="Arial"/>
          <w:b/>
          <w:bCs/>
          <w:sz w:val="22"/>
          <w:szCs w:val="22"/>
        </w:rPr>
        <w:t xml:space="preserve"> Fig. 6  Confocal fluorescence study of extracellular mitochondria (blank) after treated with 1.0 µM TPP-LDNA, C-Binder and DNA binder, respectively.</w:t>
      </w:r>
    </w:p>
    <w:p>
      <w:pPr>
        <w:spacing w:after="0" w:line="480" w:lineRule="auto"/>
        <w:jc w:val="center"/>
        <w:rPr>
          <w:rFonts w:ascii="Arial" w:hAnsi="Arial" w:cs="Arial"/>
          <w:sz w:val="22"/>
          <w:szCs w:val="22"/>
        </w:rPr>
      </w:pPr>
      <w:r>
        <w:rPr>
          <w:rFonts w:ascii="Arial" w:hAnsi="Arial" w:cs="Arial"/>
          <w:sz w:val="22"/>
          <w:szCs w:val="22"/>
        </w:rPr>
        <w:t xml:space="preserve"> </w:t>
      </w:r>
      <w:r>
        <w:rPr>
          <w:rFonts w:ascii="Times New Roman" w:hAnsi="Times New Roman" w:eastAsia="宋体" w:cs="Times New Roman"/>
          <w:bCs/>
          <w:lang w:eastAsia="zh-CN"/>
        </w:rPr>
        <w:drawing>
          <wp:inline distT="0" distB="0" distL="0" distR="0">
            <wp:extent cx="4319905" cy="2049145"/>
            <wp:effectExtent l="0" t="0" r="4445" b="8255"/>
            <wp:docPr id="2" name="图片 1"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raph2"/>
                    <pic:cNvPicPr>
                      <a:picLocks noChangeAspect="1"/>
                    </pic:cNvPicPr>
                  </pic:nvPicPr>
                  <pic:blipFill>
                    <a:blip r:embed="rId11"/>
                    <a:srcRect l="11622" t="13991" r="20423" b="39830"/>
                    <a:stretch>
                      <a:fillRect/>
                    </a:stretch>
                  </pic:blipFill>
                  <pic:spPr>
                    <a:xfrm>
                      <a:off x="0" y="0"/>
                      <a:ext cx="4320000" cy="2049231"/>
                    </a:xfrm>
                    <a:prstGeom prst="rect">
                      <a:avLst/>
                    </a:prstGeom>
                  </pic:spPr>
                </pic:pic>
              </a:graphicData>
            </a:graphic>
          </wp:inline>
        </w:drawing>
      </w:r>
    </w:p>
    <w:p>
      <w:pPr>
        <w:adjustRightInd w:val="0"/>
        <w:snapToGrid w:val="0"/>
        <w:spacing w:before="120" w:after="0" w:line="480" w:lineRule="auto"/>
        <w:rPr>
          <w:rFonts w:ascii="Arial" w:hAnsi="Arial" w:cs="Arial"/>
          <w:sz w:val="22"/>
          <w:szCs w:val="22"/>
        </w:rPr>
      </w:pPr>
      <w:bookmarkStart w:id="10" w:name="OLE_LINK7"/>
      <w:bookmarkStart w:id="11" w:name="OLE_LINK8"/>
      <w:r>
        <w:rPr>
          <w:rFonts w:ascii="Arial" w:hAnsi="Arial" w:cs="Arial"/>
          <w:b/>
          <w:sz w:val="22"/>
          <w:szCs w:val="22"/>
        </w:rPr>
        <w:t>Supplementary</w:t>
      </w:r>
      <w:r>
        <w:rPr>
          <w:rFonts w:ascii="Arial" w:hAnsi="Arial" w:cs="Arial"/>
          <w:b/>
          <w:bCs/>
          <w:sz w:val="22"/>
          <w:szCs w:val="22"/>
        </w:rPr>
        <w:t xml:space="preserve"> Fig. 7  Cytotoxicity of DNA binders.</w:t>
      </w:r>
      <w:r>
        <w:rPr>
          <w:rFonts w:ascii="Arial" w:hAnsi="Arial" w:cs="Arial"/>
          <w:sz w:val="22"/>
          <w:szCs w:val="22"/>
        </w:rPr>
        <w:t xml:space="preserve"> </w:t>
      </w:r>
      <w:bookmarkStart w:id="12" w:name="_Hlk93760171"/>
      <w:r>
        <w:rPr>
          <w:rFonts w:ascii="Arial" w:hAnsi="Arial" w:cs="Arial"/>
          <w:sz w:val="22"/>
          <w:szCs w:val="22"/>
        </w:rPr>
        <w:t>Ce</w:t>
      </w:r>
      <w:r>
        <w:rPr>
          <w:rFonts w:ascii="Arial" w:hAnsi="Arial" w:cs="Arial"/>
          <w:bCs/>
          <w:sz w:val="22"/>
          <w:szCs w:val="22"/>
        </w:rPr>
        <w:t>ll viabilities of (</w:t>
      </w:r>
      <w:r>
        <w:rPr>
          <w:rFonts w:hint="eastAsia" w:ascii="Arial" w:hAnsi="Arial" w:cs="Arial"/>
          <w:b/>
          <w:sz w:val="22"/>
          <w:szCs w:val="22"/>
          <w:lang w:val="en-US" w:eastAsia="zh-CN"/>
        </w:rPr>
        <w:t>a</w:t>
      </w:r>
      <w:r>
        <w:rPr>
          <w:rFonts w:ascii="Arial" w:hAnsi="Arial" w:cs="Arial"/>
          <w:bCs/>
          <w:sz w:val="22"/>
          <w:szCs w:val="22"/>
        </w:rPr>
        <w:t>) 4T1 and (</w:t>
      </w:r>
      <w:r>
        <w:rPr>
          <w:rFonts w:hint="eastAsia" w:ascii="Arial" w:hAnsi="Arial" w:cs="Arial"/>
          <w:b/>
          <w:sz w:val="22"/>
          <w:szCs w:val="22"/>
          <w:lang w:val="en-US" w:eastAsia="zh-CN"/>
        </w:rPr>
        <w:t>b</w:t>
      </w:r>
      <w:r>
        <w:rPr>
          <w:rFonts w:ascii="Arial" w:hAnsi="Arial" w:cs="Arial"/>
          <w:bCs/>
          <w:sz w:val="22"/>
          <w:szCs w:val="22"/>
        </w:rPr>
        <w:t>)</w:t>
      </w:r>
      <w:bookmarkEnd w:id="12"/>
      <w:r>
        <w:rPr>
          <w:rFonts w:ascii="Arial" w:hAnsi="Arial" w:cs="Arial"/>
          <w:bCs/>
          <w:sz w:val="22"/>
          <w:szCs w:val="22"/>
        </w:rPr>
        <w:t xml:space="preserve"> SH-SY5Y cells in the absence (Control) and presence of different concentration of DNA binder.</w:t>
      </w:r>
      <w:bookmarkEnd w:id="10"/>
      <w:bookmarkEnd w:id="11"/>
    </w:p>
    <w:p>
      <w:pPr>
        <w:adjustRightInd w:val="0"/>
        <w:snapToGrid w:val="0"/>
        <w:spacing w:before="120" w:after="0" w:line="480" w:lineRule="auto"/>
        <w:rPr>
          <w:rFonts w:ascii="Arial" w:hAnsi="Arial" w:cs="Arial"/>
          <w:sz w:val="22"/>
          <w:szCs w:val="22"/>
        </w:rPr>
      </w:pPr>
    </w:p>
    <w:p>
      <w:pPr>
        <w:adjustRightInd w:val="0"/>
        <w:snapToGrid w:val="0"/>
        <w:spacing w:before="120" w:after="0" w:line="480" w:lineRule="auto"/>
        <w:rPr>
          <w:rFonts w:ascii="Arial" w:hAnsi="Arial" w:cs="Arial"/>
          <w:sz w:val="22"/>
          <w:szCs w:val="22"/>
        </w:rPr>
      </w:pPr>
    </w:p>
    <w:p>
      <w:pPr>
        <w:adjustRightInd w:val="0"/>
        <w:snapToGrid w:val="0"/>
        <w:spacing w:before="120" w:after="0" w:line="480" w:lineRule="auto"/>
        <w:rPr>
          <w:rFonts w:ascii="Arial" w:hAnsi="Arial" w:cs="Arial"/>
          <w:sz w:val="22"/>
          <w:szCs w:val="22"/>
        </w:rPr>
      </w:pPr>
    </w:p>
    <w:p>
      <w:pPr>
        <w:spacing w:after="0" w:line="480" w:lineRule="auto"/>
        <w:jc w:val="center"/>
        <w:rPr>
          <w:rFonts w:ascii="Arial" w:hAnsi="Arial" w:cs="Arial"/>
          <w:sz w:val="22"/>
          <w:szCs w:val="22"/>
        </w:rPr>
      </w:pPr>
      <w:r>
        <w:rPr>
          <w:bCs/>
          <w:lang w:eastAsia="zh-CN"/>
        </w:rPr>
        <w:drawing>
          <wp:inline distT="0" distB="0" distL="0" distR="0">
            <wp:extent cx="5400040" cy="1617980"/>
            <wp:effectExtent l="0" t="0" r="1016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00040" cy="1617980"/>
                    </a:xfrm>
                    <a:prstGeom prst="rect">
                      <a:avLst/>
                    </a:prstGeom>
                  </pic:spPr>
                </pic:pic>
              </a:graphicData>
            </a:graphic>
          </wp:inline>
        </w:drawing>
      </w:r>
    </w:p>
    <w:p>
      <w:pPr>
        <w:adjustRightInd w:val="0"/>
        <w:snapToGrid w:val="0"/>
        <w:spacing w:before="120" w:after="0" w:line="480" w:lineRule="auto"/>
        <w:rPr>
          <w:rFonts w:ascii="Arial" w:hAnsi="Arial" w:cs="Arial"/>
          <w:sz w:val="22"/>
          <w:szCs w:val="22"/>
        </w:rPr>
      </w:pPr>
      <w:r>
        <w:rPr>
          <w:rFonts w:ascii="Arial" w:hAnsi="Arial" w:cs="Arial"/>
          <w:b/>
          <w:sz w:val="22"/>
          <w:szCs w:val="22"/>
        </w:rPr>
        <w:t>Supplementary</w:t>
      </w:r>
      <w:r>
        <w:rPr>
          <w:rFonts w:ascii="Arial" w:hAnsi="Arial" w:cs="Arial"/>
          <w:b/>
          <w:bCs/>
          <w:sz w:val="22"/>
          <w:szCs w:val="22"/>
        </w:rPr>
        <w:t xml:space="preserve"> Fig. 8  Co-localization study of DNA binders in living cells.</w:t>
      </w:r>
      <w:r>
        <w:rPr>
          <w:rFonts w:ascii="Arial" w:hAnsi="Arial" w:cs="Arial"/>
          <w:sz w:val="22"/>
          <w:szCs w:val="22"/>
        </w:rPr>
        <w:t xml:space="preserve">  </w:t>
      </w:r>
      <w:r>
        <w:rPr>
          <w:rFonts w:ascii="Arial" w:hAnsi="Arial" w:cs="Arial"/>
          <w:bCs/>
          <w:iCs/>
          <w:sz w:val="22"/>
          <w:szCs w:val="22"/>
        </w:rPr>
        <w:t xml:space="preserve">Co-staining of 4T1 cells with MitoTracker (red) and DAPI (blue) after incubation with </w:t>
      </w:r>
      <w:r>
        <w:rPr>
          <w:rFonts w:ascii="Arial" w:hAnsi="Arial" w:cs="Arial"/>
          <w:bCs/>
          <w:sz w:val="22"/>
          <w:szCs w:val="22"/>
        </w:rPr>
        <w:t xml:space="preserve">1.0 </w:t>
      </w:r>
      <w:r>
        <w:rPr>
          <w:rFonts w:ascii="Arial" w:hAnsi="Arial" w:cs="Arial"/>
          <w:bCs/>
          <w:iCs/>
          <w:sz w:val="22"/>
          <w:szCs w:val="22"/>
        </w:rPr>
        <w:t>µM</w:t>
      </w:r>
      <w:r>
        <w:rPr>
          <w:rFonts w:ascii="Arial" w:hAnsi="Arial" w:cs="Arial"/>
          <w:bCs/>
          <w:sz w:val="22"/>
          <w:szCs w:val="22"/>
        </w:rPr>
        <w:t xml:space="preserve"> </w:t>
      </w:r>
      <w:r>
        <w:rPr>
          <w:rFonts w:ascii="Arial" w:hAnsi="Arial" w:cs="Arial"/>
          <w:bCs/>
          <w:iCs/>
          <w:sz w:val="22"/>
          <w:szCs w:val="22"/>
        </w:rPr>
        <w:t>F-binder (green) for 24 h. Scale bar: 10 µm.</w:t>
      </w:r>
    </w:p>
    <w:p>
      <w:pPr>
        <w:spacing w:after="0" w:line="480" w:lineRule="auto"/>
        <w:jc w:val="center"/>
        <w:rPr>
          <w:rFonts w:ascii="Arial" w:hAnsi="Arial" w:cs="Arial"/>
          <w:sz w:val="22"/>
          <w:szCs w:val="22"/>
        </w:rPr>
      </w:pPr>
      <w:bookmarkStart w:id="14" w:name="_GoBack"/>
      <w:r>
        <w:rPr>
          <w:rFonts w:ascii="Times New Roman" w:hAnsi="Times New Roman" w:cs="Times New Roman"/>
        </w:rPr>
        <w:drawing>
          <wp:inline distT="0" distB="0" distL="0" distR="0">
            <wp:extent cx="4067810" cy="3622040"/>
            <wp:effectExtent l="0" t="0" r="8890" b="165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7810" cy="3622040"/>
                    </a:xfrm>
                    <a:prstGeom prst="rect">
                      <a:avLst/>
                    </a:prstGeom>
                  </pic:spPr>
                </pic:pic>
              </a:graphicData>
            </a:graphic>
          </wp:inline>
        </w:drawing>
      </w:r>
      <w:bookmarkEnd w:id="14"/>
    </w:p>
    <w:p>
      <w:pPr>
        <w:adjustRightInd w:val="0"/>
        <w:snapToGrid w:val="0"/>
        <w:spacing w:before="120" w:after="0" w:line="480" w:lineRule="auto"/>
        <w:rPr>
          <w:rFonts w:ascii="Arial" w:hAnsi="Arial" w:cs="Arial"/>
          <w:sz w:val="22"/>
          <w:szCs w:val="22"/>
        </w:rPr>
      </w:pPr>
      <w:r>
        <w:rPr>
          <w:rFonts w:ascii="Arial" w:hAnsi="Arial" w:cs="Arial"/>
          <w:b/>
          <w:sz w:val="22"/>
          <w:szCs w:val="22"/>
        </w:rPr>
        <w:t>Supplementary</w:t>
      </w:r>
      <w:r>
        <w:rPr>
          <w:rFonts w:ascii="Arial" w:hAnsi="Arial" w:cs="Arial"/>
          <w:b/>
          <w:bCs/>
          <w:sz w:val="22"/>
          <w:szCs w:val="22"/>
        </w:rPr>
        <w:t xml:space="preserve"> Fig. 9 </w:t>
      </w:r>
      <w:r>
        <w:rPr>
          <w:rFonts w:ascii="Arial" w:hAnsi="Arial" w:cs="Arial"/>
          <w:sz w:val="22"/>
          <w:szCs w:val="22"/>
        </w:rPr>
        <w:t xml:space="preserve"> </w:t>
      </w:r>
      <w:bookmarkStart w:id="13" w:name="_Hlk36378904"/>
      <w:r>
        <w:rPr>
          <w:rFonts w:ascii="Arial" w:hAnsi="Arial" w:cs="Arial"/>
          <w:b/>
          <w:bCs/>
          <w:sz w:val="22"/>
          <w:szCs w:val="22"/>
        </w:rPr>
        <w:t xml:space="preserve">Schematics and characterization of self-assembled ATP-triggered DNA switches and R-DNA binder response.  </w:t>
      </w:r>
      <w:r>
        <w:rPr>
          <w:rFonts w:ascii="Arial" w:hAnsi="Arial" w:cs="Arial"/>
          <w:bCs/>
          <w:sz w:val="22"/>
          <w:szCs w:val="22"/>
        </w:rPr>
        <w:t>(</w:t>
      </w:r>
      <w:r>
        <w:rPr>
          <w:rFonts w:hint="eastAsia" w:ascii="Arial" w:hAnsi="Arial" w:cs="Arial"/>
          <w:b/>
          <w:sz w:val="22"/>
          <w:szCs w:val="22"/>
          <w:lang w:val="en-US" w:eastAsia="zh-CN"/>
        </w:rPr>
        <w:t>a</w:t>
      </w:r>
      <w:r>
        <w:rPr>
          <w:rFonts w:ascii="Arial" w:hAnsi="Arial" w:cs="Arial"/>
          <w:bCs/>
          <w:sz w:val="22"/>
          <w:szCs w:val="22"/>
        </w:rPr>
        <w:t>) Fluorescence intensities of split aptamer mixture (SA1/SA2) incubated with 1 mM ATP (1-ATP) and 4 mM ATP (4-ATP), and 4 mM CTP, GTP and UTP, as well as mixture of random SA1 sequence (CSA1) and SA2 incubated with 4.0 mM ATP, (</w:t>
      </w:r>
      <w:r>
        <w:rPr>
          <w:rFonts w:hint="eastAsia" w:ascii="Arial" w:hAnsi="Arial" w:cs="Arial"/>
          <w:b/>
          <w:sz w:val="22"/>
          <w:szCs w:val="22"/>
          <w:lang w:val="en-US" w:eastAsia="zh-CN"/>
        </w:rPr>
        <w:t>b</w:t>
      </w:r>
      <w:r>
        <w:rPr>
          <w:rFonts w:ascii="Arial" w:hAnsi="Arial" w:cs="Arial"/>
          <w:bCs/>
          <w:sz w:val="22"/>
          <w:szCs w:val="22"/>
        </w:rPr>
        <w:t>) TAMRA fluorescence signal from 2 μM TAMRA-SA1 and 2 μM R-DNA chain in response to 4.0 mM ATP. The data error bars indicate means ± SD (n = 3).</w:t>
      </w:r>
    </w:p>
    <w:p>
      <w:pPr>
        <w:spacing w:after="0"/>
        <w:jc w:val="left"/>
        <w:rPr>
          <w:rFonts w:ascii="Arial" w:hAnsi="Arial" w:cs="Arial"/>
          <w:sz w:val="22"/>
          <w:szCs w:val="22"/>
        </w:rPr>
      </w:pPr>
      <w:r>
        <w:rPr>
          <w:rFonts w:ascii="Arial" w:hAnsi="Arial" w:cs="Arial"/>
          <w:sz w:val="22"/>
          <w:szCs w:val="22"/>
        </w:rPr>
        <w:br w:type="page"/>
      </w:r>
    </w:p>
    <w:bookmarkEnd w:id="13"/>
    <w:p>
      <w:pPr>
        <w:jc w:val="center"/>
        <w:rPr>
          <w:rFonts w:ascii="Arial" w:hAnsi="Arial" w:cs="Arial"/>
          <w:sz w:val="22"/>
          <w:szCs w:val="22"/>
        </w:rPr>
      </w:pPr>
      <w:r>
        <w:rPr>
          <w:rFonts w:ascii="Arial" w:hAnsi="Arial" w:cs="Arial"/>
          <w:sz w:val="22"/>
          <w:szCs w:val="22"/>
        </w:rPr>
        <w:t xml:space="preserve">  </w:t>
      </w:r>
      <w:r>
        <w:rPr>
          <w:lang w:eastAsia="zh-CN"/>
        </w:rPr>
        <w:drawing>
          <wp:inline distT="0" distB="0" distL="0" distR="0">
            <wp:extent cx="5400040" cy="1561465"/>
            <wp:effectExtent l="0" t="0" r="1016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1561465"/>
                    </a:xfrm>
                    <a:prstGeom prst="rect">
                      <a:avLst/>
                    </a:prstGeom>
                  </pic:spPr>
                </pic:pic>
              </a:graphicData>
            </a:graphic>
          </wp:inline>
        </w:drawing>
      </w:r>
    </w:p>
    <w:p>
      <w:pPr>
        <w:adjustRightInd w:val="0"/>
        <w:snapToGrid w:val="0"/>
        <w:spacing w:before="120" w:after="0" w:line="480" w:lineRule="auto"/>
        <w:rPr>
          <w:rFonts w:ascii="Arial" w:hAnsi="Arial" w:cs="Arial"/>
          <w:sz w:val="22"/>
          <w:szCs w:val="22"/>
        </w:rPr>
      </w:pPr>
      <w:r>
        <w:rPr>
          <w:rFonts w:ascii="Arial" w:hAnsi="Arial" w:cs="Arial"/>
          <w:b/>
          <w:sz w:val="22"/>
          <w:szCs w:val="22"/>
        </w:rPr>
        <w:t>Supplementary</w:t>
      </w:r>
      <w:r>
        <w:rPr>
          <w:rFonts w:ascii="Arial" w:hAnsi="Arial" w:cs="Arial"/>
          <w:b/>
          <w:bCs/>
          <w:sz w:val="22"/>
          <w:szCs w:val="22"/>
        </w:rPr>
        <w:t xml:space="preserve"> Fig. 10  Confocal fluorescence study of extracellular mitochondria aggregation by ATP-triggered DNA binders.  </w:t>
      </w:r>
      <w:r>
        <w:rPr>
          <w:rFonts w:ascii="Arial" w:hAnsi="Arial" w:cs="Arial"/>
          <w:sz w:val="22"/>
          <w:szCs w:val="22"/>
        </w:rPr>
        <w:t>E</w:t>
      </w:r>
      <w:r>
        <w:rPr>
          <w:rFonts w:ascii="Arial" w:hAnsi="Arial" w:cs="Arial"/>
          <w:bCs/>
          <w:iCs/>
          <w:sz w:val="22"/>
          <w:szCs w:val="22"/>
        </w:rPr>
        <w:t>xtracellular mitochondria (blank)</w:t>
      </w:r>
      <w:r>
        <w:rPr>
          <w:rFonts w:ascii="Arial" w:hAnsi="Arial" w:cs="Arial"/>
          <w:bCs/>
          <w:sz w:val="22"/>
          <w:szCs w:val="22"/>
        </w:rPr>
        <w:t xml:space="preserve"> </w:t>
      </w:r>
      <w:r>
        <w:rPr>
          <w:rFonts w:ascii="Arial" w:hAnsi="Arial" w:cs="Arial"/>
          <w:bCs/>
          <w:iCs/>
          <w:sz w:val="22"/>
          <w:szCs w:val="22"/>
        </w:rPr>
        <w:t xml:space="preserve">after incubation with 1.0 </w:t>
      </w:r>
      <w:r>
        <w:rPr>
          <w:rFonts w:ascii="Arial" w:hAnsi="Arial" w:cs="Arial"/>
          <w:bCs/>
          <w:sz w:val="22"/>
          <w:szCs w:val="22"/>
        </w:rPr>
        <w:t>µM</w:t>
      </w:r>
      <w:r>
        <w:rPr>
          <w:rFonts w:ascii="Arial" w:hAnsi="Arial" w:cs="Arial"/>
          <w:bCs/>
          <w:iCs/>
          <w:sz w:val="22"/>
          <w:szCs w:val="22"/>
        </w:rPr>
        <w:t xml:space="preserve"> R-binder in the absence and presence of 2.0 m</w:t>
      </w:r>
      <w:r>
        <w:rPr>
          <w:rFonts w:ascii="Arial" w:hAnsi="Arial" w:cs="Arial"/>
          <w:bCs/>
          <w:sz w:val="22"/>
          <w:szCs w:val="22"/>
        </w:rPr>
        <w:t>M</w:t>
      </w:r>
      <w:r>
        <w:rPr>
          <w:rFonts w:ascii="Arial" w:hAnsi="Arial" w:cs="Arial"/>
          <w:bCs/>
          <w:iCs/>
          <w:sz w:val="22"/>
          <w:szCs w:val="22"/>
        </w:rPr>
        <w:t xml:space="preserve"> ATP, as well as NR-Binder in the presence of 2.0 m</w:t>
      </w:r>
      <w:r>
        <w:rPr>
          <w:rFonts w:ascii="Arial" w:hAnsi="Arial" w:cs="Arial"/>
          <w:bCs/>
          <w:sz w:val="22"/>
          <w:szCs w:val="22"/>
        </w:rPr>
        <w:t>M</w:t>
      </w:r>
      <w:r>
        <w:rPr>
          <w:rFonts w:ascii="Arial" w:hAnsi="Arial" w:cs="Arial"/>
          <w:bCs/>
          <w:iCs/>
          <w:sz w:val="22"/>
          <w:szCs w:val="22"/>
        </w:rPr>
        <w:t xml:space="preserve"> ATP. </w:t>
      </w:r>
      <w:r>
        <w:rPr>
          <w:rFonts w:ascii="Arial" w:hAnsi="Arial" w:cs="Arial"/>
          <w:bCs/>
          <w:sz w:val="22"/>
          <w:szCs w:val="22"/>
        </w:rPr>
        <w:t>Scale bar, 10 µm.</w:t>
      </w:r>
    </w:p>
    <w:p>
      <w:pPr>
        <w:adjustRightInd w:val="0"/>
        <w:snapToGrid w:val="0"/>
        <w:spacing w:before="120" w:after="0" w:line="480" w:lineRule="auto"/>
        <w:rPr>
          <w:rFonts w:ascii="Arial" w:hAnsi="Arial" w:cs="Arial"/>
          <w:sz w:val="22"/>
          <w:szCs w:val="22"/>
        </w:rPr>
      </w:pPr>
    </w:p>
    <w:p>
      <w:pPr>
        <w:adjustRightInd w:val="0"/>
        <w:snapToGrid w:val="0"/>
        <w:spacing w:before="120" w:after="0" w:line="480" w:lineRule="auto"/>
        <w:rPr>
          <w:rFonts w:ascii="Arial" w:hAnsi="Arial" w:cs="Arial"/>
          <w:sz w:val="22"/>
          <w:szCs w:val="22"/>
        </w:rPr>
      </w:pPr>
    </w:p>
    <w:p>
      <w:pPr>
        <w:adjustRightInd w:val="0"/>
        <w:spacing w:after="0" w:line="480" w:lineRule="auto"/>
        <w:jc w:val="center"/>
        <w:rPr>
          <w:rFonts w:ascii="Arial" w:hAnsi="Arial" w:cs="Arial"/>
          <w:sz w:val="22"/>
          <w:szCs w:val="22"/>
        </w:rPr>
      </w:pPr>
      <w:r>
        <w:rPr>
          <w:rFonts w:ascii="Arial" w:hAnsi="Arial" w:cs="Arial"/>
          <w:sz w:val="22"/>
          <w:szCs w:val="22"/>
        </w:rPr>
        <w:t xml:space="preserve"> </w:t>
      </w:r>
      <w:r>
        <w:rPr>
          <w:rFonts w:ascii="Arial" w:hAnsi="Arial" w:cs="Arial"/>
          <w:sz w:val="22"/>
          <w:szCs w:val="22"/>
          <w:lang w:eastAsia="zh-CN"/>
        </w:rPr>
        <w:t xml:space="preserve"> </w:t>
      </w:r>
      <w:r>
        <w:drawing>
          <wp:inline distT="0" distB="0" distL="0" distR="0">
            <wp:extent cx="5400040" cy="2479675"/>
            <wp:effectExtent l="0" t="0" r="10160" b="9525"/>
            <wp:docPr id="42" name="图片 2" descr="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S13"/>
                    <pic:cNvPicPr>
                      <a:picLocks noChangeAspect="1"/>
                    </pic:cNvPicPr>
                  </pic:nvPicPr>
                  <pic:blipFill>
                    <a:blip r:embed="rId15"/>
                    <a:stretch>
                      <a:fillRect/>
                    </a:stretch>
                  </pic:blipFill>
                  <pic:spPr>
                    <a:xfrm>
                      <a:off x="0" y="0"/>
                      <a:ext cx="5400040" cy="2479675"/>
                    </a:xfrm>
                    <a:prstGeom prst="rect">
                      <a:avLst/>
                    </a:prstGeom>
                  </pic:spPr>
                </pic:pic>
              </a:graphicData>
            </a:graphic>
          </wp:inline>
        </w:drawing>
      </w:r>
    </w:p>
    <w:p>
      <w:pPr>
        <w:adjustRightInd w:val="0"/>
        <w:snapToGrid w:val="0"/>
        <w:spacing w:before="120" w:after="312" w:afterLines="100" w:line="480" w:lineRule="auto"/>
        <w:rPr>
          <w:rFonts w:ascii="Arial" w:hAnsi="Arial" w:cs="Arial"/>
          <w:sz w:val="22"/>
          <w:szCs w:val="22"/>
        </w:rPr>
      </w:pPr>
      <w:r>
        <w:rPr>
          <w:rFonts w:ascii="Arial" w:hAnsi="Arial" w:cs="Arial"/>
          <w:b/>
          <w:sz w:val="22"/>
          <w:szCs w:val="22"/>
        </w:rPr>
        <w:t>Supplementary</w:t>
      </w:r>
      <w:r>
        <w:rPr>
          <w:rFonts w:ascii="Arial" w:hAnsi="Arial" w:cs="Arial"/>
          <w:b/>
          <w:bCs/>
          <w:sz w:val="22"/>
          <w:szCs w:val="22"/>
        </w:rPr>
        <w:t xml:space="preserve"> Fig. 11  Control study of mitochondria aggregation in living cells.</w:t>
      </w:r>
      <w:r>
        <w:rPr>
          <w:rFonts w:ascii="Arial" w:hAnsi="Arial" w:cs="Arial" w:eastAsiaTheme="minorEastAsia"/>
          <w:b/>
          <w:bCs/>
          <w:color w:val="000000" w:themeColor="text1"/>
          <w:kern w:val="2"/>
          <w:sz w:val="22"/>
          <w:szCs w:val="22"/>
          <w:lang w:eastAsia="zh-CN"/>
          <w14:textFill>
            <w14:solidFill>
              <w14:schemeClr w14:val="tx1"/>
            </w14:solidFill>
          </w14:textFill>
        </w:rPr>
        <w:t xml:space="preserve"> </w:t>
      </w:r>
      <w:r>
        <w:rPr>
          <w:rFonts w:ascii="Arial" w:hAnsi="Arial" w:cs="Arial"/>
          <w:b/>
          <w:sz w:val="22"/>
          <w:szCs w:val="22"/>
        </w:rPr>
        <w:t xml:space="preserve"> </w:t>
      </w:r>
      <w:r>
        <w:rPr>
          <w:rFonts w:ascii="Arial" w:hAnsi="Arial" w:cs="Arial"/>
          <w:iCs/>
          <w:sz w:val="22"/>
          <w:szCs w:val="22"/>
        </w:rPr>
        <w:t>Confocal fluorescence images of 4T1 cells with and without (Blank) 1.0 μM NR-binder, and</w:t>
      </w:r>
      <w:r>
        <w:rPr>
          <w:rFonts w:ascii="Arial" w:hAnsi="Arial" w:cs="Arial"/>
          <w:bCs/>
          <w:iCs/>
          <w:sz w:val="22"/>
          <w:szCs w:val="22"/>
        </w:rPr>
        <w:t xml:space="preserve"> 1.0 μM NR-binder and 10 μM oligomycin, respectively. The nucleus and mitochondria were staining with DAPI (blue) and mitochondria tracker red (red), respectively. Scale bars, 10 µm. The percentage of cells with elongated mitochondria in these experiments. For each construct, 100 cells were scored in biological triplicate.</w:t>
      </w:r>
    </w:p>
    <w:p>
      <w:pPr>
        <w:spacing w:line="276" w:lineRule="auto"/>
        <w:rPr>
          <w:rFonts w:ascii="Arial" w:hAnsi="Arial" w:cs="Arial"/>
        </w:rPr>
      </w:pPr>
    </w:p>
    <w:sectPr>
      <w:footerReference r:id="rId3" w:type="default"/>
      <w:pgSz w:w="11906" w:h="16838"/>
      <w:pgMar w:top="1247" w:right="1247" w:bottom="1247" w:left="1247" w:header="851" w:footer="4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w:altName w:val="Sylfaen"/>
    <w:panose1 w:val="02020603050405020304"/>
    <w:charset w:val="00"/>
    <w:family w:val="roman"/>
    <w:pitch w:val="default"/>
    <w:sig w:usb0="00000000" w:usb1="00000000" w:usb2="00000009" w:usb3="00000000" w:csb0="000001FF" w:csb1="00000000"/>
  </w:font>
  <w:font w:name="AdvOT863180fb">
    <w:altName w:val="Cambria"/>
    <w:panose1 w:val="00000000000000000000"/>
    <w:charset w:val="00"/>
    <w:family w:val="roman"/>
    <w:pitch w:val="default"/>
    <w:sig w:usb0="00000000" w:usb1="00000000" w:usb2="00000000" w:usb3="00000000" w:csb0="00000000" w:csb1="00000000"/>
  </w:font>
  <w:font w:name="AdvOT863180fb+fb">
    <w:altName w:val="Cambria"/>
    <w:panose1 w:val="00000000000000000000"/>
    <w:charset w:val="00"/>
    <w:family w:val="roman"/>
    <w:pitch w:val="default"/>
    <w:sig w:usb0="00000000" w:usb1="00000000" w:usb2="00000000" w:usb3="00000000" w:csb0="00000000" w:csb1="00000000"/>
  </w:font>
  <w:font w:name="AdvP4C4E74">
    <w:altName w:val="Cambria"/>
    <w:panose1 w:val="00000000000000000000"/>
    <w:charset w:val="00"/>
    <w:family w:val="roman"/>
    <w:pitch w:val="default"/>
    <w:sig w:usb0="00000000" w:usb1="00000000" w:usb2="00000000" w:usb3="00000000" w:csb0="00000000" w:csb1="00000000"/>
  </w:font>
  <w:font w:name="AdvTT5843c571">
    <w:altName w:val="Cambria"/>
    <w:panose1 w:val="00000000000000000000"/>
    <w:charset w:val="00"/>
    <w:family w:val="roman"/>
    <w:pitch w:val="default"/>
    <w:sig w:usb0="00000000" w:usb1="00000000" w:usb2="00000000" w:usb3="00000000" w:csb0="00000000" w:csb1="00000000"/>
  </w:font>
  <w:font w:name="Myriad Pro Light">
    <w:altName w:val="Corbel"/>
    <w:panose1 w:val="020B0603030403020204"/>
    <w:charset w:val="00"/>
    <w:family w:val="swiss"/>
    <w:pitch w:val="default"/>
    <w:sig w:usb0="00000000" w:usb1="00000000" w:usb2="00000000" w:usb3="00000000" w:csb0="0000019F" w:csb1="00000000"/>
  </w:font>
  <w:font w:name="Arno Pro">
    <w:altName w:val="Constantia"/>
    <w:panose1 w:val="00000000000000000000"/>
    <w:charset w:val="00"/>
    <w:family w:val="roman"/>
    <w:pitch w:val="default"/>
    <w:sig w:usb0="00000000" w:usb1="00000000" w:usb2="00000000" w:usb3="00000000" w:csb0="0000019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Arial">
    <w:panose1 w:val="020B0604020202020204"/>
    <w:charset w:val="00"/>
    <w:family w:val="swiss"/>
    <w:pitch w:val="default"/>
    <w:sig w:usb0="E0002EFF" w:usb1="C000785B" w:usb2="00000009" w:usb3="00000000" w:csb0="400001FF" w:csb1="FFFF0000"/>
  </w:font>
  <w:font w:name="GulliverIT">
    <w:altName w:val="微软雅黑"/>
    <w:panose1 w:val="00000000000000000000"/>
    <w:charset w:val="86"/>
    <w:family w:val="auto"/>
    <w:pitch w:val="default"/>
    <w:sig w:usb0="00000000" w:usb1="00000000" w:usb2="00000010" w:usb3="00000000" w:csb0="00040000" w:csb1="00000000"/>
  </w:font>
  <w:font w:name="Sylfaen">
    <w:panose1 w:val="010A0502050306030303"/>
    <w:charset w:val="00"/>
    <w:family w:val="auto"/>
    <w:pitch w:val="default"/>
    <w:sig w:usb0="04000687" w:usb1="00000000" w:usb2="00000000" w:usb3="00000000" w:csb0="2000009F" w:csb1="00000000"/>
  </w:font>
  <w:font w:name="Cambria">
    <w:panose1 w:val="02040503050406030204"/>
    <w:charset w:val="00"/>
    <w:family w:val="auto"/>
    <w:pitch w:val="default"/>
    <w:sig w:usb0="E00006FF" w:usb1="420024FF" w:usb2="02000000" w:usb3="00000000" w:csb0="2000019F" w:csb1="00000000"/>
  </w:font>
  <w:font w:name="Corbel">
    <w:panose1 w:val="020B0503020204020204"/>
    <w:charset w:val="00"/>
    <w:family w:val="auto"/>
    <w:pitch w:val="default"/>
    <w:sig w:usb0="A00002EF" w:usb1="4000A44B" w:usb2="00000000" w:usb3="00000000" w:csb0="2000019F" w:csb1="00000000"/>
  </w:font>
  <w:font w:name="Constantia">
    <w:panose1 w:val="02030602050306030303"/>
    <w:charset w:val="00"/>
    <w:family w:val="auto"/>
    <w:pitch w:val="default"/>
    <w:sig w:usb0="A00002EF" w:usb1="4000204B" w:usb2="00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sz w:val="22"/>
        <w:szCs w:val="22"/>
      </w:rPr>
      <w:id w:val="-973207842"/>
      <w:docPartObj>
        <w:docPartGallery w:val="AutoText"/>
      </w:docPartObj>
    </w:sdtPr>
    <w:sdtEndPr>
      <w:rPr>
        <w:rFonts w:ascii="Arial" w:hAnsi="Arial" w:cs="Arial"/>
        <w:sz w:val="22"/>
        <w:szCs w:val="22"/>
      </w:rPr>
    </w:sdtEndPr>
    <w:sdtContent>
      <w:p>
        <w:pPr>
          <w:pStyle w:val="7"/>
          <w:jc w:val="center"/>
          <w:rPr>
            <w:rFonts w:ascii="Arial" w:hAnsi="Arial" w:cs="Arial"/>
            <w:sz w:val="22"/>
            <w:szCs w:val="22"/>
          </w:rPr>
        </w:pPr>
        <w:r>
          <w:rPr>
            <w:rFonts w:ascii="Arial" w:hAnsi="Arial" w:cs="Arial"/>
            <w:sz w:val="22"/>
            <w:szCs w:val="22"/>
          </w:rPr>
          <w:t>S</w:t>
        </w:r>
        <w:r>
          <w:rPr>
            <w:rFonts w:ascii="Arial" w:hAnsi="Arial" w:cs="Arial"/>
            <w:sz w:val="22"/>
            <w:szCs w:val="22"/>
          </w:rPr>
          <w:fldChar w:fldCharType="begin"/>
        </w:r>
        <w:r>
          <w:rPr>
            <w:rFonts w:ascii="Arial" w:hAnsi="Arial" w:cs="Arial"/>
            <w:sz w:val="22"/>
            <w:szCs w:val="22"/>
          </w:rPr>
          <w:instrText xml:space="preserve">PAGE   \* MERGEFORMAT</w:instrText>
        </w:r>
        <w:r>
          <w:rPr>
            <w:rFonts w:ascii="Arial" w:hAnsi="Arial" w:cs="Arial"/>
            <w:sz w:val="22"/>
            <w:szCs w:val="22"/>
          </w:rPr>
          <w:fldChar w:fldCharType="separate"/>
        </w:r>
        <w:r>
          <w:rPr>
            <w:rFonts w:ascii="Arial" w:hAnsi="Arial" w:cs="Arial"/>
            <w:sz w:val="22"/>
            <w:szCs w:val="22"/>
            <w:lang w:val="zh-CN" w:eastAsia="zh-CN"/>
          </w:rPr>
          <w:t>1</w:t>
        </w:r>
        <w:r>
          <w:rPr>
            <w:rFonts w:ascii="Arial" w:hAnsi="Arial" w:cs="Arial"/>
            <w:sz w:val="22"/>
            <w:szCs w:val="22"/>
          </w:rP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FBBEB7"/>
    <w:multiLevelType w:val="singleLevel"/>
    <w:tmpl w:val="FEFBBEB7"/>
    <w:lvl w:ilvl="0" w:tentative="0">
      <w:start w:val="16"/>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rvwadwy9d9x5edpv8p0dec2zzwzr2rtztx&quot;&gt;My EndNote Library&lt;record-ids&gt;&lt;item&gt;37&lt;/item&gt;&lt;item&gt;50&lt;/item&gt;&lt;item&gt;56&lt;/item&gt;&lt;item&gt;60&lt;/item&gt;&lt;item&gt;61&lt;/item&gt;&lt;item&gt;62&lt;/item&gt;&lt;/record-ids&gt;&lt;/item&gt;&lt;/Libraries&gt;"/>
  </w:docVars>
  <w:rsids>
    <w:rsidRoot w:val="006210D3"/>
    <w:rsid w:val="00003334"/>
    <w:rsid w:val="00004A1D"/>
    <w:rsid w:val="00004AD3"/>
    <w:rsid w:val="000055FC"/>
    <w:rsid w:val="00010A9B"/>
    <w:rsid w:val="000110A0"/>
    <w:rsid w:val="000123D0"/>
    <w:rsid w:val="00014105"/>
    <w:rsid w:val="0001577D"/>
    <w:rsid w:val="00017577"/>
    <w:rsid w:val="00021656"/>
    <w:rsid w:val="0002453E"/>
    <w:rsid w:val="00026666"/>
    <w:rsid w:val="00026EDA"/>
    <w:rsid w:val="00027E0F"/>
    <w:rsid w:val="00031838"/>
    <w:rsid w:val="00032503"/>
    <w:rsid w:val="00034BF3"/>
    <w:rsid w:val="000353D2"/>
    <w:rsid w:val="00035FBA"/>
    <w:rsid w:val="00036718"/>
    <w:rsid w:val="00040929"/>
    <w:rsid w:val="00041722"/>
    <w:rsid w:val="00043E00"/>
    <w:rsid w:val="00044763"/>
    <w:rsid w:val="0004732F"/>
    <w:rsid w:val="00051CCA"/>
    <w:rsid w:val="000527AF"/>
    <w:rsid w:val="00052F69"/>
    <w:rsid w:val="000532A9"/>
    <w:rsid w:val="0005341E"/>
    <w:rsid w:val="00053FA2"/>
    <w:rsid w:val="00055ABB"/>
    <w:rsid w:val="00056017"/>
    <w:rsid w:val="000565B1"/>
    <w:rsid w:val="00056818"/>
    <w:rsid w:val="000569B0"/>
    <w:rsid w:val="00056B76"/>
    <w:rsid w:val="00057E7A"/>
    <w:rsid w:val="000604D8"/>
    <w:rsid w:val="00061CB2"/>
    <w:rsid w:val="000656EF"/>
    <w:rsid w:val="00066563"/>
    <w:rsid w:val="00067476"/>
    <w:rsid w:val="0007024E"/>
    <w:rsid w:val="00072968"/>
    <w:rsid w:val="00072D52"/>
    <w:rsid w:val="000743D2"/>
    <w:rsid w:val="000751A6"/>
    <w:rsid w:val="0007560D"/>
    <w:rsid w:val="00082E24"/>
    <w:rsid w:val="000841D4"/>
    <w:rsid w:val="000847FC"/>
    <w:rsid w:val="00084B12"/>
    <w:rsid w:val="0008740F"/>
    <w:rsid w:val="000875AB"/>
    <w:rsid w:val="0009304C"/>
    <w:rsid w:val="00094487"/>
    <w:rsid w:val="000955D8"/>
    <w:rsid w:val="000958D5"/>
    <w:rsid w:val="00097969"/>
    <w:rsid w:val="000A05F4"/>
    <w:rsid w:val="000A0A88"/>
    <w:rsid w:val="000A1989"/>
    <w:rsid w:val="000A2F6B"/>
    <w:rsid w:val="000A43E3"/>
    <w:rsid w:val="000A4D98"/>
    <w:rsid w:val="000A4EE3"/>
    <w:rsid w:val="000B077D"/>
    <w:rsid w:val="000B0C15"/>
    <w:rsid w:val="000B1168"/>
    <w:rsid w:val="000B328E"/>
    <w:rsid w:val="000B6540"/>
    <w:rsid w:val="000B67C8"/>
    <w:rsid w:val="000B7960"/>
    <w:rsid w:val="000C0AB4"/>
    <w:rsid w:val="000C0ED2"/>
    <w:rsid w:val="000C14CA"/>
    <w:rsid w:val="000C200C"/>
    <w:rsid w:val="000C3716"/>
    <w:rsid w:val="000C463B"/>
    <w:rsid w:val="000C4D4E"/>
    <w:rsid w:val="000C59F3"/>
    <w:rsid w:val="000C7CAC"/>
    <w:rsid w:val="000D0E4E"/>
    <w:rsid w:val="000D15EB"/>
    <w:rsid w:val="000D1842"/>
    <w:rsid w:val="000D1A5C"/>
    <w:rsid w:val="000D202B"/>
    <w:rsid w:val="000D25A6"/>
    <w:rsid w:val="000D31C1"/>
    <w:rsid w:val="000D377E"/>
    <w:rsid w:val="000D38AE"/>
    <w:rsid w:val="000D3A11"/>
    <w:rsid w:val="000D60F9"/>
    <w:rsid w:val="000D6546"/>
    <w:rsid w:val="000E1D6B"/>
    <w:rsid w:val="000E2963"/>
    <w:rsid w:val="000E37A5"/>
    <w:rsid w:val="000E4386"/>
    <w:rsid w:val="000E4976"/>
    <w:rsid w:val="000E57C3"/>
    <w:rsid w:val="000E6008"/>
    <w:rsid w:val="000E6338"/>
    <w:rsid w:val="000F175B"/>
    <w:rsid w:val="000F4122"/>
    <w:rsid w:val="000F41CB"/>
    <w:rsid w:val="000F4C45"/>
    <w:rsid w:val="000F5F1E"/>
    <w:rsid w:val="000F608F"/>
    <w:rsid w:val="00103150"/>
    <w:rsid w:val="001035D2"/>
    <w:rsid w:val="00103882"/>
    <w:rsid w:val="00104D91"/>
    <w:rsid w:val="0010526E"/>
    <w:rsid w:val="001076B2"/>
    <w:rsid w:val="00111C37"/>
    <w:rsid w:val="00111FA0"/>
    <w:rsid w:val="001123D0"/>
    <w:rsid w:val="001132FE"/>
    <w:rsid w:val="0011701B"/>
    <w:rsid w:val="001216E4"/>
    <w:rsid w:val="001235F7"/>
    <w:rsid w:val="00124A48"/>
    <w:rsid w:val="00125263"/>
    <w:rsid w:val="00125ACB"/>
    <w:rsid w:val="00131C55"/>
    <w:rsid w:val="00133AD2"/>
    <w:rsid w:val="0013507D"/>
    <w:rsid w:val="001350D9"/>
    <w:rsid w:val="001362BA"/>
    <w:rsid w:val="00137092"/>
    <w:rsid w:val="00137630"/>
    <w:rsid w:val="00137F45"/>
    <w:rsid w:val="00140550"/>
    <w:rsid w:val="0014111A"/>
    <w:rsid w:val="0014152A"/>
    <w:rsid w:val="00141860"/>
    <w:rsid w:val="00141E3F"/>
    <w:rsid w:val="001433D0"/>
    <w:rsid w:val="001439B4"/>
    <w:rsid w:val="00143D34"/>
    <w:rsid w:val="001443BE"/>
    <w:rsid w:val="00145988"/>
    <w:rsid w:val="0015064C"/>
    <w:rsid w:val="00150D41"/>
    <w:rsid w:val="0015107D"/>
    <w:rsid w:val="00152144"/>
    <w:rsid w:val="00153B8A"/>
    <w:rsid w:val="00154912"/>
    <w:rsid w:val="00155502"/>
    <w:rsid w:val="001557AC"/>
    <w:rsid w:val="0016007E"/>
    <w:rsid w:val="00162F5C"/>
    <w:rsid w:val="0016305B"/>
    <w:rsid w:val="00163A25"/>
    <w:rsid w:val="00163A93"/>
    <w:rsid w:val="00163AC2"/>
    <w:rsid w:val="00163D4B"/>
    <w:rsid w:val="001648C1"/>
    <w:rsid w:val="00164B64"/>
    <w:rsid w:val="0016562E"/>
    <w:rsid w:val="00165F02"/>
    <w:rsid w:val="00166715"/>
    <w:rsid w:val="00172306"/>
    <w:rsid w:val="00173958"/>
    <w:rsid w:val="00173F03"/>
    <w:rsid w:val="00180578"/>
    <w:rsid w:val="00183040"/>
    <w:rsid w:val="00185A77"/>
    <w:rsid w:val="00187A99"/>
    <w:rsid w:val="00193FEB"/>
    <w:rsid w:val="001949F0"/>
    <w:rsid w:val="00195250"/>
    <w:rsid w:val="00195874"/>
    <w:rsid w:val="00196051"/>
    <w:rsid w:val="00197C81"/>
    <w:rsid w:val="001A2F63"/>
    <w:rsid w:val="001A6DCD"/>
    <w:rsid w:val="001A7949"/>
    <w:rsid w:val="001B1AAF"/>
    <w:rsid w:val="001B357F"/>
    <w:rsid w:val="001B470C"/>
    <w:rsid w:val="001B57A4"/>
    <w:rsid w:val="001B5A8B"/>
    <w:rsid w:val="001B747A"/>
    <w:rsid w:val="001C072E"/>
    <w:rsid w:val="001C4B96"/>
    <w:rsid w:val="001C643E"/>
    <w:rsid w:val="001C64E4"/>
    <w:rsid w:val="001C7A5C"/>
    <w:rsid w:val="001C7BFF"/>
    <w:rsid w:val="001C7C62"/>
    <w:rsid w:val="001D0DFF"/>
    <w:rsid w:val="001D2985"/>
    <w:rsid w:val="001D360F"/>
    <w:rsid w:val="001D59CB"/>
    <w:rsid w:val="001E0AB3"/>
    <w:rsid w:val="001E2535"/>
    <w:rsid w:val="001E36A2"/>
    <w:rsid w:val="001E5AC6"/>
    <w:rsid w:val="001E671E"/>
    <w:rsid w:val="001E68B5"/>
    <w:rsid w:val="001E6E00"/>
    <w:rsid w:val="001E76EF"/>
    <w:rsid w:val="001E7AF8"/>
    <w:rsid w:val="001F1CD3"/>
    <w:rsid w:val="001F4235"/>
    <w:rsid w:val="001F5D5B"/>
    <w:rsid w:val="001F702A"/>
    <w:rsid w:val="0020131B"/>
    <w:rsid w:val="0020188B"/>
    <w:rsid w:val="00201CDC"/>
    <w:rsid w:val="00201CEE"/>
    <w:rsid w:val="002023EC"/>
    <w:rsid w:val="002029A8"/>
    <w:rsid w:val="00202AAC"/>
    <w:rsid w:val="00202D11"/>
    <w:rsid w:val="00205165"/>
    <w:rsid w:val="002053A7"/>
    <w:rsid w:val="00210B71"/>
    <w:rsid w:val="00211B5B"/>
    <w:rsid w:val="0021262A"/>
    <w:rsid w:val="0021276C"/>
    <w:rsid w:val="00212D22"/>
    <w:rsid w:val="00213809"/>
    <w:rsid w:val="00214537"/>
    <w:rsid w:val="00216237"/>
    <w:rsid w:val="00217EDE"/>
    <w:rsid w:val="00220D8F"/>
    <w:rsid w:val="00223041"/>
    <w:rsid w:val="0022535D"/>
    <w:rsid w:val="00226BEB"/>
    <w:rsid w:val="00226DE9"/>
    <w:rsid w:val="002270DF"/>
    <w:rsid w:val="00227833"/>
    <w:rsid w:val="00227A46"/>
    <w:rsid w:val="00230A8C"/>
    <w:rsid w:val="00230E48"/>
    <w:rsid w:val="002329F7"/>
    <w:rsid w:val="00235ACB"/>
    <w:rsid w:val="00236034"/>
    <w:rsid w:val="0023630B"/>
    <w:rsid w:val="00240A5D"/>
    <w:rsid w:val="00244E53"/>
    <w:rsid w:val="002469F3"/>
    <w:rsid w:val="0025038C"/>
    <w:rsid w:val="00250724"/>
    <w:rsid w:val="00253A6F"/>
    <w:rsid w:val="00256EB3"/>
    <w:rsid w:val="00261232"/>
    <w:rsid w:val="00261E7C"/>
    <w:rsid w:val="00261F75"/>
    <w:rsid w:val="00271E3F"/>
    <w:rsid w:val="00272A48"/>
    <w:rsid w:val="00273F74"/>
    <w:rsid w:val="00274A9A"/>
    <w:rsid w:val="002761CA"/>
    <w:rsid w:val="002767DB"/>
    <w:rsid w:val="00277DCA"/>
    <w:rsid w:val="0028107C"/>
    <w:rsid w:val="0028153A"/>
    <w:rsid w:val="002828BB"/>
    <w:rsid w:val="00282DC0"/>
    <w:rsid w:val="00282E9D"/>
    <w:rsid w:val="002837BA"/>
    <w:rsid w:val="00284A07"/>
    <w:rsid w:val="00287134"/>
    <w:rsid w:val="002879A1"/>
    <w:rsid w:val="00287B3A"/>
    <w:rsid w:val="0029218D"/>
    <w:rsid w:val="00293CF1"/>
    <w:rsid w:val="00294252"/>
    <w:rsid w:val="00294EF4"/>
    <w:rsid w:val="0029590C"/>
    <w:rsid w:val="00295ABB"/>
    <w:rsid w:val="002975FE"/>
    <w:rsid w:val="00297F8B"/>
    <w:rsid w:val="002A0454"/>
    <w:rsid w:val="002A2150"/>
    <w:rsid w:val="002A4063"/>
    <w:rsid w:val="002A6FF1"/>
    <w:rsid w:val="002B04AC"/>
    <w:rsid w:val="002B1914"/>
    <w:rsid w:val="002B291A"/>
    <w:rsid w:val="002C07B8"/>
    <w:rsid w:val="002C0800"/>
    <w:rsid w:val="002C08C0"/>
    <w:rsid w:val="002C2CB5"/>
    <w:rsid w:val="002C4081"/>
    <w:rsid w:val="002C50A7"/>
    <w:rsid w:val="002C6637"/>
    <w:rsid w:val="002C686E"/>
    <w:rsid w:val="002C68AA"/>
    <w:rsid w:val="002C6983"/>
    <w:rsid w:val="002C6B9F"/>
    <w:rsid w:val="002C737B"/>
    <w:rsid w:val="002D0661"/>
    <w:rsid w:val="002D0F00"/>
    <w:rsid w:val="002D17B0"/>
    <w:rsid w:val="002D1D8A"/>
    <w:rsid w:val="002D353C"/>
    <w:rsid w:val="002D425C"/>
    <w:rsid w:val="002D5B4D"/>
    <w:rsid w:val="002D67FB"/>
    <w:rsid w:val="002E0082"/>
    <w:rsid w:val="002E14CC"/>
    <w:rsid w:val="002E352E"/>
    <w:rsid w:val="002F0C23"/>
    <w:rsid w:val="002F21E1"/>
    <w:rsid w:val="002F27EF"/>
    <w:rsid w:val="002F56B1"/>
    <w:rsid w:val="002F5F62"/>
    <w:rsid w:val="002F62AF"/>
    <w:rsid w:val="002F6700"/>
    <w:rsid w:val="00300E44"/>
    <w:rsid w:val="0030186E"/>
    <w:rsid w:val="00301B99"/>
    <w:rsid w:val="00302FDB"/>
    <w:rsid w:val="00303A53"/>
    <w:rsid w:val="00305262"/>
    <w:rsid w:val="00310B11"/>
    <w:rsid w:val="00310CFB"/>
    <w:rsid w:val="00311034"/>
    <w:rsid w:val="003118BF"/>
    <w:rsid w:val="003118D2"/>
    <w:rsid w:val="003124EC"/>
    <w:rsid w:val="0031388D"/>
    <w:rsid w:val="00313E0E"/>
    <w:rsid w:val="00313F83"/>
    <w:rsid w:val="00315238"/>
    <w:rsid w:val="003152D9"/>
    <w:rsid w:val="00316CDB"/>
    <w:rsid w:val="00316D98"/>
    <w:rsid w:val="00317A80"/>
    <w:rsid w:val="003225C3"/>
    <w:rsid w:val="00323A06"/>
    <w:rsid w:val="00324156"/>
    <w:rsid w:val="00324646"/>
    <w:rsid w:val="003250A4"/>
    <w:rsid w:val="00326EF8"/>
    <w:rsid w:val="00327E85"/>
    <w:rsid w:val="003320C7"/>
    <w:rsid w:val="00333475"/>
    <w:rsid w:val="0033388F"/>
    <w:rsid w:val="00333FC5"/>
    <w:rsid w:val="003346D3"/>
    <w:rsid w:val="00334972"/>
    <w:rsid w:val="0033659F"/>
    <w:rsid w:val="00344273"/>
    <w:rsid w:val="00346BD0"/>
    <w:rsid w:val="0035397D"/>
    <w:rsid w:val="00353A2D"/>
    <w:rsid w:val="00357438"/>
    <w:rsid w:val="00357738"/>
    <w:rsid w:val="0035782D"/>
    <w:rsid w:val="00360206"/>
    <w:rsid w:val="003650FA"/>
    <w:rsid w:val="003665F1"/>
    <w:rsid w:val="00366BAC"/>
    <w:rsid w:val="00370013"/>
    <w:rsid w:val="00370D4C"/>
    <w:rsid w:val="00373149"/>
    <w:rsid w:val="003742DE"/>
    <w:rsid w:val="003747F1"/>
    <w:rsid w:val="00375A1E"/>
    <w:rsid w:val="00376E1B"/>
    <w:rsid w:val="003803BD"/>
    <w:rsid w:val="00380A2C"/>
    <w:rsid w:val="00383724"/>
    <w:rsid w:val="003848AE"/>
    <w:rsid w:val="00384F86"/>
    <w:rsid w:val="00385301"/>
    <w:rsid w:val="00385C6B"/>
    <w:rsid w:val="00385D12"/>
    <w:rsid w:val="0038733D"/>
    <w:rsid w:val="00387FD2"/>
    <w:rsid w:val="00391C55"/>
    <w:rsid w:val="00394277"/>
    <w:rsid w:val="00394FDB"/>
    <w:rsid w:val="0039650C"/>
    <w:rsid w:val="0039655F"/>
    <w:rsid w:val="003977BC"/>
    <w:rsid w:val="003A1116"/>
    <w:rsid w:val="003A3562"/>
    <w:rsid w:val="003A3AA5"/>
    <w:rsid w:val="003A4019"/>
    <w:rsid w:val="003A5924"/>
    <w:rsid w:val="003A6FCF"/>
    <w:rsid w:val="003B0B9A"/>
    <w:rsid w:val="003B18E2"/>
    <w:rsid w:val="003B29EE"/>
    <w:rsid w:val="003B46F3"/>
    <w:rsid w:val="003B5B52"/>
    <w:rsid w:val="003B6749"/>
    <w:rsid w:val="003C3E40"/>
    <w:rsid w:val="003C3FFB"/>
    <w:rsid w:val="003C4157"/>
    <w:rsid w:val="003C461B"/>
    <w:rsid w:val="003C4754"/>
    <w:rsid w:val="003C6202"/>
    <w:rsid w:val="003D0D02"/>
    <w:rsid w:val="003D3847"/>
    <w:rsid w:val="003E0B29"/>
    <w:rsid w:val="003E401C"/>
    <w:rsid w:val="003E557C"/>
    <w:rsid w:val="003E6C54"/>
    <w:rsid w:val="003F069B"/>
    <w:rsid w:val="003F1055"/>
    <w:rsid w:val="003F2815"/>
    <w:rsid w:val="003F390D"/>
    <w:rsid w:val="003F39B3"/>
    <w:rsid w:val="003F3B83"/>
    <w:rsid w:val="003F57EF"/>
    <w:rsid w:val="00403177"/>
    <w:rsid w:val="00403615"/>
    <w:rsid w:val="0040375E"/>
    <w:rsid w:val="0040382E"/>
    <w:rsid w:val="004043CE"/>
    <w:rsid w:val="0040629B"/>
    <w:rsid w:val="00406598"/>
    <w:rsid w:val="0040672C"/>
    <w:rsid w:val="00407429"/>
    <w:rsid w:val="00410C54"/>
    <w:rsid w:val="00416E65"/>
    <w:rsid w:val="00420808"/>
    <w:rsid w:val="00420ED4"/>
    <w:rsid w:val="0042256C"/>
    <w:rsid w:val="0042266F"/>
    <w:rsid w:val="00423E5F"/>
    <w:rsid w:val="004255D6"/>
    <w:rsid w:val="00426B73"/>
    <w:rsid w:val="0043175D"/>
    <w:rsid w:val="0043284A"/>
    <w:rsid w:val="00434A0A"/>
    <w:rsid w:val="004351CA"/>
    <w:rsid w:val="00437689"/>
    <w:rsid w:val="00440610"/>
    <w:rsid w:val="00440CB7"/>
    <w:rsid w:val="00442048"/>
    <w:rsid w:val="004429DB"/>
    <w:rsid w:val="00442AAB"/>
    <w:rsid w:val="004433BC"/>
    <w:rsid w:val="004454C9"/>
    <w:rsid w:val="00445738"/>
    <w:rsid w:val="0044620C"/>
    <w:rsid w:val="00446405"/>
    <w:rsid w:val="00446964"/>
    <w:rsid w:val="00447A95"/>
    <w:rsid w:val="00450369"/>
    <w:rsid w:val="00452C8D"/>
    <w:rsid w:val="00454DAC"/>
    <w:rsid w:val="004559D4"/>
    <w:rsid w:val="00456381"/>
    <w:rsid w:val="004568E4"/>
    <w:rsid w:val="00456FA2"/>
    <w:rsid w:val="00456FE3"/>
    <w:rsid w:val="0046087D"/>
    <w:rsid w:val="00461D6C"/>
    <w:rsid w:val="00463EE0"/>
    <w:rsid w:val="00463EF3"/>
    <w:rsid w:val="00467E43"/>
    <w:rsid w:val="00467EE3"/>
    <w:rsid w:val="004710EC"/>
    <w:rsid w:val="004712C5"/>
    <w:rsid w:val="004713B1"/>
    <w:rsid w:val="00472C5A"/>
    <w:rsid w:val="004733F6"/>
    <w:rsid w:val="00473D12"/>
    <w:rsid w:val="004754B7"/>
    <w:rsid w:val="00475D9A"/>
    <w:rsid w:val="00476E00"/>
    <w:rsid w:val="0048068D"/>
    <w:rsid w:val="004807CC"/>
    <w:rsid w:val="00483CE4"/>
    <w:rsid w:val="00483D4F"/>
    <w:rsid w:val="00483E5E"/>
    <w:rsid w:val="00486A5A"/>
    <w:rsid w:val="00487410"/>
    <w:rsid w:val="004877C1"/>
    <w:rsid w:val="00487CF7"/>
    <w:rsid w:val="00493053"/>
    <w:rsid w:val="0049349A"/>
    <w:rsid w:val="00494036"/>
    <w:rsid w:val="004943D9"/>
    <w:rsid w:val="00494559"/>
    <w:rsid w:val="004947CC"/>
    <w:rsid w:val="004957E2"/>
    <w:rsid w:val="00495A97"/>
    <w:rsid w:val="0049638C"/>
    <w:rsid w:val="00496858"/>
    <w:rsid w:val="004A3E1B"/>
    <w:rsid w:val="004A4E81"/>
    <w:rsid w:val="004A5728"/>
    <w:rsid w:val="004A7C28"/>
    <w:rsid w:val="004B3551"/>
    <w:rsid w:val="004B3ED1"/>
    <w:rsid w:val="004B54C9"/>
    <w:rsid w:val="004B5D1A"/>
    <w:rsid w:val="004B5D90"/>
    <w:rsid w:val="004C05E2"/>
    <w:rsid w:val="004C08C3"/>
    <w:rsid w:val="004C395A"/>
    <w:rsid w:val="004C5729"/>
    <w:rsid w:val="004C685D"/>
    <w:rsid w:val="004C728B"/>
    <w:rsid w:val="004C7B61"/>
    <w:rsid w:val="004C7BC5"/>
    <w:rsid w:val="004C7E5A"/>
    <w:rsid w:val="004D3694"/>
    <w:rsid w:val="004D4538"/>
    <w:rsid w:val="004D46FD"/>
    <w:rsid w:val="004D4848"/>
    <w:rsid w:val="004D7ACD"/>
    <w:rsid w:val="004D7F21"/>
    <w:rsid w:val="004E02A8"/>
    <w:rsid w:val="004E3ABE"/>
    <w:rsid w:val="004E47CC"/>
    <w:rsid w:val="004E765D"/>
    <w:rsid w:val="004E7754"/>
    <w:rsid w:val="004F01AF"/>
    <w:rsid w:val="004F12B7"/>
    <w:rsid w:val="004F1DEB"/>
    <w:rsid w:val="004F252F"/>
    <w:rsid w:val="004F2CF0"/>
    <w:rsid w:val="004F3909"/>
    <w:rsid w:val="004F3E69"/>
    <w:rsid w:val="004F4DC0"/>
    <w:rsid w:val="004F6985"/>
    <w:rsid w:val="004F7147"/>
    <w:rsid w:val="004F7202"/>
    <w:rsid w:val="004F74FE"/>
    <w:rsid w:val="004F7E56"/>
    <w:rsid w:val="00500031"/>
    <w:rsid w:val="00500413"/>
    <w:rsid w:val="00501778"/>
    <w:rsid w:val="00502421"/>
    <w:rsid w:val="00502C96"/>
    <w:rsid w:val="00503663"/>
    <w:rsid w:val="005045CA"/>
    <w:rsid w:val="005072B4"/>
    <w:rsid w:val="00511A4F"/>
    <w:rsid w:val="0051201A"/>
    <w:rsid w:val="0051241F"/>
    <w:rsid w:val="00514F9B"/>
    <w:rsid w:val="005154D8"/>
    <w:rsid w:val="00516C45"/>
    <w:rsid w:val="00517404"/>
    <w:rsid w:val="00517544"/>
    <w:rsid w:val="00517B45"/>
    <w:rsid w:val="0052108A"/>
    <w:rsid w:val="00521FFD"/>
    <w:rsid w:val="00522EA2"/>
    <w:rsid w:val="00524F55"/>
    <w:rsid w:val="005253E6"/>
    <w:rsid w:val="005255C6"/>
    <w:rsid w:val="0052588E"/>
    <w:rsid w:val="00525B3C"/>
    <w:rsid w:val="0052663D"/>
    <w:rsid w:val="005266A0"/>
    <w:rsid w:val="00527FF3"/>
    <w:rsid w:val="005306FB"/>
    <w:rsid w:val="00530992"/>
    <w:rsid w:val="00531010"/>
    <w:rsid w:val="0053202B"/>
    <w:rsid w:val="00532B98"/>
    <w:rsid w:val="00536BD8"/>
    <w:rsid w:val="00537750"/>
    <w:rsid w:val="00540D57"/>
    <w:rsid w:val="005451F2"/>
    <w:rsid w:val="00546945"/>
    <w:rsid w:val="00547805"/>
    <w:rsid w:val="00550A0E"/>
    <w:rsid w:val="00551CBA"/>
    <w:rsid w:val="00553480"/>
    <w:rsid w:val="0055546D"/>
    <w:rsid w:val="005571A6"/>
    <w:rsid w:val="005601CE"/>
    <w:rsid w:val="005601F1"/>
    <w:rsid w:val="00561619"/>
    <w:rsid w:val="00561DD6"/>
    <w:rsid w:val="005631FB"/>
    <w:rsid w:val="005666D6"/>
    <w:rsid w:val="00570298"/>
    <w:rsid w:val="00570672"/>
    <w:rsid w:val="00571955"/>
    <w:rsid w:val="005739E1"/>
    <w:rsid w:val="00574B6E"/>
    <w:rsid w:val="005763B7"/>
    <w:rsid w:val="005765FC"/>
    <w:rsid w:val="00576D52"/>
    <w:rsid w:val="00580A93"/>
    <w:rsid w:val="00580B1A"/>
    <w:rsid w:val="005811D9"/>
    <w:rsid w:val="005812F5"/>
    <w:rsid w:val="00582351"/>
    <w:rsid w:val="005851BA"/>
    <w:rsid w:val="00585F51"/>
    <w:rsid w:val="00585F52"/>
    <w:rsid w:val="00592D5D"/>
    <w:rsid w:val="00593B8E"/>
    <w:rsid w:val="00594A9F"/>
    <w:rsid w:val="00595BFF"/>
    <w:rsid w:val="00596C6E"/>
    <w:rsid w:val="00597093"/>
    <w:rsid w:val="005A2BCA"/>
    <w:rsid w:val="005A3462"/>
    <w:rsid w:val="005A363C"/>
    <w:rsid w:val="005A43B1"/>
    <w:rsid w:val="005A4904"/>
    <w:rsid w:val="005A66F8"/>
    <w:rsid w:val="005A785E"/>
    <w:rsid w:val="005B0627"/>
    <w:rsid w:val="005B08A4"/>
    <w:rsid w:val="005B0AB6"/>
    <w:rsid w:val="005B1CB8"/>
    <w:rsid w:val="005B2171"/>
    <w:rsid w:val="005B2AA9"/>
    <w:rsid w:val="005B4AE4"/>
    <w:rsid w:val="005B5595"/>
    <w:rsid w:val="005B5A76"/>
    <w:rsid w:val="005B5DBB"/>
    <w:rsid w:val="005B6EC9"/>
    <w:rsid w:val="005C112C"/>
    <w:rsid w:val="005C29B6"/>
    <w:rsid w:val="005C441F"/>
    <w:rsid w:val="005C5C42"/>
    <w:rsid w:val="005C74F0"/>
    <w:rsid w:val="005D39C3"/>
    <w:rsid w:val="005D4F90"/>
    <w:rsid w:val="005E07E5"/>
    <w:rsid w:val="005E0FDC"/>
    <w:rsid w:val="005E2117"/>
    <w:rsid w:val="005E561A"/>
    <w:rsid w:val="005E587E"/>
    <w:rsid w:val="005F0A9B"/>
    <w:rsid w:val="005F12CA"/>
    <w:rsid w:val="005F1628"/>
    <w:rsid w:val="005F25FA"/>
    <w:rsid w:val="005F290A"/>
    <w:rsid w:val="005F2997"/>
    <w:rsid w:val="005F4563"/>
    <w:rsid w:val="005F7805"/>
    <w:rsid w:val="0060031C"/>
    <w:rsid w:val="00601E3E"/>
    <w:rsid w:val="00601E58"/>
    <w:rsid w:val="0060303F"/>
    <w:rsid w:val="006036ED"/>
    <w:rsid w:val="006039B5"/>
    <w:rsid w:val="006064A9"/>
    <w:rsid w:val="00607515"/>
    <w:rsid w:val="00607EDF"/>
    <w:rsid w:val="00612C3A"/>
    <w:rsid w:val="00612EED"/>
    <w:rsid w:val="00617B92"/>
    <w:rsid w:val="006210D3"/>
    <w:rsid w:val="006214C9"/>
    <w:rsid w:val="006221BF"/>
    <w:rsid w:val="006239A0"/>
    <w:rsid w:val="0062492B"/>
    <w:rsid w:val="006267D4"/>
    <w:rsid w:val="0063006C"/>
    <w:rsid w:val="00630855"/>
    <w:rsid w:val="0063306F"/>
    <w:rsid w:val="0063702D"/>
    <w:rsid w:val="00637503"/>
    <w:rsid w:val="0064341F"/>
    <w:rsid w:val="00643945"/>
    <w:rsid w:val="0064429A"/>
    <w:rsid w:val="00644FEA"/>
    <w:rsid w:val="00646399"/>
    <w:rsid w:val="00647564"/>
    <w:rsid w:val="006476BD"/>
    <w:rsid w:val="0065098F"/>
    <w:rsid w:val="006517CE"/>
    <w:rsid w:val="00652A79"/>
    <w:rsid w:val="006567CF"/>
    <w:rsid w:val="00656BE1"/>
    <w:rsid w:val="006573E2"/>
    <w:rsid w:val="00657A50"/>
    <w:rsid w:val="0066123B"/>
    <w:rsid w:val="006615E3"/>
    <w:rsid w:val="00661EBB"/>
    <w:rsid w:val="00661F04"/>
    <w:rsid w:val="00662AE1"/>
    <w:rsid w:val="00665CB8"/>
    <w:rsid w:val="00666B8C"/>
    <w:rsid w:val="006708FE"/>
    <w:rsid w:val="00675E25"/>
    <w:rsid w:val="00676F4E"/>
    <w:rsid w:val="00681058"/>
    <w:rsid w:val="006824F0"/>
    <w:rsid w:val="00685267"/>
    <w:rsid w:val="0068683D"/>
    <w:rsid w:val="00693A2C"/>
    <w:rsid w:val="00694E23"/>
    <w:rsid w:val="006956A0"/>
    <w:rsid w:val="00695A5D"/>
    <w:rsid w:val="006A235F"/>
    <w:rsid w:val="006A24DC"/>
    <w:rsid w:val="006A45F1"/>
    <w:rsid w:val="006A4815"/>
    <w:rsid w:val="006A49C0"/>
    <w:rsid w:val="006A5745"/>
    <w:rsid w:val="006A796D"/>
    <w:rsid w:val="006B063A"/>
    <w:rsid w:val="006B074C"/>
    <w:rsid w:val="006B24FD"/>
    <w:rsid w:val="006B4DCF"/>
    <w:rsid w:val="006B5D31"/>
    <w:rsid w:val="006B6EBB"/>
    <w:rsid w:val="006C31AF"/>
    <w:rsid w:val="006C4480"/>
    <w:rsid w:val="006C5686"/>
    <w:rsid w:val="006C66A4"/>
    <w:rsid w:val="006C7228"/>
    <w:rsid w:val="006C7DD2"/>
    <w:rsid w:val="006D2A36"/>
    <w:rsid w:val="006D2E9E"/>
    <w:rsid w:val="006D357E"/>
    <w:rsid w:val="006D4DA0"/>
    <w:rsid w:val="006D74C1"/>
    <w:rsid w:val="006E17AB"/>
    <w:rsid w:val="006E1E88"/>
    <w:rsid w:val="006E3BD0"/>
    <w:rsid w:val="006F03E8"/>
    <w:rsid w:val="006F41FB"/>
    <w:rsid w:val="006F625D"/>
    <w:rsid w:val="006F7235"/>
    <w:rsid w:val="006F7CC6"/>
    <w:rsid w:val="00701F2E"/>
    <w:rsid w:val="0070372C"/>
    <w:rsid w:val="007038C2"/>
    <w:rsid w:val="007053A6"/>
    <w:rsid w:val="00707EF0"/>
    <w:rsid w:val="007113E9"/>
    <w:rsid w:val="00714C16"/>
    <w:rsid w:val="00715CEC"/>
    <w:rsid w:val="00720756"/>
    <w:rsid w:val="007214A5"/>
    <w:rsid w:val="00721CE0"/>
    <w:rsid w:val="00722E08"/>
    <w:rsid w:val="00722EDA"/>
    <w:rsid w:val="00726233"/>
    <w:rsid w:val="0073095A"/>
    <w:rsid w:val="007311EA"/>
    <w:rsid w:val="0073228F"/>
    <w:rsid w:val="00732CCA"/>
    <w:rsid w:val="00732D73"/>
    <w:rsid w:val="007368C7"/>
    <w:rsid w:val="00737274"/>
    <w:rsid w:val="00742F28"/>
    <w:rsid w:val="007441E1"/>
    <w:rsid w:val="007444C7"/>
    <w:rsid w:val="00744F56"/>
    <w:rsid w:val="00750685"/>
    <w:rsid w:val="0075098C"/>
    <w:rsid w:val="007544F2"/>
    <w:rsid w:val="0076234D"/>
    <w:rsid w:val="007626D1"/>
    <w:rsid w:val="007626DB"/>
    <w:rsid w:val="00762953"/>
    <w:rsid w:val="00764403"/>
    <w:rsid w:val="0076551D"/>
    <w:rsid w:val="00767D9C"/>
    <w:rsid w:val="00771CEF"/>
    <w:rsid w:val="00774BA1"/>
    <w:rsid w:val="0077693F"/>
    <w:rsid w:val="00782544"/>
    <w:rsid w:val="00790145"/>
    <w:rsid w:val="00791196"/>
    <w:rsid w:val="00793F5E"/>
    <w:rsid w:val="00794E17"/>
    <w:rsid w:val="00795C89"/>
    <w:rsid w:val="007976D7"/>
    <w:rsid w:val="007A0531"/>
    <w:rsid w:val="007A12C6"/>
    <w:rsid w:val="007A1FC0"/>
    <w:rsid w:val="007A52A4"/>
    <w:rsid w:val="007A55EC"/>
    <w:rsid w:val="007A5DAC"/>
    <w:rsid w:val="007A6280"/>
    <w:rsid w:val="007A7398"/>
    <w:rsid w:val="007B02DE"/>
    <w:rsid w:val="007B37D9"/>
    <w:rsid w:val="007B51A2"/>
    <w:rsid w:val="007B537E"/>
    <w:rsid w:val="007B5BD2"/>
    <w:rsid w:val="007C1103"/>
    <w:rsid w:val="007C62E7"/>
    <w:rsid w:val="007C7EBC"/>
    <w:rsid w:val="007D0423"/>
    <w:rsid w:val="007D096A"/>
    <w:rsid w:val="007D35F6"/>
    <w:rsid w:val="007D537F"/>
    <w:rsid w:val="007D60E3"/>
    <w:rsid w:val="007D6F80"/>
    <w:rsid w:val="007D70BA"/>
    <w:rsid w:val="007D77BA"/>
    <w:rsid w:val="007E152D"/>
    <w:rsid w:val="007E361F"/>
    <w:rsid w:val="007E78D4"/>
    <w:rsid w:val="007E7962"/>
    <w:rsid w:val="007F0742"/>
    <w:rsid w:val="007F2214"/>
    <w:rsid w:val="007F2767"/>
    <w:rsid w:val="007F5889"/>
    <w:rsid w:val="007F667B"/>
    <w:rsid w:val="007F7CE3"/>
    <w:rsid w:val="0080031D"/>
    <w:rsid w:val="00800C20"/>
    <w:rsid w:val="00800C86"/>
    <w:rsid w:val="008013B7"/>
    <w:rsid w:val="00801702"/>
    <w:rsid w:val="00801F61"/>
    <w:rsid w:val="00804FD6"/>
    <w:rsid w:val="0080590E"/>
    <w:rsid w:val="00806A1D"/>
    <w:rsid w:val="008073A5"/>
    <w:rsid w:val="00811CA0"/>
    <w:rsid w:val="00813B59"/>
    <w:rsid w:val="00813F3E"/>
    <w:rsid w:val="008155B9"/>
    <w:rsid w:val="00820E5B"/>
    <w:rsid w:val="00821DFF"/>
    <w:rsid w:val="00822D05"/>
    <w:rsid w:val="00822DD6"/>
    <w:rsid w:val="008257E1"/>
    <w:rsid w:val="008258D5"/>
    <w:rsid w:val="008264E1"/>
    <w:rsid w:val="0082670B"/>
    <w:rsid w:val="0082689B"/>
    <w:rsid w:val="008303A9"/>
    <w:rsid w:val="00830F33"/>
    <w:rsid w:val="008338BD"/>
    <w:rsid w:val="00834D1B"/>
    <w:rsid w:val="00837B60"/>
    <w:rsid w:val="00840B4A"/>
    <w:rsid w:val="00840C50"/>
    <w:rsid w:val="008422BD"/>
    <w:rsid w:val="00843022"/>
    <w:rsid w:val="00843760"/>
    <w:rsid w:val="0084644D"/>
    <w:rsid w:val="0084697A"/>
    <w:rsid w:val="00846CE2"/>
    <w:rsid w:val="00846D16"/>
    <w:rsid w:val="0084741A"/>
    <w:rsid w:val="00850BFE"/>
    <w:rsid w:val="00850C56"/>
    <w:rsid w:val="00850FA1"/>
    <w:rsid w:val="00851CCC"/>
    <w:rsid w:val="00853E4E"/>
    <w:rsid w:val="00854D6A"/>
    <w:rsid w:val="00854FB9"/>
    <w:rsid w:val="0085728C"/>
    <w:rsid w:val="008573E3"/>
    <w:rsid w:val="00857705"/>
    <w:rsid w:val="00857A2B"/>
    <w:rsid w:val="008609DB"/>
    <w:rsid w:val="008636F4"/>
    <w:rsid w:val="00866DC6"/>
    <w:rsid w:val="00867EA6"/>
    <w:rsid w:val="008701D3"/>
    <w:rsid w:val="008705D4"/>
    <w:rsid w:val="00872CAC"/>
    <w:rsid w:val="008736D2"/>
    <w:rsid w:val="008756E8"/>
    <w:rsid w:val="008779E8"/>
    <w:rsid w:val="00880670"/>
    <w:rsid w:val="008806FA"/>
    <w:rsid w:val="00882098"/>
    <w:rsid w:val="00882710"/>
    <w:rsid w:val="008832E1"/>
    <w:rsid w:val="0088601E"/>
    <w:rsid w:val="00890A7E"/>
    <w:rsid w:val="008925F0"/>
    <w:rsid w:val="00892CE3"/>
    <w:rsid w:val="0089351E"/>
    <w:rsid w:val="00893AF8"/>
    <w:rsid w:val="0089430E"/>
    <w:rsid w:val="00894A58"/>
    <w:rsid w:val="0089796B"/>
    <w:rsid w:val="008A1441"/>
    <w:rsid w:val="008A2F02"/>
    <w:rsid w:val="008A34EB"/>
    <w:rsid w:val="008A710E"/>
    <w:rsid w:val="008A7635"/>
    <w:rsid w:val="008B3AA9"/>
    <w:rsid w:val="008B45E4"/>
    <w:rsid w:val="008B609B"/>
    <w:rsid w:val="008C167E"/>
    <w:rsid w:val="008C302B"/>
    <w:rsid w:val="008C3D7A"/>
    <w:rsid w:val="008C6431"/>
    <w:rsid w:val="008D0C3C"/>
    <w:rsid w:val="008D13E1"/>
    <w:rsid w:val="008D306D"/>
    <w:rsid w:val="008D39F5"/>
    <w:rsid w:val="008D3A21"/>
    <w:rsid w:val="008D3A81"/>
    <w:rsid w:val="008D554F"/>
    <w:rsid w:val="008D6FE9"/>
    <w:rsid w:val="008E09C9"/>
    <w:rsid w:val="008E1DB7"/>
    <w:rsid w:val="008E3051"/>
    <w:rsid w:val="008E358F"/>
    <w:rsid w:val="008E4D40"/>
    <w:rsid w:val="008E5086"/>
    <w:rsid w:val="008E5986"/>
    <w:rsid w:val="008F1E24"/>
    <w:rsid w:val="008F5E18"/>
    <w:rsid w:val="008F5E93"/>
    <w:rsid w:val="008F6493"/>
    <w:rsid w:val="008F7554"/>
    <w:rsid w:val="008F790F"/>
    <w:rsid w:val="00902543"/>
    <w:rsid w:val="009034A0"/>
    <w:rsid w:val="00906B2E"/>
    <w:rsid w:val="009122A2"/>
    <w:rsid w:val="009130D2"/>
    <w:rsid w:val="00914F0E"/>
    <w:rsid w:val="00916660"/>
    <w:rsid w:val="00920DB9"/>
    <w:rsid w:val="00922A45"/>
    <w:rsid w:val="0092490E"/>
    <w:rsid w:val="009256B1"/>
    <w:rsid w:val="009276E0"/>
    <w:rsid w:val="00933192"/>
    <w:rsid w:val="0093428A"/>
    <w:rsid w:val="009369E2"/>
    <w:rsid w:val="009371C3"/>
    <w:rsid w:val="00940266"/>
    <w:rsid w:val="009425BC"/>
    <w:rsid w:val="00943C34"/>
    <w:rsid w:val="00945839"/>
    <w:rsid w:val="00945F10"/>
    <w:rsid w:val="009465E1"/>
    <w:rsid w:val="00946FDD"/>
    <w:rsid w:val="00947313"/>
    <w:rsid w:val="00953187"/>
    <w:rsid w:val="009555E6"/>
    <w:rsid w:val="00955AE3"/>
    <w:rsid w:val="00956A1D"/>
    <w:rsid w:val="00961DF0"/>
    <w:rsid w:val="00963313"/>
    <w:rsid w:val="00966263"/>
    <w:rsid w:val="00966B6E"/>
    <w:rsid w:val="00967D0F"/>
    <w:rsid w:val="00967E7E"/>
    <w:rsid w:val="00970060"/>
    <w:rsid w:val="009714EC"/>
    <w:rsid w:val="00973A42"/>
    <w:rsid w:val="00974423"/>
    <w:rsid w:val="00975721"/>
    <w:rsid w:val="009757CB"/>
    <w:rsid w:val="00977E57"/>
    <w:rsid w:val="00980D4F"/>
    <w:rsid w:val="00981573"/>
    <w:rsid w:val="00982D13"/>
    <w:rsid w:val="009833B5"/>
    <w:rsid w:val="00983851"/>
    <w:rsid w:val="00984D23"/>
    <w:rsid w:val="0098558E"/>
    <w:rsid w:val="00987A5E"/>
    <w:rsid w:val="00990E56"/>
    <w:rsid w:val="009918D7"/>
    <w:rsid w:val="00991C0C"/>
    <w:rsid w:val="0099215E"/>
    <w:rsid w:val="00994ACA"/>
    <w:rsid w:val="00994C11"/>
    <w:rsid w:val="009960C9"/>
    <w:rsid w:val="0099693C"/>
    <w:rsid w:val="00996FFF"/>
    <w:rsid w:val="00997800"/>
    <w:rsid w:val="009A0553"/>
    <w:rsid w:val="009A068E"/>
    <w:rsid w:val="009A1284"/>
    <w:rsid w:val="009A191B"/>
    <w:rsid w:val="009A25F3"/>
    <w:rsid w:val="009A33D4"/>
    <w:rsid w:val="009A36B4"/>
    <w:rsid w:val="009A4EE8"/>
    <w:rsid w:val="009A5AEA"/>
    <w:rsid w:val="009A5BD7"/>
    <w:rsid w:val="009A65FE"/>
    <w:rsid w:val="009A66B1"/>
    <w:rsid w:val="009A6AD0"/>
    <w:rsid w:val="009A71F1"/>
    <w:rsid w:val="009B0193"/>
    <w:rsid w:val="009B03DA"/>
    <w:rsid w:val="009B0577"/>
    <w:rsid w:val="009B4089"/>
    <w:rsid w:val="009B5EDF"/>
    <w:rsid w:val="009B6EB6"/>
    <w:rsid w:val="009C18B3"/>
    <w:rsid w:val="009C305C"/>
    <w:rsid w:val="009C313F"/>
    <w:rsid w:val="009C35FA"/>
    <w:rsid w:val="009C4F5D"/>
    <w:rsid w:val="009C53DE"/>
    <w:rsid w:val="009C54B0"/>
    <w:rsid w:val="009C5A8B"/>
    <w:rsid w:val="009C67D9"/>
    <w:rsid w:val="009D15F7"/>
    <w:rsid w:val="009D1670"/>
    <w:rsid w:val="009D18E3"/>
    <w:rsid w:val="009D386C"/>
    <w:rsid w:val="009D45FF"/>
    <w:rsid w:val="009D47EB"/>
    <w:rsid w:val="009D66EC"/>
    <w:rsid w:val="009D74F0"/>
    <w:rsid w:val="009E2409"/>
    <w:rsid w:val="009E292E"/>
    <w:rsid w:val="009E4434"/>
    <w:rsid w:val="009E46AB"/>
    <w:rsid w:val="009E5083"/>
    <w:rsid w:val="009E647E"/>
    <w:rsid w:val="009F00F4"/>
    <w:rsid w:val="009F0D04"/>
    <w:rsid w:val="009F1F27"/>
    <w:rsid w:val="009F217F"/>
    <w:rsid w:val="009F28A4"/>
    <w:rsid w:val="009F2CB0"/>
    <w:rsid w:val="009F2E23"/>
    <w:rsid w:val="009F49A9"/>
    <w:rsid w:val="009F5BCC"/>
    <w:rsid w:val="009F6219"/>
    <w:rsid w:val="009F65E3"/>
    <w:rsid w:val="009F6D37"/>
    <w:rsid w:val="00A00776"/>
    <w:rsid w:val="00A015E8"/>
    <w:rsid w:val="00A016FB"/>
    <w:rsid w:val="00A0193A"/>
    <w:rsid w:val="00A034A0"/>
    <w:rsid w:val="00A041B1"/>
    <w:rsid w:val="00A0577F"/>
    <w:rsid w:val="00A05DEB"/>
    <w:rsid w:val="00A0667F"/>
    <w:rsid w:val="00A06853"/>
    <w:rsid w:val="00A069F8"/>
    <w:rsid w:val="00A076DF"/>
    <w:rsid w:val="00A10813"/>
    <w:rsid w:val="00A12BF9"/>
    <w:rsid w:val="00A14828"/>
    <w:rsid w:val="00A15D27"/>
    <w:rsid w:val="00A15E2F"/>
    <w:rsid w:val="00A168C7"/>
    <w:rsid w:val="00A208CE"/>
    <w:rsid w:val="00A22571"/>
    <w:rsid w:val="00A23F87"/>
    <w:rsid w:val="00A273C1"/>
    <w:rsid w:val="00A27A79"/>
    <w:rsid w:val="00A302A7"/>
    <w:rsid w:val="00A31509"/>
    <w:rsid w:val="00A34E01"/>
    <w:rsid w:val="00A35A6D"/>
    <w:rsid w:val="00A36EF2"/>
    <w:rsid w:val="00A377D7"/>
    <w:rsid w:val="00A37B7C"/>
    <w:rsid w:val="00A401C7"/>
    <w:rsid w:val="00A420E8"/>
    <w:rsid w:val="00A4284E"/>
    <w:rsid w:val="00A42B08"/>
    <w:rsid w:val="00A445E2"/>
    <w:rsid w:val="00A455E3"/>
    <w:rsid w:val="00A46207"/>
    <w:rsid w:val="00A467F2"/>
    <w:rsid w:val="00A46BF8"/>
    <w:rsid w:val="00A4741F"/>
    <w:rsid w:val="00A52765"/>
    <w:rsid w:val="00A52CC8"/>
    <w:rsid w:val="00A549D4"/>
    <w:rsid w:val="00A5589A"/>
    <w:rsid w:val="00A55D09"/>
    <w:rsid w:val="00A60BEA"/>
    <w:rsid w:val="00A6236C"/>
    <w:rsid w:val="00A63006"/>
    <w:rsid w:val="00A6391A"/>
    <w:rsid w:val="00A65C2D"/>
    <w:rsid w:val="00A66463"/>
    <w:rsid w:val="00A669AD"/>
    <w:rsid w:val="00A67216"/>
    <w:rsid w:val="00A706FB"/>
    <w:rsid w:val="00A7094F"/>
    <w:rsid w:val="00A71A93"/>
    <w:rsid w:val="00A72C61"/>
    <w:rsid w:val="00A75DCF"/>
    <w:rsid w:val="00A777AE"/>
    <w:rsid w:val="00A80EBD"/>
    <w:rsid w:val="00A81EAD"/>
    <w:rsid w:val="00A82896"/>
    <w:rsid w:val="00A83B02"/>
    <w:rsid w:val="00A8489A"/>
    <w:rsid w:val="00A85ADE"/>
    <w:rsid w:val="00A914EA"/>
    <w:rsid w:val="00A926A4"/>
    <w:rsid w:val="00A9270D"/>
    <w:rsid w:val="00A944D1"/>
    <w:rsid w:val="00A94522"/>
    <w:rsid w:val="00A95B0B"/>
    <w:rsid w:val="00A9703E"/>
    <w:rsid w:val="00A9714B"/>
    <w:rsid w:val="00AA0BED"/>
    <w:rsid w:val="00AA1731"/>
    <w:rsid w:val="00AA26B8"/>
    <w:rsid w:val="00AA308C"/>
    <w:rsid w:val="00AA3A63"/>
    <w:rsid w:val="00AA5B36"/>
    <w:rsid w:val="00AA66E9"/>
    <w:rsid w:val="00AA6F64"/>
    <w:rsid w:val="00AA70F1"/>
    <w:rsid w:val="00AB064F"/>
    <w:rsid w:val="00AB1CDA"/>
    <w:rsid w:val="00AB2096"/>
    <w:rsid w:val="00AB5208"/>
    <w:rsid w:val="00AB625E"/>
    <w:rsid w:val="00AB741C"/>
    <w:rsid w:val="00AB74A3"/>
    <w:rsid w:val="00AC059B"/>
    <w:rsid w:val="00AC18DA"/>
    <w:rsid w:val="00AC4835"/>
    <w:rsid w:val="00AC7279"/>
    <w:rsid w:val="00AC7464"/>
    <w:rsid w:val="00AD138F"/>
    <w:rsid w:val="00AD2092"/>
    <w:rsid w:val="00AD2D7D"/>
    <w:rsid w:val="00AD322B"/>
    <w:rsid w:val="00AD3956"/>
    <w:rsid w:val="00AD7069"/>
    <w:rsid w:val="00AD7228"/>
    <w:rsid w:val="00AE315C"/>
    <w:rsid w:val="00AE50F3"/>
    <w:rsid w:val="00AE681B"/>
    <w:rsid w:val="00AE755B"/>
    <w:rsid w:val="00AF13B9"/>
    <w:rsid w:val="00AF308E"/>
    <w:rsid w:val="00AF34D5"/>
    <w:rsid w:val="00AF3B74"/>
    <w:rsid w:val="00AF561B"/>
    <w:rsid w:val="00AF5A88"/>
    <w:rsid w:val="00AF7006"/>
    <w:rsid w:val="00B00909"/>
    <w:rsid w:val="00B028DF"/>
    <w:rsid w:val="00B02D0E"/>
    <w:rsid w:val="00B03DD8"/>
    <w:rsid w:val="00B04FE4"/>
    <w:rsid w:val="00B108AD"/>
    <w:rsid w:val="00B11478"/>
    <w:rsid w:val="00B13CDE"/>
    <w:rsid w:val="00B1403B"/>
    <w:rsid w:val="00B14919"/>
    <w:rsid w:val="00B16B7A"/>
    <w:rsid w:val="00B16DC8"/>
    <w:rsid w:val="00B203BC"/>
    <w:rsid w:val="00B20860"/>
    <w:rsid w:val="00B24609"/>
    <w:rsid w:val="00B26D17"/>
    <w:rsid w:val="00B272DF"/>
    <w:rsid w:val="00B31648"/>
    <w:rsid w:val="00B421E8"/>
    <w:rsid w:val="00B437D6"/>
    <w:rsid w:val="00B45E2F"/>
    <w:rsid w:val="00B4664C"/>
    <w:rsid w:val="00B47762"/>
    <w:rsid w:val="00B50919"/>
    <w:rsid w:val="00B50A95"/>
    <w:rsid w:val="00B57942"/>
    <w:rsid w:val="00B608AE"/>
    <w:rsid w:val="00B6108C"/>
    <w:rsid w:val="00B612C9"/>
    <w:rsid w:val="00B6180A"/>
    <w:rsid w:val="00B62111"/>
    <w:rsid w:val="00B632CF"/>
    <w:rsid w:val="00B643D3"/>
    <w:rsid w:val="00B65665"/>
    <w:rsid w:val="00B662EB"/>
    <w:rsid w:val="00B676FE"/>
    <w:rsid w:val="00B70F7E"/>
    <w:rsid w:val="00B72481"/>
    <w:rsid w:val="00B726E5"/>
    <w:rsid w:val="00B7498E"/>
    <w:rsid w:val="00B8062A"/>
    <w:rsid w:val="00B8169F"/>
    <w:rsid w:val="00B81F42"/>
    <w:rsid w:val="00B8333E"/>
    <w:rsid w:val="00B84D1C"/>
    <w:rsid w:val="00B85E06"/>
    <w:rsid w:val="00B86708"/>
    <w:rsid w:val="00B90849"/>
    <w:rsid w:val="00B92D69"/>
    <w:rsid w:val="00B94303"/>
    <w:rsid w:val="00B95F3A"/>
    <w:rsid w:val="00B979D6"/>
    <w:rsid w:val="00BA3021"/>
    <w:rsid w:val="00BA5BE2"/>
    <w:rsid w:val="00BA6306"/>
    <w:rsid w:val="00BA7469"/>
    <w:rsid w:val="00BB0036"/>
    <w:rsid w:val="00BB0524"/>
    <w:rsid w:val="00BB06A9"/>
    <w:rsid w:val="00BB0AB3"/>
    <w:rsid w:val="00BB150F"/>
    <w:rsid w:val="00BB3082"/>
    <w:rsid w:val="00BB5F68"/>
    <w:rsid w:val="00BC289A"/>
    <w:rsid w:val="00BC5004"/>
    <w:rsid w:val="00BC6CFD"/>
    <w:rsid w:val="00BC7438"/>
    <w:rsid w:val="00BC768E"/>
    <w:rsid w:val="00BD1434"/>
    <w:rsid w:val="00BD2E35"/>
    <w:rsid w:val="00BD73FE"/>
    <w:rsid w:val="00BD7C31"/>
    <w:rsid w:val="00BE0318"/>
    <w:rsid w:val="00BE09A7"/>
    <w:rsid w:val="00BE1240"/>
    <w:rsid w:val="00BE194C"/>
    <w:rsid w:val="00BE4CF3"/>
    <w:rsid w:val="00BE5EBE"/>
    <w:rsid w:val="00BE6248"/>
    <w:rsid w:val="00BE788E"/>
    <w:rsid w:val="00BF2BD2"/>
    <w:rsid w:val="00BF2E70"/>
    <w:rsid w:val="00BF4F4A"/>
    <w:rsid w:val="00BF529E"/>
    <w:rsid w:val="00BF6732"/>
    <w:rsid w:val="00C02B02"/>
    <w:rsid w:val="00C044DC"/>
    <w:rsid w:val="00C05B56"/>
    <w:rsid w:val="00C06886"/>
    <w:rsid w:val="00C10407"/>
    <w:rsid w:val="00C113E4"/>
    <w:rsid w:val="00C12306"/>
    <w:rsid w:val="00C1276B"/>
    <w:rsid w:val="00C129F3"/>
    <w:rsid w:val="00C12F73"/>
    <w:rsid w:val="00C15DC9"/>
    <w:rsid w:val="00C168D3"/>
    <w:rsid w:val="00C1692E"/>
    <w:rsid w:val="00C171D1"/>
    <w:rsid w:val="00C17260"/>
    <w:rsid w:val="00C21FEC"/>
    <w:rsid w:val="00C22625"/>
    <w:rsid w:val="00C22E04"/>
    <w:rsid w:val="00C24029"/>
    <w:rsid w:val="00C26E4D"/>
    <w:rsid w:val="00C312C0"/>
    <w:rsid w:val="00C34198"/>
    <w:rsid w:val="00C40056"/>
    <w:rsid w:val="00C40093"/>
    <w:rsid w:val="00C40D01"/>
    <w:rsid w:val="00C40E2F"/>
    <w:rsid w:val="00C44150"/>
    <w:rsid w:val="00C44D28"/>
    <w:rsid w:val="00C475FF"/>
    <w:rsid w:val="00C476B1"/>
    <w:rsid w:val="00C47D56"/>
    <w:rsid w:val="00C515A9"/>
    <w:rsid w:val="00C518BF"/>
    <w:rsid w:val="00C51E9D"/>
    <w:rsid w:val="00C528FB"/>
    <w:rsid w:val="00C52AEA"/>
    <w:rsid w:val="00C544A5"/>
    <w:rsid w:val="00C55118"/>
    <w:rsid w:val="00C60EEB"/>
    <w:rsid w:val="00C61BAA"/>
    <w:rsid w:val="00C61D5B"/>
    <w:rsid w:val="00C639B5"/>
    <w:rsid w:val="00C65128"/>
    <w:rsid w:val="00C66AC9"/>
    <w:rsid w:val="00C66C2C"/>
    <w:rsid w:val="00C67887"/>
    <w:rsid w:val="00C71428"/>
    <w:rsid w:val="00C71BC3"/>
    <w:rsid w:val="00C71F00"/>
    <w:rsid w:val="00C72E52"/>
    <w:rsid w:val="00C7321D"/>
    <w:rsid w:val="00C73921"/>
    <w:rsid w:val="00C75683"/>
    <w:rsid w:val="00C75CDA"/>
    <w:rsid w:val="00C7715F"/>
    <w:rsid w:val="00C806B8"/>
    <w:rsid w:val="00C8150B"/>
    <w:rsid w:val="00C83876"/>
    <w:rsid w:val="00C84AB9"/>
    <w:rsid w:val="00C85A1F"/>
    <w:rsid w:val="00C872DD"/>
    <w:rsid w:val="00C87A34"/>
    <w:rsid w:val="00C90888"/>
    <w:rsid w:val="00C93DE2"/>
    <w:rsid w:val="00C9522D"/>
    <w:rsid w:val="00C95DBE"/>
    <w:rsid w:val="00C9613D"/>
    <w:rsid w:val="00C96A00"/>
    <w:rsid w:val="00C97A6F"/>
    <w:rsid w:val="00C97BB6"/>
    <w:rsid w:val="00C97C78"/>
    <w:rsid w:val="00CA13FF"/>
    <w:rsid w:val="00CA1D7B"/>
    <w:rsid w:val="00CA2026"/>
    <w:rsid w:val="00CA40F6"/>
    <w:rsid w:val="00CA412C"/>
    <w:rsid w:val="00CA4420"/>
    <w:rsid w:val="00CA767A"/>
    <w:rsid w:val="00CA7BE1"/>
    <w:rsid w:val="00CB1675"/>
    <w:rsid w:val="00CB2751"/>
    <w:rsid w:val="00CB2CF7"/>
    <w:rsid w:val="00CB4034"/>
    <w:rsid w:val="00CB42E8"/>
    <w:rsid w:val="00CB4FF8"/>
    <w:rsid w:val="00CB5BAD"/>
    <w:rsid w:val="00CB5C42"/>
    <w:rsid w:val="00CC0B04"/>
    <w:rsid w:val="00CC19F3"/>
    <w:rsid w:val="00CC295E"/>
    <w:rsid w:val="00CC367F"/>
    <w:rsid w:val="00CC39A7"/>
    <w:rsid w:val="00CC7CCC"/>
    <w:rsid w:val="00CD1D09"/>
    <w:rsid w:val="00CD4CCE"/>
    <w:rsid w:val="00CD70CB"/>
    <w:rsid w:val="00CD715A"/>
    <w:rsid w:val="00CD75F8"/>
    <w:rsid w:val="00CE0A38"/>
    <w:rsid w:val="00CE0AD5"/>
    <w:rsid w:val="00CE1356"/>
    <w:rsid w:val="00CE19BE"/>
    <w:rsid w:val="00CE1EFE"/>
    <w:rsid w:val="00CE209D"/>
    <w:rsid w:val="00CE4C46"/>
    <w:rsid w:val="00CE55C1"/>
    <w:rsid w:val="00CE713F"/>
    <w:rsid w:val="00CE7260"/>
    <w:rsid w:val="00CF0164"/>
    <w:rsid w:val="00CF0F13"/>
    <w:rsid w:val="00CF2948"/>
    <w:rsid w:val="00CF345A"/>
    <w:rsid w:val="00CF452B"/>
    <w:rsid w:val="00CF6EC1"/>
    <w:rsid w:val="00D004C1"/>
    <w:rsid w:val="00D0173E"/>
    <w:rsid w:val="00D01822"/>
    <w:rsid w:val="00D01BAE"/>
    <w:rsid w:val="00D043CE"/>
    <w:rsid w:val="00D04974"/>
    <w:rsid w:val="00D06C58"/>
    <w:rsid w:val="00D1468C"/>
    <w:rsid w:val="00D15AD4"/>
    <w:rsid w:val="00D1642E"/>
    <w:rsid w:val="00D20208"/>
    <w:rsid w:val="00D21D2C"/>
    <w:rsid w:val="00D22B01"/>
    <w:rsid w:val="00D25104"/>
    <w:rsid w:val="00D25509"/>
    <w:rsid w:val="00D27909"/>
    <w:rsid w:val="00D35E2C"/>
    <w:rsid w:val="00D372CC"/>
    <w:rsid w:val="00D3751D"/>
    <w:rsid w:val="00D40F43"/>
    <w:rsid w:val="00D412BF"/>
    <w:rsid w:val="00D50861"/>
    <w:rsid w:val="00D50DF2"/>
    <w:rsid w:val="00D529C9"/>
    <w:rsid w:val="00D53F4C"/>
    <w:rsid w:val="00D55718"/>
    <w:rsid w:val="00D5609D"/>
    <w:rsid w:val="00D5707D"/>
    <w:rsid w:val="00D60D0A"/>
    <w:rsid w:val="00D63470"/>
    <w:rsid w:val="00D63AB8"/>
    <w:rsid w:val="00D64CBE"/>
    <w:rsid w:val="00D66406"/>
    <w:rsid w:val="00D716D5"/>
    <w:rsid w:val="00D71ECA"/>
    <w:rsid w:val="00D73472"/>
    <w:rsid w:val="00D75AC6"/>
    <w:rsid w:val="00D80224"/>
    <w:rsid w:val="00D854EB"/>
    <w:rsid w:val="00D85C14"/>
    <w:rsid w:val="00D86ABC"/>
    <w:rsid w:val="00D91A6F"/>
    <w:rsid w:val="00D91E77"/>
    <w:rsid w:val="00D92D89"/>
    <w:rsid w:val="00D93001"/>
    <w:rsid w:val="00D9611A"/>
    <w:rsid w:val="00D96F92"/>
    <w:rsid w:val="00DA0FB3"/>
    <w:rsid w:val="00DA0FF2"/>
    <w:rsid w:val="00DA1EEA"/>
    <w:rsid w:val="00DA20B5"/>
    <w:rsid w:val="00DA2F45"/>
    <w:rsid w:val="00DA6A77"/>
    <w:rsid w:val="00DA6B9D"/>
    <w:rsid w:val="00DA6C30"/>
    <w:rsid w:val="00DB0968"/>
    <w:rsid w:val="00DB43B7"/>
    <w:rsid w:val="00DB487C"/>
    <w:rsid w:val="00DB577A"/>
    <w:rsid w:val="00DB6999"/>
    <w:rsid w:val="00DC04C2"/>
    <w:rsid w:val="00DC06A7"/>
    <w:rsid w:val="00DC2328"/>
    <w:rsid w:val="00DC35DA"/>
    <w:rsid w:val="00DC4D8A"/>
    <w:rsid w:val="00DC530C"/>
    <w:rsid w:val="00DC569E"/>
    <w:rsid w:val="00DC5FDA"/>
    <w:rsid w:val="00DC66C0"/>
    <w:rsid w:val="00DC77D5"/>
    <w:rsid w:val="00DD173E"/>
    <w:rsid w:val="00DD3C39"/>
    <w:rsid w:val="00DD4C3F"/>
    <w:rsid w:val="00DE06D5"/>
    <w:rsid w:val="00DE12E2"/>
    <w:rsid w:val="00DE21EB"/>
    <w:rsid w:val="00DE2899"/>
    <w:rsid w:val="00DE40DD"/>
    <w:rsid w:val="00DE4B78"/>
    <w:rsid w:val="00DE5093"/>
    <w:rsid w:val="00DE5FF5"/>
    <w:rsid w:val="00DE6D5A"/>
    <w:rsid w:val="00DF196C"/>
    <w:rsid w:val="00DF1DF4"/>
    <w:rsid w:val="00DF2F06"/>
    <w:rsid w:val="00DF5D0F"/>
    <w:rsid w:val="00E00441"/>
    <w:rsid w:val="00E00C0F"/>
    <w:rsid w:val="00E023D0"/>
    <w:rsid w:val="00E05A41"/>
    <w:rsid w:val="00E0754F"/>
    <w:rsid w:val="00E07CDF"/>
    <w:rsid w:val="00E119F5"/>
    <w:rsid w:val="00E13CEE"/>
    <w:rsid w:val="00E159B3"/>
    <w:rsid w:val="00E16942"/>
    <w:rsid w:val="00E201DB"/>
    <w:rsid w:val="00E20F55"/>
    <w:rsid w:val="00E21AD1"/>
    <w:rsid w:val="00E21D77"/>
    <w:rsid w:val="00E24957"/>
    <w:rsid w:val="00E25595"/>
    <w:rsid w:val="00E25817"/>
    <w:rsid w:val="00E26455"/>
    <w:rsid w:val="00E276DC"/>
    <w:rsid w:val="00E307E1"/>
    <w:rsid w:val="00E31DA1"/>
    <w:rsid w:val="00E3443A"/>
    <w:rsid w:val="00E368B7"/>
    <w:rsid w:val="00E36A65"/>
    <w:rsid w:val="00E40494"/>
    <w:rsid w:val="00E42110"/>
    <w:rsid w:val="00E44C21"/>
    <w:rsid w:val="00E5000A"/>
    <w:rsid w:val="00E5263F"/>
    <w:rsid w:val="00E52854"/>
    <w:rsid w:val="00E53CD8"/>
    <w:rsid w:val="00E54EF2"/>
    <w:rsid w:val="00E54F2C"/>
    <w:rsid w:val="00E55831"/>
    <w:rsid w:val="00E56B19"/>
    <w:rsid w:val="00E56DF7"/>
    <w:rsid w:val="00E57D0D"/>
    <w:rsid w:val="00E6424D"/>
    <w:rsid w:val="00E73FB9"/>
    <w:rsid w:val="00E755E4"/>
    <w:rsid w:val="00E76602"/>
    <w:rsid w:val="00E7757E"/>
    <w:rsid w:val="00E82CF1"/>
    <w:rsid w:val="00E834DB"/>
    <w:rsid w:val="00E83AF2"/>
    <w:rsid w:val="00E84B32"/>
    <w:rsid w:val="00E85FA3"/>
    <w:rsid w:val="00E8764F"/>
    <w:rsid w:val="00E918E3"/>
    <w:rsid w:val="00E95C76"/>
    <w:rsid w:val="00E963C9"/>
    <w:rsid w:val="00EA06B6"/>
    <w:rsid w:val="00EA1DFE"/>
    <w:rsid w:val="00EA30AF"/>
    <w:rsid w:val="00EA3C05"/>
    <w:rsid w:val="00EB1945"/>
    <w:rsid w:val="00EB3913"/>
    <w:rsid w:val="00EB4272"/>
    <w:rsid w:val="00EB513D"/>
    <w:rsid w:val="00EB54E0"/>
    <w:rsid w:val="00EB5EC8"/>
    <w:rsid w:val="00EB6653"/>
    <w:rsid w:val="00EB74A3"/>
    <w:rsid w:val="00EC09EE"/>
    <w:rsid w:val="00EC17AE"/>
    <w:rsid w:val="00EC22EF"/>
    <w:rsid w:val="00EC2E63"/>
    <w:rsid w:val="00EC33D4"/>
    <w:rsid w:val="00EC4ADA"/>
    <w:rsid w:val="00EC5C8D"/>
    <w:rsid w:val="00EC641C"/>
    <w:rsid w:val="00EC68BC"/>
    <w:rsid w:val="00EC6F14"/>
    <w:rsid w:val="00ED0305"/>
    <w:rsid w:val="00ED166D"/>
    <w:rsid w:val="00ED17CC"/>
    <w:rsid w:val="00ED1A55"/>
    <w:rsid w:val="00ED3F2B"/>
    <w:rsid w:val="00ED4233"/>
    <w:rsid w:val="00ED5826"/>
    <w:rsid w:val="00ED76FB"/>
    <w:rsid w:val="00ED7929"/>
    <w:rsid w:val="00EE0914"/>
    <w:rsid w:val="00EE2D0E"/>
    <w:rsid w:val="00EE4297"/>
    <w:rsid w:val="00EE4A79"/>
    <w:rsid w:val="00EE4B7F"/>
    <w:rsid w:val="00EE5A93"/>
    <w:rsid w:val="00EE5EB2"/>
    <w:rsid w:val="00EE672B"/>
    <w:rsid w:val="00EE715D"/>
    <w:rsid w:val="00EE7A3F"/>
    <w:rsid w:val="00EF1688"/>
    <w:rsid w:val="00EF1C40"/>
    <w:rsid w:val="00EF2E91"/>
    <w:rsid w:val="00EF6900"/>
    <w:rsid w:val="00F00424"/>
    <w:rsid w:val="00F014E6"/>
    <w:rsid w:val="00F02A79"/>
    <w:rsid w:val="00F04ADE"/>
    <w:rsid w:val="00F054BD"/>
    <w:rsid w:val="00F0555A"/>
    <w:rsid w:val="00F070DE"/>
    <w:rsid w:val="00F11098"/>
    <w:rsid w:val="00F12044"/>
    <w:rsid w:val="00F13AA2"/>
    <w:rsid w:val="00F15C8E"/>
    <w:rsid w:val="00F15FFE"/>
    <w:rsid w:val="00F20A1A"/>
    <w:rsid w:val="00F23BD6"/>
    <w:rsid w:val="00F24866"/>
    <w:rsid w:val="00F263B6"/>
    <w:rsid w:val="00F26AA6"/>
    <w:rsid w:val="00F3072E"/>
    <w:rsid w:val="00F32EA7"/>
    <w:rsid w:val="00F33160"/>
    <w:rsid w:val="00F338AA"/>
    <w:rsid w:val="00F33EC0"/>
    <w:rsid w:val="00F40169"/>
    <w:rsid w:val="00F41087"/>
    <w:rsid w:val="00F41403"/>
    <w:rsid w:val="00F41C1B"/>
    <w:rsid w:val="00F433D7"/>
    <w:rsid w:val="00F44C68"/>
    <w:rsid w:val="00F47644"/>
    <w:rsid w:val="00F4770E"/>
    <w:rsid w:val="00F51929"/>
    <w:rsid w:val="00F52C08"/>
    <w:rsid w:val="00F53158"/>
    <w:rsid w:val="00F55999"/>
    <w:rsid w:val="00F5646A"/>
    <w:rsid w:val="00F60C8D"/>
    <w:rsid w:val="00F62981"/>
    <w:rsid w:val="00F64172"/>
    <w:rsid w:val="00F64D59"/>
    <w:rsid w:val="00F65886"/>
    <w:rsid w:val="00F65F34"/>
    <w:rsid w:val="00F71B79"/>
    <w:rsid w:val="00F72514"/>
    <w:rsid w:val="00F72550"/>
    <w:rsid w:val="00F73212"/>
    <w:rsid w:val="00F73AFB"/>
    <w:rsid w:val="00F76007"/>
    <w:rsid w:val="00F769E9"/>
    <w:rsid w:val="00F803CD"/>
    <w:rsid w:val="00F8106D"/>
    <w:rsid w:val="00F81724"/>
    <w:rsid w:val="00F81900"/>
    <w:rsid w:val="00F823B7"/>
    <w:rsid w:val="00F82B31"/>
    <w:rsid w:val="00F86F4F"/>
    <w:rsid w:val="00F9174A"/>
    <w:rsid w:val="00F91879"/>
    <w:rsid w:val="00F91CB7"/>
    <w:rsid w:val="00F925EF"/>
    <w:rsid w:val="00F92ACB"/>
    <w:rsid w:val="00F93959"/>
    <w:rsid w:val="00F93BE9"/>
    <w:rsid w:val="00F9438D"/>
    <w:rsid w:val="00F9796E"/>
    <w:rsid w:val="00FA168D"/>
    <w:rsid w:val="00FA5EFE"/>
    <w:rsid w:val="00FA6564"/>
    <w:rsid w:val="00FA69D1"/>
    <w:rsid w:val="00FB4368"/>
    <w:rsid w:val="00FB4548"/>
    <w:rsid w:val="00FC360A"/>
    <w:rsid w:val="00FC36A1"/>
    <w:rsid w:val="00FC41BE"/>
    <w:rsid w:val="00FC469D"/>
    <w:rsid w:val="00FC70FD"/>
    <w:rsid w:val="00FC7622"/>
    <w:rsid w:val="00FD0DE2"/>
    <w:rsid w:val="00FD28B5"/>
    <w:rsid w:val="00FE1389"/>
    <w:rsid w:val="00FE24FA"/>
    <w:rsid w:val="00FE2F16"/>
    <w:rsid w:val="00FE2F3C"/>
    <w:rsid w:val="00FE3374"/>
    <w:rsid w:val="00FE3431"/>
    <w:rsid w:val="00FE3516"/>
    <w:rsid w:val="00FE3A84"/>
    <w:rsid w:val="00FE4562"/>
    <w:rsid w:val="00FE4BDA"/>
    <w:rsid w:val="00FE5E37"/>
    <w:rsid w:val="00FE7C9D"/>
    <w:rsid w:val="00FF03D3"/>
    <w:rsid w:val="00FF192E"/>
    <w:rsid w:val="00FF2420"/>
    <w:rsid w:val="00FF29E6"/>
    <w:rsid w:val="00FF3155"/>
    <w:rsid w:val="00FF3661"/>
    <w:rsid w:val="00FF3C77"/>
    <w:rsid w:val="00FF472E"/>
    <w:rsid w:val="00FF494A"/>
    <w:rsid w:val="00FF6BA2"/>
    <w:rsid w:val="00FF759B"/>
    <w:rsid w:val="46CD3A6D"/>
    <w:rsid w:val="792B6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jc w:val="both"/>
    </w:pPr>
    <w:rPr>
      <w:rFonts w:ascii="Times" w:hAnsi="Times" w:eastAsia="宋体" w:cs="Times New Roman"/>
      <w:kern w:val="0"/>
      <w:sz w:val="24"/>
      <w:szCs w:val="20"/>
      <w:lang w:val="en-US" w:eastAsia="en-US" w:bidi="ar-SA"/>
    </w:rPr>
  </w:style>
  <w:style w:type="paragraph" w:styleId="2">
    <w:name w:val="heading 1"/>
    <w:basedOn w:val="1"/>
    <w:next w:val="1"/>
    <w:link w:val="28"/>
    <w:qFormat/>
    <w:uiPriority w:val="9"/>
    <w:pPr>
      <w:keepNext/>
      <w:keepLines/>
      <w:spacing w:before="100" w:beforeLines="100" w:after="0" w:line="578" w:lineRule="auto"/>
      <w:outlineLvl w:val="0"/>
    </w:pPr>
    <w:rPr>
      <w:rFonts w:eastAsia="Times New Roman"/>
      <w:b/>
      <w:bCs/>
      <w:kern w:val="44"/>
      <w:sz w:val="28"/>
      <w:szCs w:val="44"/>
    </w:rPr>
  </w:style>
  <w:style w:type="character" w:default="1" w:styleId="12">
    <w:name w:val="Default Paragraph Font"/>
    <w:unhideWhenUsed/>
    <w:qFormat/>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3">
    <w:name w:val="annotation subject"/>
    <w:basedOn w:val="4"/>
    <w:next w:val="4"/>
    <w:link w:val="37"/>
    <w:semiHidden/>
    <w:unhideWhenUsed/>
    <w:qFormat/>
    <w:uiPriority w:val="99"/>
    <w:rPr>
      <w:b/>
      <w:bCs/>
    </w:rPr>
  </w:style>
  <w:style w:type="paragraph" w:styleId="4">
    <w:name w:val="annotation text"/>
    <w:basedOn w:val="1"/>
    <w:link w:val="36"/>
    <w:semiHidden/>
    <w:unhideWhenUsed/>
    <w:qFormat/>
    <w:uiPriority w:val="99"/>
    <w:rPr>
      <w:sz w:val="20"/>
    </w:rPr>
  </w:style>
  <w:style w:type="paragraph" w:styleId="5">
    <w:name w:val="toc 3"/>
    <w:basedOn w:val="1"/>
    <w:next w:val="1"/>
    <w:unhideWhenUsed/>
    <w:qFormat/>
    <w:uiPriority w:val="39"/>
    <w:pPr>
      <w:spacing w:after="100" w:line="259" w:lineRule="auto"/>
      <w:ind w:left="440"/>
      <w:jc w:val="left"/>
    </w:pPr>
    <w:rPr>
      <w:rFonts w:asciiTheme="minorHAnsi" w:hAnsiTheme="minorHAnsi" w:eastAsiaTheme="minorEastAsia"/>
      <w:sz w:val="22"/>
      <w:szCs w:val="22"/>
      <w:lang w:eastAsia="zh-CN"/>
    </w:rPr>
  </w:style>
  <w:style w:type="paragraph" w:styleId="6">
    <w:name w:val="Balloon Text"/>
    <w:basedOn w:val="1"/>
    <w:link w:val="35"/>
    <w:semiHidden/>
    <w:unhideWhenUsed/>
    <w:qFormat/>
    <w:uiPriority w:val="99"/>
    <w:pPr>
      <w:spacing w:after="0"/>
    </w:pPr>
    <w:rPr>
      <w:rFonts w:ascii="Segoe UI" w:hAnsi="Segoe UI" w:cs="Segoe UI"/>
      <w:sz w:val="18"/>
      <w:szCs w:val="18"/>
    </w:rPr>
  </w:style>
  <w:style w:type="paragraph" w:styleId="7">
    <w:name w:val="footer"/>
    <w:basedOn w:val="1"/>
    <w:link w:val="18"/>
    <w:unhideWhenUsed/>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9402"/>
      </w:tabs>
      <w:spacing w:after="100" w:line="259" w:lineRule="auto"/>
      <w:jc w:val="left"/>
    </w:pPr>
    <w:rPr>
      <w:rFonts w:asciiTheme="minorHAnsi" w:hAnsiTheme="minorHAnsi" w:eastAsiaTheme="minorEastAsia"/>
      <w:sz w:val="22"/>
      <w:szCs w:val="22"/>
      <w:lang w:eastAsia="zh-CN"/>
    </w:rPr>
  </w:style>
  <w:style w:type="paragraph" w:styleId="10">
    <w:name w:val="toc 2"/>
    <w:basedOn w:val="1"/>
    <w:next w:val="1"/>
    <w:unhideWhenUsed/>
    <w:qFormat/>
    <w:uiPriority w:val="39"/>
    <w:pPr>
      <w:spacing w:after="100" w:line="259" w:lineRule="auto"/>
      <w:ind w:left="220"/>
      <w:jc w:val="left"/>
    </w:pPr>
    <w:rPr>
      <w:rFonts w:asciiTheme="minorHAnsi" w:hAnsiTheme="minorHAnsi" w:eastAsiaTheme="minorEastAsia"/>
      <w:sz w:val="22"/>
      <w:szCs w:val="22"/>
      <w:lang w:eastAsia="zh-CN"/>
    </w:rPr>
  </w:style>
  <w:style w:type="paragraph" w:styleId="11">
    <w:name w:val="Normal (Web)"/>
    <w:basedOn w:val="1"/>
    <w:unhideWhenUsed/>
    <w:qFormat/>
    <w:uiPriority w:val="99"/>
    <w:pPr>
      <w:spacing w:before="100" w:beforeAutospacing="1" w:after="100" w:afterAutospacing="1"/>
      <w:jc w:val="left"/>
    </w:pPr>
    <w:rPr>
      <w:rFonts w:ascii="宋体" w:hAnsi="宋体" w:cs="宋体"/>
      <w:szCs w:val="24"/>
      <w:lang w:eastAsia="zh-CN"/>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styleId="14">
    <w:name w:val="annotation reference"/>
    <w:basedOn w:val="12"/>
    <w:semiHidden/>
    <w:unhideWhenUsed/>
    <w:qFormat/>
    <w:uiPriority w:val="99"/>
    <w:rPr>
      <w:sz w:val="16"/>
      <w:szCs w:val="16"/>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页眉 字符"/>
    <w:basedOn w:val="12"/>
    <w:link w:val="8"/>
    <w:qFormat/>
    <w:uiPriority w:val="99"/>
    <w:rPr>
      <w:sz w:val="18"/>
      <w:szCs w:val="18"/>
    </w:rPr>
  </w:style>
  <w:style w:type="character" w:customStyle="1" w:styleId="18">
    <w:name w:val="页脚 字符"/>
    <w:basedOn w:val="12"/>
    <w:link w:val="7"/>
    <w:qFormat/>
    <w:uiPriority w:val="99"/>
    <w:rPr>
      <w:sz w:val="18"/>
      <w:szCs w:val="18"/>
    </w:rPr>
  </w:style>
  <w:style w:type="character" w:customStyle="1" w:styleId="19">
    <w:name w:val="fontstyle01"/>
    <w:basedOn w:val="12"/>
    <w:qFormat/>
    <w:uiPriority w:val="0"/>
    <w:rPr>
      <w:rFonts w:hint="default" w:ascii="AdvOT863180fb" w:hAnsi="AdvOT863180fb"/>
      <w:color w:val="000000"/>
      <w:sz w:val="16"/>
      <w:szCs w:val="16"/>
    </w:rPr>
  </w:style>
  <w:style w:type="character" w:customStyle="1" w:styleId="20">
    <w:name w:val="fontstyle21"/>
    <w:basedOn w:val="12"/>
    <w:uiPriority w:val="0"/>
    <w:rPr>
      <w:rFonts w:hint="default" w:ascii="AdvOT863180fb+fb" w:hAnsi="AdvOT863180fb+fb"/>
      <w:color w:val="000000"/>
      <w:sz w:val="16"/>
      <w:szCs w:val="16"/>
    </w:rPr>
  </w:style>
  <w:style w:type="character" w:customStyle="1" w:styleId="21">
    <w:name w:val="fontstyle31"/>
    <w:basedOn w:val="12"/>
    <w:qFormat/>
    <w:uiPriority w:val="0"/>
    <w:rPr>
      <w:rFonts w:hint="default" w:ascii="AdvP4C4E74" w:hAnsi="AdvP4C4E74"/>
      <w:color w:val="000000"/>
      <w:sz w:val="12"/>
      <w:szCs w:val="12"/>
    </w:rPr>
  </w:style>
  <w:style w:type="character" w:customStyle="1" w:styleId="22">
    <w:name w:val="fontstyle51"/>
    <w:basedOn w:val="12"/>
    <w:uiPriority w:val="0"/>
    <w:rPr>
      <w:rFonts w:hint="default" w:ascii="AdvTT5843c571" w:hAnsi="AdvTT5843c571"/>
      <w:color w:val="000000"/>
      <w:sz w:val="12"/>
      <w:szCs w:val="12"/>
    </w:rPr>
  </w:style>
  <w:style w:type="character" w:customStyle="1" w:styleId="23">
    <w:name w:val="fontstyle41"/>
    <w:basedOn w:val="12"/>
    <w:qFormat/>
    <w:uiPriority w:val="0"/>
    <w:rPr>
      <w:rFonts w:hint="default" w:ascii="AdvOT863180fb+fb" w:hAnsi="AdvOT863180fb+fb"/>
      <w:color w:val="000000"/>
      <w:sz w:val="16"/>
      <w:szCs w:val="16"/>
    </w:rPr>
  </w:style>
  <w:style w:type="paragraph" w:customStyle="1" w:styleId="24">
    <w:name w:val="BA_Title"/>
    <w:basedOn w:val="1"/>
    <w:next w:val="1"/>
    <w:qFormat/>
    <w:uiPriority w:val="0"/>
    <w:pPr>
      <w:spacing w:before="1320" w:after="180"/>
      <w:ind w:right="127" w:rightChars="53"/>
      <w:jc w:val="left"/>
    </w:pPr>
    <w:rPr>
      <w:rFonts w:ascii="Myriad Pro Light" w:hAnsi="Myriad Pro Light" w:eastAsiaTheme="minorEastAsia"/>
      <w:b/>
      <w:kern w:val="36"/>
      <w:sz w:val="34"/>
    </w:rPr>
  </w:style>
  <w:style w:type="paragraph" w:customStyle="1" w:styleId="25">
    <w:name w:val="BB_Author_Name"/>
    <w:basedOn w:val="1"/>
    <w:next w:val="1"/>
    <w:qFormat/>
    <w:uiPriority w:val="0"/>
    <w:pPr>
      <w:spacing w:after="240"/>
      <w:jc w:val="left"/>
    </w:pPr>
    <w:rPr>
      <w:rFonts w:ascii="Arno Pro" w:hAnsi="Arno Pro" w:eastAsiaTheme="minorEastAsia"/>
      <w:kern w:val="26"/>
    </w:rPr>
  </w:style>
  <w:style w:type="paragraph" w:customStyle="1" w:styleId="26">
    <w:name w:val="04 A Heading"/>
    <w:next w:val="1"/>
    <w:qFormat/>
    <w:uiPriority w:val="0"/>
    <w:pPr>
      <w:spacing w:before="240" w:after="120" w:line="240" w:lineRule="exact"/>
    </w:pPr>
    <w:rPr>
      <w:rFonts w:ascii="Times New Roman" w:hAnsi="Times New Roman" w:eastAsia="宋体" w:cs="Times New Roman"/>
      <w:b/>
      <w:kern w:val="0"/>
      <w:sz w:val="22"/>
      <w:szCs w:val="20"/>
      <w:lang w:val="en-US" w:eastAsia="zh-CN" w:bidi="ar-SA"/>
    </w:rPr>
  </w:style>
  <w:style w:type="character" w:customStyle="1" w:styleId="27">
    <w:name w:val="Unresolved Mention1"/>
    <w:basedOn w:val="12"/>
    <w:semiHidden/>
    <w:unhideWhenUsed/>
    <w:qFormat/>
    <w:uiPriority w:val="99"/>
    <w:rPr>
      <w:color w:val="605E5C"/>
      <w:shd w:val="clear" w:color="auto" w:fill="E1DFDD"/>
    </w:rPr>
  </w:style>
  <w:style w:type="character" w:customStyle="1" w:styleId="28">
    <w:name w:val="标题 1 字符"/>
    <w:basedOn w:val="12"/>
    <w:link w:val="2"/>
    <w:qFormat/>
    <w:uiPriority w:val="9"/>
    <w:rPr>
      <w:rFonts w:ascii="Times" w:hAnsi="Times" w:eastAsia="Times New Roman" w:cs="Times New Roman"/>
      <w:b/>
      <w:bCs/>
      <w:kern w:val="44"/>
      <w:sz w:val="28"/>
      <w:szCs w:val="44"/>
      <w:lang w:eastAsia="en-US"/>
    </w:rPr>
  </w:style>
  <w:style w:type="paragraph" w:customStyle="1" w:styleId="29">
    <w:name w:val="TOC Heading"/>
    <w:basedOn w:val="2"/>
    <w:next w:val="1"/>
    <w:unhideWhenUsed/>
    <w:qFormat/>
    <w:uiPriority w:val="39"/>
    <w:pPr>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lang w:eastAsia="zh-CN"/>
    </w:rPr>
  </w:style>
  <w:style w:type="paragraph" w:customStyle="1" w:styleId="30">
    <w:name w:val="EndNote Bibliography Title"/>
    <w:basedOn w:val="1"/>
    <w:link w:val="31"/>
    <w:qFormat/>
    <w:uiPriority w:val="0"/>
    <w:pPr>
      <w:spacing w:after="0"/>
      <w:jc w:val="center"/>
    </w:pPr>
    <w:rPr>
      <w:rFonts w:cs="Times"/>
    </w:rPr>
  </w:style>
  <w:style w:type="character" w:customStyle="1" w:styleId="31">
    <w:name w:val="EndNote Bibliography Title 字符"/>
    <w:basedOn w:val="12"/>
    <w:link w:val="30"/>
    <w:qFormat/>
    <w:uiPriority w:val="0"/>
    <w:rPr>
      <w:rFonts w:ascii="Times" w:hAnsi="Times" w:eastAsia="宋体" w:cs="Times"/>
      <w:kern w:val="0"/>
      <w:sz w:val="24"/>
      <w:szCs w:val="20"/>
      <w:lang w:eastAsia="en-US"/>
    </w:rPr>
  </w:style>
  <w:style w:type="paragraph" w:customStyle="1" w:styleId="32">
    <w:name w:val="EndNote Bibliography"/>
    <w:basedOn w:val="1"/>
    <w:link w:val="33"/>
    <w:qFormat/>
    <w:uiPriority w:val="0"/>
    <w:rPr>
      <w:rFonts w:cs="Times"/>
    </w:rPr>
  </w:style>
  <w:style w:type="character" w:customStyle="1" w:styleId="33">
    <w:name w:val="EndNote Bibliography 字符"/>
    <w:basedOn w:val="12"/>
    <w:link w:val="32"/>
    <w:uiPriority w:val="0"/>
    <w:rPr>
      <w:rFonts w:ascii="Times" w:hAnsi="Times" w:eastAsia="宋体" w:cs="Times"/>
      <w:kern w:val="0"/>
      <w:sz w:val="24"/>
      <w:szCs w:val="20"/>
      <w:lang w:eastAsia="en-US"/>
    </w:rPr>
  </w:style>
  <w:style w:type="character" w:styleId="34">
    <w:name w:val="Placeholder Text"/>
    <w:basedOn w:val="12"/>
    <w:semiHidden/>
    <w:uiPriority w:val="99"/>
    <w:rPr>
      <w:color w:val="808080"/>
    </w:rPr>
  </w:style>
  <w:style w:type="character" w:customStyle="1" w:styleId="35">
    <w:name w:val="批注框文本 字符"/>
    <w:basedOn w:val="12"/>
    <w:link w:val="6"/>
    <w:semiHidden/>
    <w:qFormat/>
    <w:uiPriority w:val="99"/>
    <w:rPr>
      <w:rFonts w:ascii="Segoe UI" w:hAnsi="Segoe UI" w:eastAsia="宋体" w:cs="Segoe UI"/>
      <w:kern w:val="0"/>
      <w:sz w:val="18"/>
      <w:szCs w:val="18"/>
      <w:lang w:eastAsia="en-US"/>
    </w:rPr>
  </w:style>
  <w:style w:type="character" w:customStyle="1" w:styleId="36">
    <w:name w:val="批注文字 字符"/>
    <w:basedOn w:val="12"/>
    <w:link w:val="4"/>
    <w:semiHidden/>
    <w:qFormat/>
    <w:uiPriority w:val="99"/>
    <w:rPr>
      <w:rFonts w:ascii="Times" w:hAnsi="Times" w:eastAsia="宋体" w:cs="Times New Roman"/>
      <w:kern w:val="0"/>
      <w:sz w:val="20"/>
      <w:szCs w:val="20"/>
      <w:lang w:eastAsia="en-US"/>
    </w:rPr>
  </w:style>
  <w:style w:type="character" w:customStyle="1" w:styleId="37">
    <w:name w:val="批注主题 字符"/>
    <w:basedOn w:val="36"/>
    <w:link w:val="3"/>
    <w:semiHidden/>
    <w:qFormat/>
    <w:uiPriority w:val="99"/>
    <w:rPr>
      <w:rFonts w:ascii="Times" w:hAnsi="Times" w:eastAsia="宋体" w:cs="Times New Roman"/>
      <w:b/>
      <w:bCs/>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tiff"/><Relationship Id="rId14" Type="http://schemas.openxmlformats.org/officeDocument/2006/relationships/image" Target="media/image7.tiff"/><Relationship Id="rId13" Type="http://schemas.openxmlformats.org/officeDocument/2006/relationships/image" Target="media/image6.tiff"/><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E998B3-D348-45B2-9432-3765691F8BCC}">
  <ds:schemaRefs/>
</ds:datastoreItem>
</file>

<file path=docProps/app.xml><?xml version="1.0" encoding="utf-8"?>
<Properties xmlns="http://schemas.openxmlformats.org/officeDocument/2006/extended-properties" xmlns:vt="http://schemas.openxmlformats.org/officeDocument/2006/docPropsVTypes">
  <Template>Normal</Template>
  <Pages>9</Pages>
  <Words>666</Words>
  <Characters>3801</Characters>
  <Lines>31</Lines>
  <Paragraphs>8</Paragraphs>
  <TotalTime>0</TotalTime>
  <ScaleCrop>false</ScaleCrop>
  <LinksUpToDate>false</LinksUpToDate>
  <CharactersWithSpaces>4459</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2022-04-24T08:51:00Z</dcterms:created>
  <dc:creator>RealizeZhang</dc:creator>
  <cp:lastModifiedBy>Lenovo</cp:lastModifiedBy>
  <cp:lastPrinted>2020-05-14T12:20:00Z</cp:lastPrinted>
  <dcterms:modified xsi:type="dcterms:W3CDTF">2022-04-24T13:18:59Z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