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A447F" w14:textId="77777777" w:rsidR="0099358C" w:rsidRPr="00664A22" w:rsidRDefault="0099358C" w:rsidP="0099358C">
      <w:pPr>
        <w:spacing w:line="240" w:lineRule="auto"/>
        <w:rPr>
          <w:rFonts w:ascii="Arial" w:hAnsi="Arial" w:cs="Arial"/>
          <w:noProof/>
        </w:rPr>
      </w:pPr>
      <w:r w:rsidRPr="00664A22">
        <w:rPr>
          <w:rFonts w:ascii="Arial" w:hAnsi="Arial" w:cs="Arial"/>
          <w:b/>
          <w:bCs/>
          <w:noProof/>
        </w:rPr>
        <w:t xml:space="preserve">Supplemental Table 1: </w:t>
      </w:r>
      <w:r w:rsidRPr="00664A22">
        <w:rPr>
          <w:rFonts w:ascii="Arial" w:hAnsi="Arial" w:cs="Arial"/>
          <w:noProof/>
        </w:rPr>
        <w:t>List of antiseizure medications considered to define the cohort, sorted by percent of all pill days in this population in 2016.</w:t>
      </w:r>
    </w:p>
    <w:p w14:paraId="58526559" w14:textId="77777777" w:rsidR="0099358C" w:rsidRPr="00664A22" w:rsidRDefault="0099358C" w:rsidP="0099358C">
      <w:pPr>
        <w:spacing w:line="240" w:lineRule="auto"/>
        <w:rPr>
          <w:rFonts w:ascii="Arial" w:hAnsi="Arial" w:cs="Arial"/>
          <w:b/>
          <w:bCs/>
          <w:noProof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0"/>
        <w:gridCol w:w="3510"/>
      </w:tblGrid>
      <w:tr w:rsidR="0099358C" w:rsidRPr="00664A22" w14:paraId="0D8C25E4" w14:textId="77777777" w:rsidTr="00CE68B2">
        <w:tc>
          <w:tcPr>
            <w:tcW w:w="3060" w:type="dxa"/>
            <w:tcBorders>
              <w:bottom w:val="single" w:sz="4" w:space="0" w:color="auto"/>
              <w:right w:val="single" w:sz="4" w:space="0" w:color="auto"/>
            </w:tcBorders>
          </w:tcPr>
          <w:p w14:paraId="6C06DD6C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b/>
                <w:bCs/>
              </w:rPr>
              <w:t>Antiseizure medication</w:t>
            </w:r>
          </w:p>
        </w:tc>
        <w:tc>
          <w:tcPr>
            <w:tcW w:w="3510" w:type="dxa"/>
            <w:tcBorders>
              <w:left w:val="single" w:sz="4" w:space="0" w:color="auto"/>
              <w:bottom w:val="single" w:sz="4" w:space="0" w:color="auto"/>
            </w:tcBorders>
          </w:tcPr>
          <w:p w14:paraId="5E696D1F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b/>
                <w:bCs/>
              </w:rPr>
              <w:t>Percent of all pill days in 2016</w:t>
            </w:r>
          </w:p>
        </w:tc>
      </w:tr>
      <w:tr w:rsidR="0099358C" w:rsidRPr="00664A22" w14:paraId="0105A96C" w14:textId="77777777" w:rsidTr="00CE68B2">
        <w:tc>
          <w:tcPr>
            <w:tcW w:w="3060" w:type="dxa"/>
            <w:tcBorders>
              <w:top w:val="single" w:sz="4" w:space="0" w:color="auto"/>
              <w:right w:val="single" w:sz="4" w:space="0" w:color="auto"/>
            </w:tcBorders>
          </w:tcPr>
          <w:p w14:paraId="54965752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Levetiracetam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6A0C72C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22%</w:t>
            </w:r>
          </w:p>
        </w:tc>
      </w:tr>
      <w:tr w:rsidR="0099358C" w:rsidRPr="00664A22" w14:paraId="0682AAAC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51413DD2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Phenytoin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4EED73DC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13%</w:t>
            </w:r>
          </w:p>
        </w:tc>
      </w:tr>
      <w:tr w:rsidR="0099358C" w:rsidRPr="00664A22" w14:paraId="1F0A6FDF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5DDA439A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Lamotrigine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196050DA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11%</w:t>
            </w:r>
          </w:p>
        </w:tc>
      </w:tr>
      <w:tr w:rsidR="0099358C" w:rsidRPr="00664A22" w14:paraId="1460C848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6E728C16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Valproate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3B750C2C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11%</w:t>
            </w:r>
          </w:p>
        </w:tc>
      </w:tr>
      <w:tr w:rsidR="0099358C" w:rsidRPr="00664A22" w14:paraId="71B7E9B7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5FF032E5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Carbamazepine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1CDD52A3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11%</w:t>
            </w:r>
          </w:p>
        </w:tc>
      </w:tr>
      <w:tr w:rsidR="0099358C" w:rsidRPr="00664A22" w14:paraId="4F24E64B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378DFBA8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Topiramate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5CFC1E57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6%</w:t>
            </w:r>
          </w:p>
        </w:tc>
      </w:tr>
      <w:tr w:rsidR="0099358C" w:rsidRPr="00664A22" w14:paraId="7600D8E4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55A39A4B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Gabapentin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0063214B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6%</w:t>
            </w:r>
          </w:p>
        </w:tc>
      </w:tr>
      <w:tr w:rsidR="0099358C" w:rsidRPr="00664A22" w14:paraId="66AE3703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198D87D6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Phenobarbital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65A0D8E8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5%</w:t>
            </w:r>
          </w:p>
        </w:tc>
      </w:tr>
      <w:tr w:rsidR="0099358C" w:rsidRPr="00664A22" w14:paraId="30466B39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44815C29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proofErr w:type="spellStart"/>
            <w:r w:rsidRPr="00664A22">
              <w:rPr>
                <w:rFonts w:ascii="Arial" w:hAnsi="Arial" w:cs="Arial"/>
                <w:color w:val="000000"/>
              </w:rPr>
              <w:t>Lacosamide</w:t>
            </w:r>
            <w:proofErr w:type="spellEnd"/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31B96437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3%</w:t>
            </w:r>
          </w:p>
        </w:tc>
      </w:tr>
      <w:tr w:rsidR="0099358C" w:rsidRPr="00664A22" w14:paraId="677CE514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188C2A00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Oxcarbazepine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5433EFA1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3%</w:t>
            </w:r>
          </w:p>
        </w:tc>
      </w:tr>
      <w:tr w:rsidR="0099358C" w:rsidRPr="00664A22" w14:paraId="1DC22E85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3D6D1831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proofErr w:type="spellStart"/>
            <w:r w:rsidRPr="00664A22">
              <w:rPr>
                <w:rFonts w:ascii="Arial" w:hAnsi="Arial" w:cs="Arial"/>
                <w:color w:val="000000"/>
              </w:rPr>
              <w:t>Zonisamide</w:t>
            </w:r>
            <w:proofErr w:type="spellEnd"/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1D45E72B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2%</w:t>
            </w:r>
          </w:p>
        </w:tc>
      </w:tr>
      <w:tr w:rsidR="0099358C" w:rsidRPr="00664A22" w14:paraId="332D466A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3D7F6C40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Primidone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5C68951C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2%</w:t>
            </w:r>
          </w:p>
        </w:tc>
      </w:tr>
      <w:tr w:rsidR="0099358C" w:rsidRPr="00664A22" w14:paraId="3CC0A966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6AF311EB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Pregabalin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0A03542B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1%</w:t>
            </w:r>
          </w:p>
        </w:tc>
      </w:tr>
      <w:tr w:rsidR="0099358C" w:rsidRPr="00664A22" w14:paraId="22D851E7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462F753D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Clobazam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25B16E11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1%</w:t>
            </w:r>
          </w:p>
        </w:tc>
      </w:tr>
      <w:tr w:rsidR="0099358C" w:rsidRPr="00664A22" w14:paraId="5657DC4E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5FCAC895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Felbamate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017DE8C7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0.3%</w:t>
            </w:r>
          </w:p>
        </w:tc>
      </w:tr>
      <w:tr w:rsidR="0099358C" w:rsidRPr="00664A22" w14:paraId="7591BBFF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03AB7727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proofErr w:type="spellStart"/>
            <w:r w:rsidRPr="00664A22">
              <w:rPr>
                <w:rFonts w:ascii="Arial" w:hAnsi="Arial" w:cs="Arial"/>
                <w:color w:val="000000"/>
              </w:rPr>
              <w:t>Eslicarbazepine</w:t>
            </w:r>
            <w:proofErr w:type="spellEnd"/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6406D7CD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0.3%</w:t>
            </w:r>
          </w:p>
        </w:tc>
      </w:tr>
      <w:tr w:rsidR="0099358C" w:rsidRPr="00664A22" w14:paraId="10CF45B9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72E60E62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Rufinamide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7EC2C367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0.2%</w:t>
            </w:r>
          </w:p>
        </w:tc>
      </w:tr>
      <w:tr w:rsidR="0099358C" w:rsidRPr="00664A22" w14:paraId="09257C51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7AB2950F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Ethosuximide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300D4BE6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0.2%</w:t>
            </w:r>
          </w:p>
        </w:tc>
      </w:tr>
      <w:tr w:rsidR="0099358C" w:rsidRPr="00664A22" w14:paraId="2812FF4F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7E1EE705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color w:val="000000"/>
              </w:rPr>
              <w:t>Tiagabine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0291A27B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0.2%</w:t>
            </w:r>
          </w:p>
        </w:tc>
      </w:tr>
      <w:tr w:rsidR="0099358C" w:rsidRPr="00664A22" w14:paraId="434ED15D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7BD93D22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proofErr w:type="spellStart"/>
            <w:r w:rsidRPr="00664A22">
              <w:rPr>
                <w:rFonts w:ascii="Arial" w:hAnsi="Arial" w:cs="Arial"/>
                <w:color w:val="000000"/>
              </w:rPr>
              <w:t>Perampanel</w:t>
            </w:r>
            <w:proofErr w:type="spellEnd"/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580B447A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0.1%</w:t>
            </w:r>
          </w:p>
        </w:tc>
      </w:tr>
      <w:tr w:rsidR="0099358C" w:rsidRPr="00664A22" w14:paraId="5ABE656C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41C2BCD8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Ezogabine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66D37F10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&lt;0.1%</w:t>
            </w:r>
          </w:p>
        </w:tc>
      </w:tr>
      <w:tr w:rsidR="0099358C" w:rsidRPr="00664A22" w14:paraId="76A4385C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5545CD8E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664A22">
              <w:rPr>
                <w:rFonts w:ascii="Arial" w:hAnsi="Arial" w:cs="Arial"/>
                <w:color w:val="000000"/>
              </w:rPr>
              <w:t>Methsuximide</w:t>
            </w:r>
            <w:proofErr w:type="spellEnd"/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71EB9AF2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&lt;0.1%</w:t>
            </w:r>
          </w:p>
        </w:tc>
      </w:tr>
      <w:tr w:rsidR="0099358C" w:rsidRPr="00664A22" w14:paraId="459E6A08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15132AC5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Brivaracetam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1B5C7919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&lt;0.1%</w:t>
            </w:r>
          </w:p>
        </w:tc>
      </w:tr>
      <w:tr w:rsidR="0099358C" w:rsidRPr="00664A22" w14:paraId="6EE05015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6956865A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Vigabatrin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376D158B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&lt;0.1%</w:t>
            </w:r>
          </w:p>
        </w:tc>
      </w:tr>
      <w:tr w:rsidR="0099358C" w:rsidRPr="00664A22" w14:paraId="4B671A4F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2E6D269F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664A22">
              <w:rPr>
                <w:rFonts w:ascii="Arial" w:hAnsi="Arial" w:cs="Arial"/>
                <w:color w:val="000000"/>
              </w:rPr>
              <w:t>Everolimus</w:t>
            </w:r>
            <w:proofErr w:type="spellEnd"/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2C6F784E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&lt;0.1%</w:t>
            </w:r>
          </w:p>
        </w:tc>
      </w:tr>
      <w:tr w:rsidR="0099358C" w:rsidRPr="00664A22" w14:paraId="4EAE2930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4D691799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proofErr w:type="spellStart"/>
            <w:r w:rsidRPr="00664A22">
              <w:rPr>
                <w:rFonts w:ascii="Arial" w:hAnsi="Arial" w:cs="Arial"/>
                <w:color w:val="000000"/>
              </w:rPr>
              <w:t>Ethotoin</w:t>
            </w:r>
            <w:proofErr w:type="spellEnd"/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53BB2CAF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color w:val="000000"/>
              </w:rPr>
              <w:t>&lt;0.1%</w:t>
            </w:r>
          </w:p>
        </w:tc>
      </w:tr>
      <w:tr w:rsidR="0099358C" w:rsidRPr="00664A22" w14:paraId="76881E6B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0A6EFAB2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Adrenocorticotropic hormone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5E94337D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0%</w:t>
            </w:r>
          </w:p>
        </w:tc>
      </w:tr>
      <w:tr w:rsidR="0099358C" w:rsidRPr="00664A22" w14:paraId="254FBE9A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5F03F12B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Cannabidiol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3547FA07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0%</w:t>
            </w:r>
          </w:p>
        </w:tc>
      </w:tr>
      <w:tr w:rsidR="0099358C" w:rsidRPr="00664A22" w14:paraId="7B4C6657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7F4FEE89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664A22">
              <w:rPr>
                <w:rFonts w:ascii="Arial" w:hAnsi="Arial" w:cs="Arial"/>
                <w:color w:val="000000"/>
              </w:rPr>
              <w:t>Cenobamate</w:t>
            </w:r>
            <w:proofErr w:type="spellEnd"/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387F00BF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0%</w:t>
            </w:r>
          </w:p>
        </w:tc>
      </w:tr>
      <w:tr w:rsidR="0099358C" w:rsidRPr="00664A22" w14:paraId="6115B660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3CFF1855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Fenfluramine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2155511E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0%</w:t>
            </w:r>
          </w:p>
        </w:tc>
      </w:tr>
      <w:tr w:rsidR="0099358C" w:rsidRPr="00664A22" w14:paraId="70C086B9" w14:textId="77777777" w:rsidTr="00CE68B2">
        <w:tc>
          <w:tcPr>
            <w:tcW w:w="3060" w:type="dxa"/>
            <w:tcBorders>
              <w:right w:val="single" w:sz="4" w:space="0" w:color="auto"/>
            </w:tcBorders>
          </w:tcPr>
          <w:p w14:paraId="19026FD9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664A22">
              <w:rPr>
                <w:rFonts w:ascii="Arial" w:hAnsi="Arial" w:cs="Arial"/>
                <w:color w:val="000000"/>
              </w:rPr>
              <w:t>Stiripentol</w:t>
            </w:r>
            <w:proofErr w:type="spellEnd"/>
          </w:p>
        </w:tc>
        <w:tc>
          <w:tcPr>
            <w:tcW w:w="3510" w:type="dxa"/>
            <w:tcBorders>
              <w:left w:val="single" w:sz="4" w:space="0" w:color="auto"/>
            </w:tcBorders>
            <w:vAlign w:val="bottom"/>
          </w:tcPr>
          <w:p w14:paraId="0D898BB0" w14:textId="77777777" w:rsidR="0099358C" w:rsidRPr="00664A22" w:rsidRDefault="0099358C" w:rsidP="00CE68B2">
            <w:pPr>
              <w:rPr>
                <w:rFonts w:ascii="Arial" w:hAnsi="Arial" w:cs="Arial"/>
                <w:color w:val="000000"/>
              </w:rPr>
            </w:pPr>
            <w:r w:rsidRPr="00664A22">
              <w:rPr>
                <w:rFonts w:ascii="Arial" w:hAnsi="Arial" w:cs="Arial"/>
                <w:color w:val="000000"/>
              </w:rPr>
              <w:t>0%</w:t>
            </w:r>
          </w:p>
        </w:tc>
      </w:tr>
    </w:tbl>
    <w:p w14:paraId="24FD525B" w14:textId="77777777" w:rsidR="0099358C" w:rsidRPr="00664A22" w:rsidRDefault="0099358C" w:rsidP="0099358C">
      <w:pPr>
        <w:spacing w:line="240" w:lineRule="auto"/>
        <w:rPr>
          <w:rFonts w:ascii="Arial" w:hAnsi="Arial" w:cs="Arial"/>
          <w:noProof/>
        </w:rPr>
      </w:pPr>
    </w:p>
    <w:p w14:paraId="254D3D4F" w14:textId="77777777" w:rsidR="0099358C" w:rsidRPr="00664A22" w:rsidRDefault="0099358C" w:rsidP="0099358C">
      <w:pPr>
        <w:spacing w:line="240" w:lineRule="auto"/>
        <w:rPr>
          <w:rFonts w:ascii="Arial" w:hAnsi="Arial" w:cs="Arial"/>
          <w:b/>
          <w:bCs/>
          <w:noProof/>
        </w:rPr>
      </w:pPr>
      <w:r w:rsidRPr="00664A22">
        <w:rPr>
          <w:rFonts w:ascii="Arial" w:hAnsi="Arial" w:cs="Arial"/>
          <w:b/>
          <w:bCs/>
          <w:noProof/>
        </w:rPr>
        <w:br w:type="page"/>
      </w:r>
    </w:p>
    <w:p w14:paraId="1F35C7C8" w14:textId="77777777" w:rsidR="0099358C" w:rsidRPr="00664A22" w:rsidRDefault="0099358C" w:rsidP="0099358C">
      <w:pPr>
        <w:spacing w:line="240" w:lineRule="auto"/>
        <w:rPr>
          <w:rFonts w:ascii="Arial" w:hAnsi="Arial" w:cs="Arial"/>
        </w:rPr>
      </w:pPr>
      <w:r w:rsidRPr="00664A22">
        <w:rPr>
          <w:rFonts w:ascii="Arial" w:hAnsi="Arial" w:cs="Arial"/>
          <w:b/>
          <w:bCs/>
          <w:noProof/>
        </w:rPr>
        <w:lastRenderedPageBreak/>
        <w:t xml:space="preserve">Supplemental Table 2: </w:t>
      </w:r>
      <w:r w:rsidRPr="00664A22">
        <w:rPr>
          <w:rFonts w:ascii="Arial" w:hAnsi="Arial" w:cs="Arial"/>
        </w:rPr>
        <w:t>International Classification of Diseases (ICD) codes</w:t>
      </w:r>
    </w:p>
    <w:p w14:paraId="6D3E1374" w14:textId="77777777" w:rsidR="0099358C" w:rsidRPr="00664A22" w:rsidRDefault="0099358C" w:rsidP="0099358C">
      <w:pPr>
        <w:spacing w:line="240" w:lineRule="auto"/>
        <w:rPr>
          <w:rFonts w:ascii="Arial" w:hAnsi="Arial" w:cs="Arial"/>
          <w:b/>
          <w:bCs/>
          <w:noProof/>
        </w:rPr>
      </w:pPr>
    </w:p>
    <w:tbl>
      <w:tblPr>
        <w:tblStyle w:val="TableGrid"/>
        <w:tblW w:w="9810" w:type="dxa"/>
        <w:tblInd w:w="-270" w:type="dxa"/>
        <w:tblLook w:val="04A0" w:firstRow="1" w:lastRow="0" w:firstColumn="1" w:lastColumn="0" w:noHBand="0" w:noVBand="1"/>
      </w:tblPr>
      <w:tblGrid>
        <w:gridCol w:w="2610"/>
        <w:gridCol w:w="3600"/>
        <w:gridCol w:w="3600"/>
      </w:tblGrid>
      <w:tr w:rsidR="0099358C" w:rsidRPr="00664A22" w14:paraId="510ECE39" w14:textId="77777777" w:rsidTr="00CE68B2">
        <w:tc>
          <w:tcPr>
            <w:tcW w:w="2610" w:type="dxa"/>
            <w:tcBorders>
              <w:top w:val="nil"/>
              <w:left w:val="nil"/>
            </w:tcBorders>
          </w:tcPr>
          <w:p w14:paraId="017D3424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600" w:type="dxa"/>
            <w:tcBorders>
              <w:top w:val="nil"/>
            </w:tcBorders>
            <w:vAlign w:val="center"/>
          </w:tcPr>
          <w:p w14:paraId="3B460B3E" w14:textId="77777777" w:rsidR="0099358C" w:rsidRPr="00664A22" w:rsidRDefault="0099358C" w:rsidP="00CE68B2">
            <w:pPr>
              <w:jc w:val="center"/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b/>
                <w:bCs/>
              </w:rPr>
              <w:t xml:space="preserve">ICD-9 </w:t>
            </w:r>
          </w:p>
          <w:p w14:paraId="092A0BEA" w14:textId="77777777" w:rsidR="0099358C" w:rsidRPr="00664A22" w:rsidRDefault="0099358C" w:rsidP="00CE68B2">
            <w:pPr>
              <w:jc w:val="center"/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b/>
                <w:bCs/>
              </w:rPr>
              <w:t>(</w:t>
            </w:r>
            <w:proofErr w:type="gramStart"/>
            <w:r w:rsidRPr="00664A22">
              <w:rPr>
                <w:rFonts w:ascii="Arial" w:hAnsi="Arial" w:cs="Arial"/>
                <w:b/>
                <w:bCs/>
              </w:rPr>
              <w:t>before</w:t>
            </w:r>
            <w:proofErr w:type="gramEnd"/>
            <w:r w:rsidRPr="00664A22">
              <w:rPr>
                <w:rFonts w:ascii="Arial" w:hAnsi="Arial" w:cs="Arial"/>
                <w:b/>
                <w:bCs/>
              </w:rPr>
              <w:t xml:space="preserve"> 10/1/2015)</w:t>
            </w:r>
          </w:p>
        </w:tc>
        <w:tc>
          <w:tcPr>
            <w:tcW w:w="3600" w:type="dxa"/>
            <w:tcBorders>
              <w:top w:val="nil"/>
              <w:right w:val="nil"/>
            </w:tcBorders>
            <w:vAlign w:val="center"/>
          </w:tcPr>
          <w:p w14:paraId="2D17CC67" w14:textId="77777777" w:rsidR="0099358C" w:rsidRPr="00664A22" w:rsidRDefault="0099358C" w:rsidP="00CE68B2">
            <w:pPr>
              <w:jc w:val="center"/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b/>
                <w:bCs/>
              </w:rPr>
              <w:t>ICD-10</w:t>
            </w:r>
          </w:p>
          <w:p w14:paraId="05094E55" w14:textId="77777777" w:rsidR="0099358C" w:rsidRPr="00664A22" w:rsidRDefault="0099358C" w:rsidP="00CE68B2">
            <w:pPr>
              <w:jc w:val="center"/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hAnsi="Arial" w:cs="Arial"/>
                <w:b/>
                <w:bCs/>
              </w:rPr>
              <w:t>(</w:t>
            </w:r>
            <w:proofErr w:type="gramStart"/>
            <w:r w:rsidRPr="00664A22">
              <w:rPr>
                <w:rFonts w:ascii="Arial" w:hAnsi="Arial" w:cs="Arial"/>
                <w:b/>
                <w:bCs/>
              </w:rPr>
              <w:t>after</w:t>
            </w:r>
            <w:proofErr w:type="gramEnd"/>
            <w:r w:rsidRPr="00664A22">
              <w:rPr>
                <w:rFonts w:ascii="Arial" w:hAnsi="Arial" w:cs="Arial"/>
                <w:b/>
                <w:bCs/>
              </w:rPr>
              <w:t xml:space="preserve"> 10/1/2015)</w:t>
            </w:r>
          </w:p>
        </w:tc>
      </w:tr>
      <w:tr w:rsidR="0099358C" w:rsidRPr="00664A22" w14:paraId="780B31BB" w14:textId="77777777" w:rsidTr="00CE68B2">
        <w:tc>
          <w:tcPr>
            <w:tcW w:w="2610" w:type="dxa"/>
            <w:tcBorders>
              <w:left w:val="nil"/>
              <w:bottom w:val="nil"/>
            </w:tcBorders>
          </w:tcPr>
          <w:p w14:paraId="400A3527" w14:textId="77777777" w:rsidR="0099358C" w:rsidRPr="00664A22" w:rsidRDefault="0099358C" w:rsidP="00CE68B2">
            <w:pPr>
              <w:rPr>
                <w:rFonts w:ascii="Arial" w:eastAsia="Times New Roman" w:hAnsi="Arial" w:cs="Arial"/>
              </w:rPr>
            </w:pPr>
            <w:r w:rsidRPr="00664A22">
              <w:rPr>
                <w:rFonts w:ascii="Arial" w:eastAsia="Times New Roman" w:hAnsi="Arial" w:cs="Arial"/>
              </w:rPr>
              <w:t>Cardiac arrest</w:t>
            </w:r>
          </w:p>
        </w:tc>
        <w:tc>
          <w:tcPr>
            <w:tcW w:w="3600" w:type="dxa"/>
            <w:tcBorders>
              <w:bottom w:val="nil"/>
            </w:tcBorders>
          </w:tcPr>
          <w:p w14:paraId="62A5E7D7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shd w:val="clear" w:color="auto" w:fill="FFFFFF"/>
              </w:rPr>
              <w:t>427.41, 427.42, 427.5X</w:t>
            </w:r>
          </w:p>
        </w:tc>
        <w:tc>
          <w:tcPr>
            <w:tcW w:w="3600" w:type="dxa"/>
            <w:tcBorders>
              <w:bottom w:val="nil"/>
              <w:right w:val="nil"/>
            </w:tcBorders>
          </w:tcPr>
          <w:p w14:paraId="11BC18AC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shd w:val="clear" w:color="auto" w:fill="FFFFFF"/>
              </w:rPr>
              <w:t>I46.XX, Z86.74</w:t>
            </w:r>
          </w:p>
        </w:tc>
      </w:tr>
      <w:tr w:rsidR="0099358C" w:rsidRPr="00664A22" w14:paraId="46B5F651" w14:textId="77777777" w:rsidTr="00CE68B2">
        <w:tc>
          <w:tcPr>
            <w:tcW w:w="2610" w:type="dxa"/>
            <w:tcBorders>
              <w:left w:val="nil"/>
            </w:tcBorders>
          </w:tcPr>
          <w:p w14:paraId="607FDC6D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eastAsia="Times New Roman" w:hAnsi="Arial" w:cs="Arial"/>
              </w:rPr>
              <w:t>Central nervous system tumor</w:t>
            </w:r>
          </w:p>
        </w:tc>
        <w:tc>
          <w:tcPr>
            <w:tcW w:w="3600" w:type="dxa"/>
          </w:tcPr>
          <w:p w14:paraId="2438276D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shd w:val="clear" w:color="auto" w:fill="FFFFFF"/>
              </w:rPr>
              <w:t>191.XX, 239.6X, 198.3X</w:t>
            </w:r>
          </w:p>
        </w:tc>
        <w:tc>
          <w:tcPr>
            <w:tcW w:w="3600" w:type="dxa"/>
            <w:tcBorders>
              <w:right w:val="nil"/>
            </w:tcBorders>
          </w:tcPr>
          <w:p w14:paraId="194D54AB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shd w:val="clear" w:color="auto" w:fill="FFFFFF"/>
              </w:rPr>
              <w:t>C71.XX</w:t>
            </w:r>
          </w:p>
        </w:tc>
      </w:tr>
      <w:tr w:rsidR="0099358C" w:rsidRPr="00664A22" w14:paraId="39C0CEE6" w14:textId="77777777" w:rsidTr="00CE68B2">
        <w:tc>
          <w:tcPr>
            <w:tcW w:w="2610" w:type="dxa"/>
            <w:tcBorders>
              <w:left w:val="nil"/>
            </w:tcBorders>
          </w:tcPr>
          <w:p w14:paraId="4DB7653B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Dementia</w:t>
            </w:r>
          </w:p>
        </w:tc>
        <w:tc>
          <w:tcPr>
            <w:tcW w:w="3600" w:type="dxa"/>
          </w:tcPr>
          <w:p w14:paraId="0FB3602E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290.0X, 290.1X, 290.2X, 290.3X, 290.4X, 294.0X, 294.1X, 294.2X, 294.8X, 331.0X, 331.2X, 331.7X, 331.82, 797.XX</w:t>
            </w:r>
          </w:p>
        </w:tc>
        <w:tc>
          <w:tcPr>
            <w:tcW w:w="3600" w:type="dxa"/>
            <w:tcBorders>
              <w:right w:val="nil"/>
            </w:tcBorders>
          </w:tcPr>
          <w:p w14:paraId="6F7D6CB8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shd w:val="clear" w:color="auto" w:fill="FFFFFF"/>
              </w:rPr>
              <w:t>F03.90, F01.50, F01.51, F04.XX, F02.80, F02.81, F03.91, F06.1X, F06.8X, G30.0X, G30.1X, G30.8X, G30.9X, G31.0X, G31.1X, G94.XX, G31.83, R41.81</w:t>
            </w:r>
          </w:p>
        </w:tc>
      </w:tr>
      <w:tr w:rsidR="0099358C" w:rsidRPr="00664A22" w14:paraId="6B59C303" w14:textId="77777777" w:rsidTr="00CE68B2">
        <w:tc>
          <w:tcPr>
            <w:tcW w:w="2610" w:type="dxa"/>
            <w:tcBorders>
              <w:left w:val="nil"/>
            </w:tcBorders>
          </w:tcPr>
          <w:p w14:paraId="34CE115E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Epilepsy/convulsions</w:t>
            </w:r>
          </w:p>
        </w:tc>
        <w:tc>
          <w:tcPr>
            <w:tcW w:w="3600" w:type="dxa"/>
          </w:tcPr>
          <w:p w14:paraId="607D0562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-Epilepsy: 345.xx</w:t>
            </w:r>
          </w:p>
          <w:p w14:paraId="37447052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-Convulsions: 780.3x</w:t>
            </w:r>
          </w:p>
        </w:tc>
        <w:tc>
          <w:tcPr>
            <w:tcW w:w="3600" w:type="dxa"/>
            <w:tcBorders>
              <w:right w:val="nil"/>
            </w:tcBorders>
          </w:tcPr>
          <w:p w14:paraId="5795CCF5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-Epilepsy: G40.XX</w:t>
            </w:r>
          </w:p>
          <w:p w14:paraId="28E4C4AC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-Convulsions: R56.XX</w:t>
            </w:r>
          </w:p>
        </w:tc>
      </w:tr>
      <w:tr w:rsidR="0099358C" w:rsidRPr="00664A22" w14:paraId="7FB56221" w14:textId="77777777" w:rsidTr="00CE68B2">
        <w:tc>
          <w:tcPr>
            <w:tcW w:w="2610" w:type="dxa"/>
            <w:tcBorders>
              <w:left w:val="nil"/>
            </w:tcBorders>
          </w:tcPr>
          <w:p w14:paraId="6D9B43B2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Focal/generalized epilepsy</w:t>
            </w:r>
          </w:p>
        </w:tc>
        <w:tc>
          <w:tcPr>
            <w:tcW w:w="3600" w:type="dxa"/>
          </w:tcPr>
          <w:p w14:paraId="7880FC5F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-Focal: 345.4X, 345.5X, 345.7X</w:t>
            </w:r>
          </w:p>
          <w:p w14:paraId="075EBA55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-Generalized: 345.0X, 345.1X, 345.6X</w:t>
            </w:r>
          </w:p>
        </w:tc>
        <w:tc>
          <w:tcPr>
            <w:tcW w:w="3600" w:type="dxa"/>
            <w:tcBorders>
              <w:right w:val="nil"/>
            </w:tcBorders>
          </w:tcPr>
          <w:p w14:paraId="581EFF0F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-Focal: G40.0X, G40.1X, G40.2X</w:t>
            </w:r>
          </w:p>
          <w:p w14:paraId="382BB46C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-Generalized: G403.x, G404.x, G40.AX, G40.BX, G40.81X, G40.82X</w:t>
            </w:r>
          </w:p>
        </w:tc>
      </w:tr>
      <w:tr w:rsidR="0099358C" w:rsidRPr="00664A22" w14:paraId="0E7D0C36" w14:textId="77777777" w:rsidTr="00CE68B2">
        <w:tc>
          <w:tcPr>
            <w:tcW w:w="2610" w:type="dxa"/>
            <w:tcBorders>
              <w:left w:val="nil"/>
            </w:tcBorders>
          </w:tcPr>
          <w:p w14:paraId="6C829674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eastAsia="Times New Roman" w:hAnsi="Arial" w:cs="Arial"/>
              </w:rPr>
              <w:t>Intracranial hemorrhage</w:t>
            </w:r>
          </w:p>
        </w:tc>
        <w:tc>
          <w:tcPr>
            <w:tcW w:w="3600" w:type="dxa"/>
          </w:tcPr>
          <w:p w14:paraId="68D2D3C1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shd w:val="clear" w:color="auto" w:fill="FFFFFF"/>
              </w:rPr>
              <w:t>430.XX, 431.XX, 432.XX</w:t>
            </w:r>
          </w:p>
        </w:tc>
        <w:tc>
          <w:tcPr>
            <w:tcW w:w="3600" w:type="dxa"/>
            <w:tcBorders>
              <w:right w:val="nil"/>
            </w:tcBorders>
          </w:tcPr>
          <w:p w14:paraId="7B127770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shd w:val="clear" w:color="auto" w:fill="FFFFFF"/>
              </w:rPr>
              <w:t>I60.XX, I61.XX, I62.XX, I69.0X, I69.1X, I69.2X, S06.4X, S06.5X, S06.6X</w:t>
            </w:r>
          </w:p>
        </w:tc>
      </w:tr>
      <w:tr w:rsidR="0099358C" w:rsidRPr="00664A22" w14:paraId="75D0F9F1" w14:textId="77777777" w:rsidTr="00CE68B2">
        <w:tc>
          <w:tcPr>
            <w:tcW w:w="2610" w:type="dxa"/>
            <w:tcBorders>
              <w:left w:val="nil"/>
            </w:tcBorders>
          </w:tcPr>
          <w:p w14:paraId="6E4A254B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eastAsia="Times New Roman" w:hAnsi="Arial" w:cs="Arial"/>
              </w:rPr>
              <w:t>Ischemic stroke</w:t>
            </w:r>
          </w:p>
        </w:tc>
        <w:tc>
          <w:tcPr>
            <w:tcW w:w="3600" w:type="dxa"/>
          </w:tcPr>
          <w:p w14:paraId="2D85987F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shd w:val="clear" w:color="auto" w:fill="FFFFFF"/>
              </w:rPr>
              <w:t>433.01, 433.11, 43321, 433.31, 433.81, 433.91, 434.01, 434.11, 434.91, 436.XX</w:t>
            </w:r>
          </w:p>
        </w:tc>
        <w:tc>
          <w:tcPr>
            <w:tcW w:w="3600" w:type="dxa"/>
            <w:tcBorders>
              <w:right w:val="nil"/>
            </w:tcBorders>
          </w:tcPr>
          <w:p w14:paraId="7938097D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shd w:val="clear" w:color="auto" w:fill="FFFFFF"/>
              </w:rPr>
              <w:t>I63.XX, I69.3X</w:t>
            </w:r>
          </w:p>
        </w:tc>
      </w:tr>
      <w:tr w:rsidR="0099358C" w:rsidRPr="00664A22" w14:paraId="284C0434" w14:textId="77777777" w:rsidTr="00CE68B2">
        <w:tc>
          <w:tcPr>
            <w:tcW w:w="2610" w:type="dxa"/>
            <w:tcBorders>
              <w:left w:val="nil"/>
            </w:tcBorders>
          </w:tcPr>
          <w:p w14:paraId="6D11845D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eastAsia="Times New Roman" w:hAnsi="Arial" w:cs="Arial"/>
              </w:rPr>
              <w:t>Meningoencephalitis</w:t>
            </w:r>
          </w:p>
        </w:tc>
        <w:tc>
          <w:tcPr>
            <w:tcW w:w="3600" w:type="dxa"/>
          </w:tcPr>
          <w:p w14:paraId="540FE0B1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shd w:val="clear" w:color="auto" w:fill="FFFFFF"/>
              </w:rPr>
              <w:t>320.XX, 321.XX, 322.XX, 323.XX</w:t>
            </w:r>
          </w:p>
        </w:tc>
        <w:tc>
          <w:tcPr>
            <w:tcW w:w="3600" w:type="dxa"/>
            <w:tcBorders>
              <w:right w:val="nil"/>
            </w:tcBorders>
          </w:tcPr>
          <w:p w14:paraId="002BB85A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  <w:shd w:val="clear" w:color="auto" w:fill="FFFFFF"/>
              </w:rPr>
              <w:t>G04.0X, G04.2X, G04.3X, G04.81, G04.90, G03.XX</w:t>
            </w:r>
          </w:p>
        </w:tc>
      </w:tr>
      <w:tr w:rsidR="0099358C" w:rsidRPr="00664A22" w14:paraId="2EB38312" w14:textId="77777777" w:rsidTr="00CE68B2">
        <w:tc>
          <w:tcPr>
            <w:tcW w:w="2610" w:type="dxa"/>
            <w:tcBorders>
              <w:left w:val="nil"/>
              <w:bottom w:val="single" w:sz="4" w:space="0" w:color="auto"/>
            </w:tcBorders>
          </w:tcPr>
          <w:p w14:paraId="0749F884" w14:textId="77777777" w:rsidR="0099358C" w:rsidRPr="00664A22" w:rsidRDefault="0099358C" w:rsidP="00CE68B2">
            <w:pPr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Refractory epilepsy</w:t>
            </w: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14:paraId="3BCF959A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345.01, 345.11, 345.41, 345.51, 345.61, 345.71, 345.81, 345.91</w:t>
            </w:r>
          </w:p>
        </w:tc>
        <w:tc>
          <w:tcPr>
            <w:tcW w:w="3600" w:type="dxa"/>
            <w:tcBorders>
              <w:bottom w:val="single" w:sz="4" w:space="0" w:color="auto"/>
              <w:right w:val="nil"/>
            </w:tcBorders>
          </w:tcPr>
          <w:p w14:paraId="25AB10E2" w14:textId="77777777" w:rsidR="0099358C" w:rsidRPr="00664A22" w:rsidRDefault="0099358C" w:rsidP="00CE68B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hd w:val="clear" w:color="auto" w:fill="FFFFFF"/>
              </w:rPr>
            </w:pPr>
            <w:r w:rsidRPr="00664A22">
              <w:rPr>
                <w:rFonts w:ascii="Arial" w:hAnsi="Arial" w:cs="Arial"/>
                <w:shd w:val="clear" w:color="auto" w:fill="FFFFFF"/>
              </w:rPr>
              <w:t>G40.01, G40.11, G40.21, G40.31, G40.A1, G40.B1, G40.41, G40.803, G40.804, G40.813, G40.814, G40.823, G40.824, G40.91</w:t>
            </w:r>
          </w:p>
        </w:tc>
      </w:tr>
      <w:tr w:rsidR="0099358C" w:rsidRPr="00664A22" w14:paraId="5C619277" w14:textId="77777777" w:rsidTr="00CE68B2">
        <w:tc>
          <w:tcPr>
            <w:tcW w:w="2610" w:type="dxa"/>
            <w:tcBorders>
              <w:left w:val="nil"/>
              <w:bottom w:val="nil"/>
            </w:tcBorders>
          </w:tcPr>
          <w:p w14:paraId="37B822A1" w14:textId="77777777" w:rsidR="0099358C" w:rsidRPr="00664A22" w:rsidRDefault="0099358C" w:rsidP="00CE68B2">
            <w:pPr>
              <w:rPr>
                <w:rFonts w:ascii="Arial" w:hAnsi="Arial" w:cs="Arial"/>
                <w:b/>
                <w:bCs/>
              </w:rPr>
            </w:pPr>
            <w:r w:rsidRPr="00664A22">
              <w:rPr>
                <w:rFonts w:ascii="Arial" w:eastAsia="Times New Roman" w:hAnsi="Arial" w:cs="Arial"/>
              </w:rPr>
              <w:t>Traumatic brain injury</w:t>
            </w:r>
          </w:p>
        </w:tc>
        <w:tc>
          <w:tcPr>
            <w:tcW w:w="3600" w:type="dxa"/>
            <w:tcBorders>
              <w:bottom w:val="nil"/>
            </w:tcBorders>
          </w:tcPr>
          <w:p w14:paraId="2E155334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800.XX, 801.XX, 802.XX, 803.XX, 804.XX, 850.XX</w:t>
            </w:r>
          </w:p>
        </w:tc>
        <w:tc>
          <w:tcPr>
            <w:tcW w:w="3600" w:type="dxa"/>
            <w:tcBorders>
              <w:bottom w:val="nil"/>
              <w:right w:val="nil"/>
            </w:tcBorders>
          </w:tcPr>
          <w:p w14:paraId="0325CE22" w14:textId="77777777" w:rsidR="0099358C" w:rsidRPr="00664A22" w:rsidRDefault="0099358C" w:rsidP="00CE68B2">
            <w:pPr>
              <w:jc w:val="center"/>
              <w:rPr>
                <w:rFonts w:ascii="Arial" w:hAnsi="Arial" w:cs="Arial"/>
              </w:rPr>
            </w:pPr>
            <w:r w:rsidRPr="00664A22">
              <w:rPr>
                <w:rFonts w:ascii="Arial" w:hAnsi="Arial" w:cs="Arial"/>
              </w:rPr>
              <w:t>S02.0X, S02.1X, S02.8X, S02.91, S04.02, S04.03, S04.04, S06.XX, S07.1</w:t>
            </w:r>
          </w:p>
        </w:tc>
      </w:tr>
    </w:tbl>
    <w:p w14:paraId="263CCE34" w14:textId="77777777" w:rsidR="0099358C" w:rsidRPr="00664A22" w:rsidRDefault="0099358C" w:rsidP="0099358C">
      <w:pPr>
        <w:spacing w:line="240" w:lineRule="auto"/>
        <w:rPr>
          <w:rFonts w:ascii="Arial" w:hAnsi="Arial" w:cs="Arial"/>
          <w:b/>
          <w:bCs/>
          <w:noProof/>
        </w:rPr>
      </w:pPr>
    </w:p>
    <w:p w14:paraId="05BF6BBF" w14:textId="77777777" w:rsidR="0099358C" w:rsidRPr="00664A22" w:rsidRDefault="0099358C" w:rsidP="0099358C">
      <w:pPr>
        <w:spacing w:line="240" w:lineRule="auto"/>
        <w:rPr>
          <w:rFonts w:ascii="Arial" w:hAnsi="Arial" w:cs="Arial"/>
          <w:b/>
          <w:bCs/>
          <w:noProof/>
        </w:rPr>
      </w:pPr>
    </w:p>
    <w:p w14:paraId="1B954379" w14:textId="77777777" w:rsidR="0099358C" w:rsidRPr="00664A22" w:rsidRDefault="0099358C" w:rsidP="0099358C">
      <w:pPr>
        <w:spacing w:line="240" w:lineRule="auto"/>
        <w:rPr>
          <w:rFonts w:ascii="Arial" w:hAnsi="Arial" w:cs="Arial"/>
          <w:noProof/>
        </w:rPr>
      </w:pPr>
    </w:p>
    <w:p w14:paraId="73274227" w14:textId="77777777" w:rsidR="00667E17" w:rsidRDefault="0099358C"/>
    <w:sectPr w:rsidR="00667E17" w:rsidSect="006E3DDB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48943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4A3E91" w14:textId="77777777" w:rsidR="00F155C5" w:rsidRDefault="0099358C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34F10B3" w14:textId="77777777" w:rsidR="00F155C5" w:rsidRDefault="0099358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58C"/>
    <w:rsid w:val="00434D4D"/>
    <w:rsid w:val="006D3089"/>
    <w:rsid w:val="00993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29677"/>
  <w15:chartTrackingRefBased/>
  <w15:docId w15:val="{FBCB26F1-0686-4740-8175-A0F8C970E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58C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9358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358C"/>
  </w:style>
  <w:style w:type="table" w:styleId="TableGrid">
    <w:name w:val="Table Grid"/>
    <w:basedOn w:val="TableNormal"/>
    <w:uiPriority w:val="39"/>
    <w:rsid w:val="009935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935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Terman, Samuel (Sam)</dc:creator>
  <cp:keywords/>
  <dc:description/>
  <cp:lastModifiedBy>Terman, Samuel (Sam)</cp:lastModifiedBy>
  <cp:revision>1</cp:revision>
  <dcterms:created xsi:type="dcterms:W3CDTF">2022-04-26T15:00:00Z</dcterms:created>
  <dcterms:modified xsi:type="dcterms:W3CDTF">2022-04-26T15:00:00Z</dcterms:modified>
</cp:coreProperties>
</file>