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Default Extension="wmf" ContentType="image/x-wmf"/>
  <Override PartName="/word/styles.xml" ContentType="application/vnd.openxmlformats-officedocument.wordprocessingml.styles+xml"/>
  <Override PartName="/word/numbering.xml" ContentType="application/vnd.openxmlformats-officedocument.wordprocessingml.numbering+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tabs>
          <w:tab w:val="left" w:pos="7938" w:leader="none"/>
        </w:tabs>
        <w:spacing w:before="0" w:after="0" w:line="360"/>
        <w:ind w:right="0" w:left="0" w:firstLine="0"/>
        <w:jc w:val="both"/>
        <w:rPr>
          <w:rFonts w:ascii="Arial" w:hAnsi="Arial" w:cs="Arial" w:eastAsia="Arial"/>
          <w:b/>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Supplementary Informtion</w:t>
      </w:r>
    </w:p>
    <w:p>
      <w:pPr>
        <w:spacing w:before="0" w:after="0" w:line="360"/>
        <w:ind w:right="0" w:left="0" w:firstLine="0"/>
        <w:jc w:val="both"/>
        <w:rPr>
          <w:rFonts w:ascii="Arial" w:hAnsi="Arial" w:cs="Arial" w:eastAsia="Arial"/>
          <w:b/>
          <w:color w:val="auto"/>
          <w:spacing w:val="0"/>
          <w:position w:val="0"/>
          <w:sz w:val="24"/>
          <w:shd w:fill="auto" w:val="clear"/>
          <w:vertAlign w:val="superscript"/>
        </w:rPr>
      </w:pPr>
    </w:p>
    <w:p>
      <w:pPr>
        <w:spacing w:before="0" w:after="0" w:line="360"/>
        <w:ind w:right="0" w:left="0" w:firstLine="0"/>
        <w:jc w:val="both"/>
        <w:rPr>
          <w:rFonts w:ascii="Arial" w:hAnsi="Arial" w:cs="Arial" w:eastAsia="Arial"/>
          <w:b/>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Cellular and Molecular Life Sciences</w:t>
      </w:r>
    </w:p>
    <w:p>
      <w:pPr>
        <w:spacing w:before="0" w:after="0" w:line="360"/>
        <w:ind w:right="0" w:left="0" w:firstLine="0"/>
        <w:jc w:val="both"/>
        <w:rPr>
          <w:rFonts w:ascii="Arial" w:hAnsi="Arial" w:cs="Arial" w:eastAsia="Arial"/>
          <w:b/>
          <w:color w:val="auto"/>
          <w:spacing w:val="0"/>
          <w:position w:val="0"/>
          <w:sz w:val="24"/>
          <w:shd w:fill="auto" w:val="clear"/>
          <w:vertAlign w:val="superscript"/>
        </w:rPr>
      </w:pPr>
    </w:p>
    <w:p>
      <w:pPr>
        <w:spacing w:before="0" w:after="0" w:line="360"/>
        <w:ind w:right="0" w:left="0" w:firstLine="0"/>
        <w:jc w:val="center"/>
        <w:rPr>
          <w:rFonts w:ascii="Arial" w:hAnsi="Arial" w:cs="Arial" w:eastAsia="Arial"/>
          <w:b/>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Mechanistic characterization of cardiac actin mutants causing hypertrophic (p.A295S) and dilative cardiomyopathy (p.R312H and p.E361G)</w:t>
      </w:r>
    </w:p>
    <w:p>
      <w:pPr>
        <w:spacing w:before="0" w:after="0" w:line="360"/>
        <w:ind w:right="0" w:left="0" w:firstLine="0"/>
        <w:jc w:val="center"/>
        <w:rPr>
          <w:rFonts w:ascii="Arial" w:hAnsi="Arial" w:cs="Arial" w:eastAsia="Arial"/>
          <w:color w:val="auto"/>
          <w:spacing w:val="0"/>
          <w:position w:val="0"/>
          <w:sz w:val="24"/>
          <w:shd w:fill="auto" w:val="clear"/>
          <w:vertAlign w:val="superscript"/>
        </w:rPr>
      </w:pPr>
    </w:p>
    <w:p>
      <w:pPr>
        <w:spacing w:before="0" w:after="0" w:line="360"/>
        <w:ind w:right="284" w:left="0" w:firstLine="0"/>
        <w:jc w:val="center"/>
        <w:rPr>
          <w:rFonts w:ascii="Arial" w:hAnsi="Arial" w:cs="Arial" w:eastAsia="Arial"/>
          <w:b/>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Constanze Erdmann1*), Roua Hassoun2*), Sebastian Schmitt3), Setsuko Fujita-Becker4), Antonina J. Mazur5), Andreas Mügge2), Rasmus R.Schröder4), Matthias Geyer3), Kornelia Jaquet2), and Hans Georg Mannherz1,2)</w:t>
      </w:r>
    </w:p>
    <w:p>
      <w:pPr>
        <w:spacing w:before="0" w:after="0" w:line="360"/>
        <w:ind w:right="0" w:left="0" w:firstLine="0"/>
        <w:jc w:val="both"/>
        <w:rPr>
          <w:rFonts w:ascii="Arial" w:hAnsi="Arial" w:cs="Arial" w:eastAsia="Arial"/>
          <w:color w:val="auto"/>
          <w:spacing w:val="0"/>
          <w:position w:val="0"/>
          <w:sz w:val="24"/>
          <w:shd w:fill="auto" w:val="clear"/>
          <w:vertAlign w:val="superscript"/>
        </w:rPr>
      </w:pPr>
    </w:p>
    <w:p>
      <w:pPr>
        <w:spacing w:before="0" w:after="0" w:line="360"/>
        <w:ind w:right="0" w:left="0" w:firstLine="0"/>
        <w:jc w:val="both"/>
        <w:rPr>
          <w:rFonts w:ascii="Arial" w:hAnsi="Arial" w:cs="Arial" w:eastAsia="Arial"/>
          <w:color w:val="auto"/>
          <w:spacing w:val="0"/>
          <w:position w:val="0"/>
          <w:sz w:val="24"/>
          <w:shd w:fill="auto" w:val="clear"/>
          <w:vertAlign w:val="superscript"/>
        </w:rPr>
      </w:pPr>
    </w:p>
    <w:p>
      <w:pPr>
        <w:spacing w:before="0" w:after="0" w:line="360"/>
        <w:ind w:right="0" w:left="0" w:firstLine="0"/>
        <w:jc w:val="both"/>
        <w:rPr>
          <w:rFonts w:ascii="Arial" w:hAnsi="Arial" w:cs="Arial" w:eastAsia="Arial"/>
          <w:color w:val="auto"/>
          <w:spacing w:val="0"/>
          <w:position w:val="0"/>
          <w:sz w:val="24"/>
          <w:shd w:fill="auto" w:val="clear"/>
          <w:vertAlign w:val="superscript"/>
        </w:rPr>
      </w:pPr>
    </w:p>
    <w:p>
      <w:pPr>
        <w:spacing w:before="0" w:after="0" w:line="360"/>
        <w:ind w:right="0" w:left="0" w:firstLine="0"/>
        <w:jc w:val="both"/>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1) Department of Anatomy and Molecular Embryology, Medical Faculty, Ruhr-University Bochum, Germany; 2) Molecular and Experimental Cardiology, Bergmannsheil and St. Josef Hospital, Clinics of the Ruhr-University Bochum, Germany; 3) Institute of Structural Biology, University of Bonn, Bonn, Germany; 4) Cryoelectron Microscopy, BioQuant, Medical Faculty, University of Heidelberg, Germany; 5) Department of Cell Pathology, Faculty of Biotechnology, University of Wroclaw, Poland</w:t>
      </w:r>
    </w:p>
    <w:p>
      <w:pPr>
        <w:spacing w:before="0" w:after="0" w:line="360"/>
        <w:ind w:right="0" w:left="0" w:firstLine="0"/>
        <w:jc w:val="both"/>
        <w:rPr>
          <w:rFonts w:ascii="Arial" w:hAnsi="Arial" w:cs="Arial" w:eastAsia="Arial"/>
          <w:color w:val="auto"/>
          <w:spacing w:val="0"/>
          <w:position w:val="0"/>
          <w:sz w:val="24"/>
          <w:shd w:fill="auto" w:val="clear"/>
          <w:vertAlign w:val="superscript"/>
        </w:rPr>
      </w:pPr>
    </w:p>
    <w:p>
      <w:pPr>
        <w:spacing w:before="0" w:after="0" w:line="360"/>
        <w:ind w:right="0" w:left="0" w:firstLine="0"/>
        <w:jc w:val="both"/>
        <w:rPr>
          <w:rFonts w:ascii="Arial" w:hAnsi="Arial" w:cs="Arial" w:eastAsia="Arial"/>
          <w:color w:val="auto"/>
          <w:spacing w:val="0"/>
          <w:position w:val="0"/>
          <w:sz w:val="24"/>
          <w:shd w:fill="auto" w:val="clear"/>
          <w:vertAlign w:val="superscript"/>
        </w:rPr>
      </w:pPr>
    </w:p>
    <w:p>
      <w:pPr>
        <w:spacing w:before="0" w:after="0" w:line="360"/>
        <w:ind w:right="0" w:left="0" w:firstLine="0"/>
        <w:jc w:val="both"/>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Corresponding author:  Prof. Dr. Hans Georg Mannherz, </w:t>
      </w:r>
    </w:p>
    <w:p>
      <w:pPr>
        <w:spacing w:before="0" w:after="0" w:line="360"/>
        <w:ind w:right="0" w:left="0" w:firstLine="0"/>
        <w:jc w:val="both"/>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Department of Anatomy and Molecular Embryology and of Molecular and Experimental Cardiology, Bergmannsheil and St. Josef Hospital, Clinics of the Ruhr-University Bochum, Germany.     </w:t>
      </w:r>
    </w:p>
    <w:p>
      <w:pPr>
        <w:spacing w:before="0" w:after="0" w:line="360"/>
        <w:ind w:right="0" w:left="0" w:firstLine="0"/>
        <w:jc w:val="both"/>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Email: hans.g.mannherz@rub.de; Fax +49 234 3214474</w:t>
      </w:r>
    </w:p>
    <w:p>
      <w:pPr>
        <w:spacing w:before="0" w:after="0" w:line="360"/>
        <w:ind w:right="0" w:left="0" w:firstLine="0"/>
        <w:jc w:val="both"/>
        <w:rPr>
          <w:rFonts w:ascii="Arial" w:hAnsi="Arial" w:cs="Arial" w:eastAsia="Arial"/>
          <w:b/>
          <w:color w:val="auto"/>
          <w:spacing w:val="0"/>
          <w:position w:val="0"/>
          <w:sz w:val="24"/>
          <w:shd w:fill="auto" w:val="clear"/>
          <w:vertAlign w:val="superscript"/>
        </w:rPr>
      </w:pPr>
    </w:p>
    <w:p>
      <w:pPr>
        <w:spacing w:before="0" w:after="0" w:line="360"/>
        <w:ind w:right="0" w:left="0" w:firstLine="0"/>
        <w:jc w:val="both"/>
        <w:rPr>
          <w:rFonts w:ascii="Arial" w:hAnsi="Arial" w:cs="Arial" w:eastAsia="Arial"/>
          <w:color w:val="auto"/>
          <w:spacing w:val="0"/>
          <w:position w:val="0"/>
          <w:sz w:val="16"/>
          <w:shd w:fill="auto" w:val="clear"/>
          <w:vertAlign w:val="superscript"/>
        </w:rPr>
      </w:pPr>
      <w:r>
        <w:rPr>
          <w:rFonts w:ascii="Arial" w:hAnsi="Arial" w:cs="Arial" w:eastAsia="Arial"/>
          <w:color w:val="auto"/>
          <w:spacing w:val="0"/>
          <w:position w:val="0"/>
          <w:sz w:val="16"/>
          <w:shd w:fill="auto" w:val="clear"/>
          <w:vertAlign w:val="superscript"/>
        </w:rPr>
        <w:t xml:space="preserve">1*) Both authors contributed equally to this work</w:t>
      </w:r>
    </w:p>
    <w:p>
      <w:pPr>
        <w:spacing w:before="0" w:after="0" w:line="360"/>
        <w:ind w:right="0" w:left="0" w:firstLine="0"/>
        <w:jc w:val="both"/>
        <w:rPr>
          <w:rFonts w:ascii="Arial" w:hAnsi="Arial" w:cs="Arial" w:eastAsia="Arial"/>
          <w:b/>
          <w:color w:val="auto"/>
          <w:spacing w:val="0"/>
          <w:position w:val="0"/>
          <w:sz w:val="24"/>
          <w:shd w:fill="auto" w:val="clear"/>
          <w:vertAlign w:val="superscript"/>
        </w:rPr>
      </w:pPr>
    </w:p>
    <w:p>
      <w:pPr>
        <w:spacing w:before="0" w:after="0" w:line="360"/>
        <w:ind w:right="0" w:left="0" w:firstLine="0"/>
        <w:jc w:val="both"/>
        <w:rPr>
          <w:rFonts w:ascii="Arial" w:hAnsi="Arial" w:cs="Arial" w:eastAsia="Arial"/>
          <w:b/>
          <w:color w:val="auto"/>
          <w:spacing w:val="0"/>
          <w:position w:val="0"/>
          <w:sz w:val="24"/>
          <w:shd w:fill="auto" w:val="clear"/>
          <w:vertAlign w:val="superscript"/>
        </w:rPr>
      </w:pPr>
    </w:p>
    <w:p>
      <w:pPr>
        <w:spacing w:before="0" w:after="0" w:line="360"/>
        <w:ind w:right="0" w:left="0" w:firstLine="0"/>
        <w:jc w:val="both"/>
        <w:rPr>
          <w:rFonts w:ascii="Arial" w:hAnsi="Arial" w:cs="Arial" w:eastAsia="Arial"/>
          <w:b/>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Materials and Methods</w:t>
      </w:r>
    </w:p>
    <w:p>
      <w:pPr>
        <w:spacing w:before="0" w:after="0" w:line="360"/>
        <w:ind w:right="0" w:left="0" w:firstLine="0"/>
        <w:jc w:val="both"/>
        <w:rPr>
          <w:rFonts w:ascii="Arial" w:hAnsi="Arial" w:cs="Arial" w:eastAsia="Arial"/>
          <w:b/>
          <w:color w:val="auto"/>
          <w:spacing w:val="0"/>
          <w:position w:val="0"/>
          <w:sz w:val="24"/>
          <w:shd w:fill="auto" w:val="clear"/>
          <w:vertAlign w:val="superscript"/>
        </w:rPr>
      </w:pPr>
    </w:p>
    <w:p>
      <w:pPr>
        <w:spacing w:before="0" w:after="0" w:line="360"/>
        <w:ind w:right="-2" w:left="0" w:firstLine="0"/>
        <w:jc w:val="both"/>
        <w:rPr>
          <w:rFonts w:ascii="Arial" w:hAnsi="Arial" w:cs="Arial" w:eastAsia="Arial"/>
          <w:b/>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Protein expression and purification</w:t>
      </w:r>
    </w:p>
    <w:p>
      <w:pPr>
        <w:spacing w:before="0" w:after="0" w:line="360"/>
        <w:ind w:right="-2" w:left="0" w:firstLine="0"/>
        <w:jc w:val="both"/>
        <w:rPr>
          <w:rFonts w:ascii="Arial" w:hAnsi="Arial" w:cs="Arial" w:eastAsia="Arial"/>
          <w:b/>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Purification of rabbit skeletal and bovine cardiac actin:</w:t>
      </w:r>
      <w:r>
        <w:rPr>
          <w:rFonts w:ascii="Arial" w:hAnsi="Arial" w:cs="Arial" w:eastAsia="Arial"/>
          <w:color w:val="auto"/>
          <w:spacing w:val="0"/>
          <w:position w:val="0"/>
          <w:sz w:val="24"/>
          <w:shd w:fill="auto" w:val="clear"/>
          <w:vertAlign w:val="superscript"/>
        </w:rPr>
        <w:t xml:space="preserve"> </w:t>
      </w:r>
      <w:r>
        <w:rPr>
          <w:rFonts w:ascii="Arial" w:hAnsi="Arial" w:cs="Arial" w:eastAsia="Arial"/>
          <w:b/>
          <w:color w:val="auto"/>
          <w:spacing w:val="0"/>
          <w:position w:val="0"/>
          <w:sz w:val="24"/>
          <w:shd w:fill="auto" w:val="clear"/>
          <w:vertAlign w:val="superscript"/>
        </w:rPr>
        <w:t xml:space="preserve"> </w:t>
      </w:r>
      <w:r>
        <w:rPr>
          <w:rFonts w:ascii="Arial" w:hAnsi="Arial" w:cs="Arial" w:eastAsia="Arial"/>
          <w:color w:val="auto"/>
          <w:spacing w:val="0"/>
          <w:position w:val="0"/>
          <w:sz w:val="24"/>
          <w:shd w:fill="auto" w:val="clear"/>
          <w:vertAlign w:val="superscript"/>
        </w:rPr>
        <w:t xml:space="preserve">Rabbit skeletal muscle and bovine c-actin were prepared from dried acetone powder obtained from fresh rabbit psoas muscle or bovine hearts (obtained from the local slaughterhouse) as described [8]. G-actin was stored in G-buffer (5 mM HEPES-OH, pH 7.4, 0.1 mM CaCl</w:t>
      </w:r>
      <w:r>
        <w:rPr>
          <w:rFonts w:ascii="Arial" w:hAnsi="Arial" w:cs="Arial" w:eastAsia="Arial"/>
          <w:color w:val="auto"/>
          <w:spacing w:val="0"/>
          <w:position w:val="0"/>
          <w:sz w:val="24"/>
          <w:shd w:fill="auto" w:val="clear"/>
          <w:vertAlign w:val="subscript"/>
        </w:rPr>
        <w:t xml:space="preserve">2</w:t>
      </w:r>
      <w:r>
        <w:rPr>
          <w:rFonts w:ascii="Arial" w:hAnsi="Arial" w:cs="Arial" w:eastAsia="Arial"/>
          <w:color w:val="auto"/>
          <w:spacing w:val="0"/>
          <w:position w:val="0"/>
          <w:sz w:val="24"/>
          <w:shd w:fill="auto" w:val="clear"/>
          <w:vertAlign w:val="superscript"/>
        </w:rPr>
        <w:t xml:space="preserve">, 0.5 mM NaN</w:t>
      </w:r>
      <w:r>
        <w:rPr>
          <w:rFonts w:ascii="Arial" w:hAnsi="Arial" w:cs="Arial" w:eastAsia="Arial"/>
          <w:color w:val="auto"/>
          <w:spacing w:val="0"/>
          <w:position w:val="0"/>
          <w:sz w:val="24"/>
          <w:shd w:fill="auto" w:val="clear"/>
          <w:vertAlign w:val="subscript"/>
        </w:rPr>
        <w:t xml:space="preserve">3</w:t>
      </w:r>
      <w:r>
        <w:rPr>
          <w:rFonts w:ascii="Arial" w:hAnsi="Arial" w:cs="Arial" w:eastAsia="Arial"/>
          <w:color w:val="auto"/>
          <w:spacing w:val="0"/>
          <w:position w:val="0"/>
          <w:sz w:val="24"/>
          <w:shd w:fill="auto" w:val="clear"/>
          <w:vertAlign w:val="superscript"/>
        </w:rPr>
        <w:t xml:space="preserve">, and 0.2 mM ATP, pH 7.4) at 4°C or flash frozen in liquid nitrogen after addition of 5% succhrose at stored at -80°C.  </w:t>
      </w:r>
    </w:p>
    <w:p>
      <w:pPr>
        <w:spacing w:before="0" w:after="0" w:line="360"/>
        <w:ind w:right="-2" w:left="0" w:firstLine="0"/>
        <w:jc w:val="both"/>
        <w:rPr>
          <w:rFonts w:ascii="Arial" w:hAnsi="Arial" w:cs="Arial" w:eastAsia="Arial"/>
          <w:color w:val="auto"/>
          <w:spacing w:val="0"/>
          <w:position w:val="0"/>
          <w:sz w:val="24"/>
          <w:shd w:fill="auto" w:val="clear"/>
          <w:vertAlign w:val="superscript"/>
        </w:rPr>
      </w:pPr>
    </w:p>
    <w:p>
      <w:pPr>
        <w:spacing w:before="0" w:after="0" w:line="360"/>
        <w:ind w:right="-2" w:left="0" w:firstLine="0"/>
        <w:jc w:val="both"/>
        <w:rPr>
          <w:rFonts w:ascii="Arial" w:hAnsi="Arial" w:cs="Arial" w:eastAsia="Arial"/>
          <w:color w:val="auto"/>
          <w:spacing w:val="0"/>
          <w:position w:val="0"/>
          <w:sz w:val="24"/>
          <w:shd w:fill="auto" w:val="clear"/>
          <w:vertAlign w:val="superscript"/>
        </w:rPr>
      </w:pPr>
    </w:p>
    <w:p>
      <w:pPr>
        <w:spacing w:before="0" w:after="0" w:line="360"/>
        <w:ind w:right="-2" w:left="0" w:firstLine="0"/>
        <w:jc w:val="both"/>
        <w:rPr>
          <w:rFonts w:ascii="Arial" w:hAnsi="Arial" w:cs="Arial" w:eastAsia="Arial"/>
          <w:i/>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Preparation of subfragment 1 from skeletal muscle and bovine cardiac myosin:</w:t>
      </w:r>
      <w:r>
        <w:rPr>
          <w:rFonts w:ascii="Arial" w:hAnsi="Arial" w:cs="Arial" w:eastAsia="Arial"/>
          <w:b/>
          <w:i/>
          <w:color w:val="auto"/>
          <w:spacing w:val="0"/>
          <w:position w:val="0"/>
          <w:sz w:val="24"/>
          <w:shd w:fill="auto" w:val="clear"/>
          <w:vertAlign w:val="superscript"/>
        </w:rPr>
        <w:t xml:space="preserve"> </w:t>
      </w:r>
      <w:r>
        <w:rPr>
          <w:rFonts w:ascii="Arial" w:hAnsi="Arial" w:cs="Arial" w:eastAsia="Arial"/>
          <w:color w:val="auto"/>
          <w:spacing w:val="0"/>
          <w:position w:val="0"/>
          <w:sz w:val="24"/>
          <w:shd w:fill="auto" w:val="clear"/>
          <w:vertAlign w:val="superscript"/>
        </w:rPr>
        <w:t xml:space="preserve">The myosin containing fractions from the acetone powder preparation were mixed with glycerol (1:1) and stored at -20°C until use. For preparation of myosin subfragment 1 (myosin-S1) the respective stored myosin was dialysed against low salt buffer to induce myosin precipitation. After centrifugation at 12,000 rpm for one hour the myosin containing precipitate was digested with chymotrypsin  [15] for 8 to 10 min. After protease inactivation by addition of 1 mM PMSF the digest was dialysed against 50 mM imidazole, pH 7.0, over night at 4°C. After centrifugation at 12,000 rpm for one hour the supernatant was loaded on a DEAE-column equilibrated 50 mM imidazole-buffer, pH 7.0, and eluted with a salt gradient from 0-150 mM NaCl following the described procedure. The fractions containing pure myosin-S1 identified by SDS-Page were pooled and concentrated by Viva-Spin (Millipore, Witten, Germany). The myosin-S1 concentration was determined photometrically (</w:t>
      </w:r>
      <w:r>
        <w:rPr>
          <w:rFonts w:ascii="Arial" w:hAnsi="Arial" w:cs="Arial" w:eastAsia="Arial"/>
          <w:color w:val="auto"/>
          <w:spacing w:val="0"/>
          <w:position w:val="0"/>
          <w:sz w:val="24"/>
          <w:shd w:fill="auto" w:val="clear"/>
          <w:vertAlign w:val="superscript"/>
        </w:rPr>
        <w:t xml:space="preserve">ε = 11.3 cm-1 mg/ml-1).</w:t>
      </w:r>
    </w:p>
    <w:p>
      <w:pPr>
        <w:spacing w:before="0" w:after="0" w:line="360"/>
        <w:ind w:right="-2" w:left="0" w:firstLine="0"/>
        <w:jc w:val="both"/>
        <w:rPr>
          <w:rFonts w:ascii="Arial" w:hAnsi="Arial" w:cs="Arial" w:eastAsia="Arial"/>
          <w:color w:val="auto"/>
          <w:spacing w:val="0"/>
          <w:position w:val="0"/>
          <w:sz w:val="24"/>
          <w:shd w:fill="auto" w:val="clear"/>
          <w:vertAlign w:val="superscript"/>
        </w:rPr>
      </w:pPr>
    </w:p>
    <w:p>
      <w:pPr>
        <w:spacing w:before="0" w:after="0" w:line="360"/>
        <w:ind w:right="-2" w:left="0" w:firstLine="0"/>
        <w:jc w:val="both"/>
        <w:rPr>
          <w:rFonts w:ascii="Arial" w:hAnsi="Arial" w:cs="Arial" w:eastAsia="Arial"/>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Expression and purification of recombinant gelsolin deletion mutant G4-6:</w:t>
      </w:r>
      <w:r>
        <w:rPr>
          <w:rFonts w:ascii="Arial" w:hAnsi="Arial" w:cs="Arial" w:eastAsia="Arial"/>
          <w:i/>
          <w:color w:val="auto"/>
          <w:spacing w:val="0"/>
          <w:position w:val="0"/>
          <w:sz w:val="24"/>
          <w:shd w:fill="auto" w:val="clear"/>
          <w:vertAlign w:val="superscript"/>
        </w:rPr>
        <w:t xml:space="preserve"> Escherichia coli</w:t>
      </w:r>
      <w:r>
        <w:rPr>
          <w:rFonts w:ascii="Arial" w:hAnsi="Arial" w:cs="Arial" w:eastAsia="Arial"/>
          <w:color w:val="auto"/>
          <w:spacing w:val="0"/>
          <w:position w:val="0"/>
          <w:sz w:val="24"/>
          <w:shd w:fill="auto" w:val="clear"/>
          <w:vertAlign w:val="superscript"/>
        </w:rPr>
        <w:t xml:space="preserve"> strain Rosetta (DE3) pLysS (Novagen) was transformed by pCOLDII-G4-6 plasmid and grown in Luria-Bertani medium containing 75 µg/ml ampicillin and 25 µg/ml chloramphenicol to the optical density of 0.6 measured at 600 nm. Protein expression was induced by incubation on ice for 30 min and shaking for 23 h at 20 °C in the presence of 1 mM isopropylthio-D-galactoside (IPTG). Harvested cells from 1 l culture were lysed by sonication (10 x 10 sec) in a binding buffer (10 mM Tris-HCl, pH 8.0, 50 mM KCl, 5 mM CaCl</w:t>
      </w:r>
      <w:r>
        <w:rPr>
          <w:rFonts w:ascii="Arial" w:hAnsi="Arial" w:cs="Arial" w:eastAsia="Arial"/>
          <w:color w:val="auto"/>
          <w:spacing w:val="0"/>
          <w:position w:val="0"/>
          <w:sz w:val="24"/>
          <w:shd w:fill="auto" w:val="clear"/>
          <w:vertAlign w:val="subscript"/>
        </w:rPr>
        <w:t xml:space="preserve">2</w:t>
      </w:r>
      <w:r>
        <w:rPr>
          <w:rFonts w:ascii="Arial" w:hAnsi="Arial" w:cs="Arial" w:eastAsia="Arial"/>
          <w:color w:val="auto"/>
          <w:spacing w:val="0"/>
          <w:position w:val="0"/>
          <w:sz w:val="24"/>
          <w:shd w:fill="auto" w:val="clear"/>
          <w:vertAlign w:val="superscript"/>
        </w:rPr>
        <w:t xml:space="preserve">, 7 mM ß-mercaptoethanol, 1 mM PMSF, 0.01 mg/ml leupeptin, 1 mM ATP) and gently shaken for 45 min at 4°C. After centrifugation at 12,000 x g for 30 min, the sterile filtered supernatant was applied to a Ni2+-affinity column by use of FPLC (AKTA Purifier, GE Amersham). After washing with 6 column volumes low salt buffer (10 mM Tris-HCl, pH 8.0, 50 mM KCl, 5 mM CaCl</w:t>
      </w:r>
      <w:r>
        <w:rPr>
          <w:rFonts w:ascii="Arial" w:hAnsi="Arial" w:cs="Arial" w:eastAsia="Arial"/>
          <w:color w:val="auto"/>
          <w:spacing w:val="0"/>
          <w:position w:val="0"/>
          <w:sz w:val="24"/>
          <w:shd w:fill="auto" w:val="clear"/>
          <w:vertAlign w:val="subscript"/>
        </w:rPr>
        <w:t xml:space="preserve">2</w:t>
      </w:r>
      <w:r>
        <w:rPr>
          <w:rFonts w:ascii="Arial" w:hAnsi="Arial" w:cs="Arial" w:eastAsia="Arial"/>
          <w:color w:val="auto"/>
          <w:spacing w:val="0"/>
          <w:position w:val="0"/>
          <w:sz w:val="24"/>
          <w:shd w:fill="auto" w:val="clear"/>
          <w:vertAlign w:val="superscript"/>
        </w:rPr>
        <w:t xml:space="preserve">) and high salt buffer (10 mM Tris-HCl, pH 8.0, 350 mM KCl, 5 mM CaCl</w:t>
      </w:r>
      <w:r>
        <w:rPr>
          <w:rFonts w:ascii="Arial" w:hAnsi="Arial" w:cs="Arial" w:eastAsia="Arial"/>
          <w:color w:val="auto"/>
          <w:spacing w:val="0"/>
          <w:position w:val="0"/>
          <w:sz w:val="24"/>
          <w:shd w:fill="auto" w:val="clear"/>
          <w:vertAlign w:val="subscript"/>
        </w:rPr>
        <w:t xml:space="preserve">2</w:t>
      </w:r>
      <w:r>
        <w:rPr>
          <w:rFonts w:ascii="Arial" w:hAnsi="Arial" w:cs="Arial" w:eastAsia="Arial"/>
          <w:color w:val="auto"/>
          <w:spacing w:val="0"/>
          <w:position w:val="0"/>
          <w:sz w:val="24"/>
          <w:shd w:fill="auto" w:val="clear"/>
          <w:vertAlign w:val="superscript"/>
        </w:rPr>
        <w:t xml:space="preserve">) gelsolin G4-6 was eluted by an imidazole-gradient (0-1 M, pH 8.0) and the combined G4-6 fractions were dialyzed against 50 mM Tris-HCl (pH 8.0), 50 mM KCl, 1 mM CaCl</w:t>
      </w:r>
      <w:r>
        <w:rPr>
          <w:rFonts w:ascii="Arial" w:hAnsi="Arial" w:cs="Arial" w:eastAsia="Arial"/>
          <w:color w:val="auto"/>
          <w:spacing w:val="0"/>
          <w:position w:val="0"/>
          <w:sz w:val="24"/>
          <w:shd w:fill="auto" w:val="clear"/>
          <w:vertAlign w:val="subscript"/>
        </w:rPr>
        <w:t xml:space="preserve">2</w:t>
      </w:r>
      <w:r>
        <w:rPr>
          <w:rFonts w:ascii="Arial" w:hAnsi="Arial" w:cs="Arial" w:eastAsia="Arial"/>
          <w:color w:val="auto"/>
          <w:spacing w:val="0"/>
          <w:position w:val="0"/>
          <w:sz w:val="24"/>
          <w:shd w:fill="auto" w:val="clear"/>
          <w:vertAlign w:val="superscript"/>
        </w:rPr>
        <w:t xml:space="preserve"> and 1 mM DTT. The protein was concentrated with VIVASPIN 20 concentrator (Sartorius Stedim Biotech, Aubagne, France), supplemented with 3 % sucrose, flash frozen in liquid N</w:t>
      </w:r>
      <w:r>
        <w:rPr>
          <w:rFonts w:ascii="Arial" w:hAnsi="Arial" w:cs="Arial" w:eastAsia="Arial"/>
          <w:color w:val="auto"/>
          <w:spacing w:val="0"/>
          <w:position w:val="0"/>
          <w:sz w:val="24"/>
          <w:shd w:fill="auto" w:val="clear"/>
          <w:vertAlign w:val="subscript"/>
        </w:rPr>
        <w:t xml:space="preserve">2</w:t>
      </w:r>
      <w:r>
        <w:rPr>
          <w:rFonts w:ascii="Arial" w:hAnsi="Arial" w:cs="Arial" w:eastAsia="Arial"/>
          <w:color w:val="auto"/>
          <w:spacing w:val="0"/>
          <w:position w:val="0"/>
          <w:sz w:val="24"/>
          <w:shd w:fill="auto" w:val="clear"/>
          <w:vertAlign w:val="superscript"/>
        </w:rPr>
        <w:t xml:space="preserve"> and stored at -80°C.</w:t>
      </w:r>
    </w:p>
    <w:p>
      <w:pPr>
        <w:spacing w:before="0" w:after="0" w:line="360"/>
        <w:ind w:right="-2" w:left="0" w:firstLine="0"/>
        <w:jc w:val="both"/>
        <w:rPr>
          <w:rFonts w:ascii="Arial" w:hAnsi="Arial" w:cs="Arial" w:eastAsia="Arial"/>
          <w:color w:val="auto"/>
          <w:spacing w:val="0"/>
          <w:position w:val="0"/>
          <w:sz w:val="24"/>
          <w:shd w:fill="auto" w:val="clear"/>
          <w:vertAlign w:val="superscript"/>
        </w:rPr>
      </w:pPr>
    </w:p>
    <w:p>
      <w:pPr>
        <w:spacing w:before="0" w:after="0" w:line="360"/>
        <w:ind w:right="-2" w:left="0" w:firstLine="0"/>
        <w:jc w:val="both"/>
        <w:rPr>
          <w:rFonts w:ascii="Arial" w:hAnsi="Arial" w:cs="Arial" w:eastAsia="Arial"/>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Expression and Purification of Recombinant Actin:</w:t>
      </w:r>
      <w:r>
        <w:rPr>
          <w:rFonts w:ascii="Arial" w:hAnsi="Arial" w:cs="Arial" w:eastAsia="Arial"/>
          <w:color w:val="auto"/>
          <w:spacing w:val="0"/>
          <w:position w:val="0"/>
          <w:sz w:val="24"/>
          <w:shd w:fill="auto" w:val="clear"/>
          <w:vertAlign w:val="superscript"/>
        </w:rPr>
        <w:t xml:space="preserve">  The human cardiac muscle  wild-type </w:t>
      </w:r>
      <w:r>
        <w:rPr>
          <w:rFonts w:ascii="Arial" w:hAnsi="Arial" w:cs="Arial" w:eastAsia="Arial"/>
          <w:color w:val="auto"/>
          <w:spacing w:val="0"/>
          <w:position w:val="0"/>
          <w:sz w:val="24"/>
          <w:shd w:fill="auto" w:val="clear"/>
          <w:vertAlign w:val="superscript"/>
        </w:rPr>
        <w:t xml:space="preserve">α-actin and the mutants were expressed in the </w:t>
      </w:r>
      <w:r>
        <w:rPr>
          <w:rFonts w:ascii="Arial" w:hAnsi="Arial" w:cs="Arial" w:eastAsia="Arial"/>
          <w:i/>
          <w:color w:val="auto"/>
          <w:spacing w:val="0"/>
          <w:position w:val="0"/>
          <w:sz w:val="24"/>
          <w:shd w:fill="auto" w:val="clear"/>
          <w:vertAlign w:val="superscript"/>
        </w:rPr>
        <w:t xml:space="preserve">baculovirus/Sf21</w:t>
      </w:r>
      <w:r>
        <w:rPr>
          <w:rFonts w:ascii="Arial" w:hAnsi="Arial" w:cs="Arial" w:eastAsia="Arial"/>
          <w:color w:val="auto"/>
          <w:spacing w:val="0"/>
          <w:position w:val="0"/>
          <w:sz w:val="24"/>
          <w:shd w:fill="auto" w:val="clear"/>
          <w:vertAlign w:val="superscript"/>
        </w:rPr>
        <w:t xml:space="preserve">-system [2]. The preparation of recombinant </w:t>
      </w:r>
      <w:r>
        <w:rPr>
          <w:rFonts w:ascii="Arial" w:hAnsi="Arial" w:cs="Arial" w:eastAsia="Arial"/>
          <w:i/>
          <w:color w:val="auto"/>
          <w:spacing w:val="0"/>
          <w:position w:val="0"/>
          <w:sz w:val="24"/>
          <w:shd w:fill="auto" w:val="clear"/>
          <w:vertAlign w:val="superscript"/>
        </w:rPr>
        <w:t xml:space="preserve">baculoviruses</w:t>
      </w:r>
      <w:r>
        <w:rPr>
          <w:rFonts w:ascii="Arial" w:hAnsi="Arial" w:cs="Arial" w:eastAsia="Arial"/>
          <w:color w:val="auto"/>
          <w:spacing w:val="0"/>
          <w:position w:val="0"/>
          <w:sz w:val="24"/>
          <w:shd w:fill="auto" w:val="clear"/>
          <w:vertAlign w:val="superscript"/>
        </w:rPr>
        <w:t xml:space="preserve"> was performed according to the manufacturer</w:t>
      </w:r>
      <w:r>
        <w:rPr>
          <w:rFonts w:ascii="Arial" w:hAnsi="Arial" w:cs="Arial" w:eastAsia="Arial"/>
          <w:color w:val="auto"/>
          <w:spacing w:val="0"/>
          <w:position w:val="0"/>
          <w:sz w:val="24"/>
          <w:shd w:fill="auto" w:val="clear"/>
          <w:vertAlign w:val="superscript"/>
        </w:rPr>
        <w:t xml:space="preserve">´s recommendation (Invitrogen) by transforming the pFastBac Dual vectors into DH10Bac </w:t>
      </w:r>
      <w:r>
        <w:rPr>
          <w:rFonts w:ascii="Arial" w:hAnsi="Arial" w:cs="Arial" w:eastAsia="Arial"/>
          <w:i/>
          <w:color w:val="auto"/>
          <w:spacing w:val="0"/>
          <w:position w:val="0"/>
          <w:sz w:val="24"/>
          <w:shd w:fill="auto" w:val="clear"/>
          <w:vertAlign w:val="superscript"/>
        </w:rPr>
        <w:t xml:space="preserve">E.coli</w:t>
      </w:r>
      <w:r>
        <w:rPr>
          <w:rFonts w:ascii="Arial" w:hAnsi="Arial" w:cs="Arial" w:eastAsia="Arial"/>
          <w:color w:val="auto"/>
          <w:spacing w:val="0"/>
          <w:position w:val="0"/>
          <w:sz w:val="24"/>
          <w:shd w:fill="auto" w:val="clear"/>
          <w:vertAlign w:val="superscript"/>
        </w:rPr>
        <w:t xml:space="preserve"> cells, bacmid isolation and transfection into </w:t>
      </w:r>
      <w:r>
        <w:rPr>
          <w:rFonts w:ascii="Arial" w:hAnsi="Arial" w:cs="Arial" w:eastAsia="Arial"/>
          <w:i/>
          <w:color w:val="auto"/>
          <w:spacing w:val="0"/>
          <w:position w:val="0"/>
          <w:sz w:val="24"/>
          <w:shd w:fill="auto" w:val="clear"/>
          <w:vertAlign w:val="superscript"/>
        </w:rPr>
        <w:t xml:space="preserve">Sf21</w:t>
      </w:r>
      <w:r>
        <w:rPr>
          <w:rFonts w:ascii="Arial" w:hAnsi="Arial" w:cs="Arial" w:eastAsia="Arial"/>
          <w:color w:val="auto"/>
          <w:spacing w:val="0"/>
          <w:position w:val="0"/>
          <w:sz w:val="24"/>
          <w:shd w:fill="auto" w:val="clear"/>
          <w:vertAlign w:val="superscript"/>
        </w:rPr>
        <w:t xml:space="preserve"> insect cells using Cellfectin II (Invitrogen). Infected </w:t>
      </w:r>
      <w:r>
        <w:rPr>
          <w:rFonts w:ascii="Arial" w:hAnsi="Arial" w:cs="Arial" w:eastAsia="Arial"/>
          <w:i/>
          <w:color w:val="auto"/>
          <w:spacing w:val="0"/>
          <w:position w:val="0"/>
          <w:sz w:val="24"/>
          <w:shd w:fill="auto" w:val="clear"/>
          <w:vertAlign w:val="superscript"/>
        </w:rPr>
        <w:t xml:space="preserve">Sf21</w:t>
      </w:r>
      <w:r>
        <w:rPr>
          <w:rFonts w:ascii="Arial" w:hAnsi="Arial" w:cs="Arial" w:eastAsia="Arial"/>
          <w:color w:val="auto"/>
          <w:spacing w:val="0"/>
          <w:position w:val="0"/>
          <w:sz w:val="24"/>
          <w:shd w:fill="auto" w:val="clear"/>
          <w:vertAlign w:val="superscript"/>
        </w:rPr>
        <w:t xml:space="preserve">-cells were harvested after 3 days and stored at -80 °C. </w:t>
      </w:r>
    </w:p>
    <w:p>
      <w:pPr>
        <w:spacing w:before="0" w:after="0" w:line="360"/>
        <w:ind w:right="-2" w:left="0" w:firstLine="0"/>
        <w:jc w:val="both"/>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      Purification of tag-free wild-type cardiac </w:t>
      </w:r>
      <w:r>
        <w:rPr>
          <w:rFonts w:ascii="Arial" w:hAnsi="Arial" w:cs="Arial" w:eastAsia="Arial"/>
          <w:color w:val="auto"/>
          <w:spacing w:val="0"/>
          <w:position w:val="0"/>
          <w:sz w:val="24"/>
          <w:shd w:fill="auto" w:val="clear"/>
          <w:vertAlign w:val="superscript"/>
        </w:rPr>
        <w:t xml:space="preserve">α-actin and both mutants was performed by affinity chromatography using the gelsolin deletion mutant G4-6 as described  [9,10], see Figure S1. The cells from 2-5 l culture were lysed by sonication and pipetting in 150 ml of KCl-free lysis-buffer (10 mM Tris-HCl, pH 8.0, 5 mM CaCl</w:t>
      </w:r>
      <w:r>
        <w:rPr>
          <w:rFonts w:ascii="Arial" w:hAnsi="Arial" w:cs="Arial" w:eastAsia="Arial"/>
          <w:color w:val="auto"/>
          <w:spacing w:val="0"/>
          <w:position w:val="0"/>
          <w:sz w:val="24"/>
          <w:shd w:fill="auto" w:val="clear"/>
          <w:vertAlign w:val="subscript"/>
        </w:rPr>
        <w:t xml:space="preserve">2</w:t>
      </w:r>
      <w:r>
        <w:rPr>
          <w:rFonts w:ascii="Arial" w:hAnsi="Arial" w:cs="Arial" w:eastAsia="Arial"/>
          <w:color w:val="auto"/>
          <w:spacing w:val="0"/>
          <w:position w:val="0"/>
          <w:sz w:val="24"/>
          <w:shd w:fill="auto" w:val="clear"/>
          <w:vertAlign w:val="superscript"/>
        </w:rPr>
        <w:t xml:space="preserve">, 20 mM imidazole, 4 % Triton-X, 1 mg/ml Tween-20, 5 mM DTT, and a protease inhibitor cocktail). After addition of purified gelsolin G4-6 (10 mg/ 4 x 107 cells) the solution was gently stirred at 4</w:t>
      </w:r>
      <w:r>
        <w:rPr>
          <w:rFonts w:ascii="Arial" w:hAnsi="Arial" w:cs="Arial" w:eastAsia="Arial"/>
          <w:color w:val="auto"/>
          <w:spacing w:val="0"/>
          <w:position w:val="0"/>
          <w:sz w:val="24"/>
          <w:shd w:fill="auto" w:val="clear"/>
          <w:vertAlign w:val="superscript"/>
        </w:rPr>
        <w:t xml:space="preserve">°C overnight. After centrifugation at 230,000g for 30 min (OptimaTM LE-80K Ultracentrifuge, BECKMAN COULTER) the supernatant was sterile filtered and applied to a Ni2+-affinity column by use of a FPLC (AKTA Purifier, GE Amersham). The resin was washed with Tris-HCl buffer (10 mM, pH 8.0) including 1 mM CaCl</w:t>
      </w:r>
      <w:r>
        <w:rPr>
          <w:rFonts w:ascii="Arial" w:hAnsi="Arial" w:cs="Arial" w:eastAsia="Arial"/>
          <w:color w:val="auto"/>
          <w:spacing w:val="0"/>
          <w:position w:val="0"/>
          <w:sz w:val="24"/>
          <w:shd w:fill="auto" w:val="clear"/>
          <w:vertAlign w:val="subscript"/>
        </w:rPr>
        <w:t xml:space="preserve">2</w:t>
      </w:r>
      <w:r>
        <w:rPr>
          <w:rFonts w:ascii="Arial" w:hAnsi="Arial" w:cs="Arial" w:eastAsia="Arial"/>
          <w:color w:val="auto"/>
          <w:spacing w:val="0"/>
          <w:position w:val="0"/>
          <w:sz w:val="24"/>
          <w:shd w:fill="auto" w:val="clear"/>
          <w:vertAlign w:val="superscript"/>
        </w:rPr>
        <w:t xml:space="preserve">. Actin was eluted with EDTA-Buffer (10 mM Tris-HCl, pH 8.0, 1.5 mM EDTA) and dialysed against Tris-HCl-buffer (10 mM, pH 8.0) including 0.2 mM MgCl</w:t>
      </w:r>
      <w:r>
        <w:rPr>
          <w:rFonts w:ascii="Arial" w:hAnsi="Arial" w:cs="Arial" w:eastAsia="Arial"/>
          <w:color w:val="auto"/>
          <w:spacing w:val="0"/>
          <w:position w:val="0"/>
          <w:sz w:val="24"/>
          <w:shd w:fill="auto" w:val="clear"/>
          <w:vertAlign w:val="subscript"/>
        </w:rPr>
        <w:t xml:space="preserve">2</w:t>
      </w:r>
      <w:r>
        <w:rPr>
          <w:rFonts w:ascii="Arial" w:hAnsi="Arial" w:cs="Arial" w:eastAsia="Arial"/>
          <w:color w:val="auto"/>
          <w:spacing w:val="0"/>
          <w:position w:val="0"/>
          <w:sz w:val="24"/>
          <w:shd w:fill="auto" w:val="clear"/>
          <w:vertAlign w:val="superscript"/>
        </w:rPr>
        <w:t xml:space="preserve"> and 1 mM DTT. G4-6 was recovered by elution with 1 M imidazole and dialysed against Tris-HCl-Buffer (10 mM, pH 8.0) including 50 mM KCl, 1 mM CaCl</w:t>
      </w:r>
      <w:r>
        <w:rPr>
          <w:rFonts w:ascii="Arial" w:hAnsi="Arial" w:cs="Arial" w:eastAsia="Arial"/>
          <w:color w:val="auto"/>
          <w:spacing w:val="0"/>
          <w:position w:val="0"/>
          <w:sz w:val="24"/>
          <w:shd w:fill="auto" w:val="clear"/>
          <w:vertAlign w:val="subscript"/>
        </w:rPr>
        <w:t xml:space="preserve">2</w:t>
      </w:r>
      <w:r>
        <w:rPr>
          <w:rFonts w:ascii="Arial" w:hAnsi="Arial" w:cs="Arial" w:eastAsia="Arial"/>
          <w:color w:val="auto"/>
          <w:spacing w:val="0"/>
          <w:position w:val="0"/>
          <w:sz w:val="24"/>
          <w:shd w:fill="auto" w:val="clear"/>
          <w:vertAlign w:val="superscript"/>
        </w:rPr>
        <w:t xml:space="preserve"> and 1 mM DTT. The proteins were concentrated with VIVASPIN 20 concentrators supplemented with 3% sucrose, flash frozen in liquid N</w:t>
      </w:r>
      <w:r>
        <w:rPr>
          <w:rFonts w:ascii="Arial" w:hAnsi="Arial" w:cs="Arial" w:eastAsia="Arial"/>
          <w:color w:val="auto"/>
          <w:spacing w:val="0"/>
          <w:position w:val="0"/>
          <w:sz w:val="24"/>
          <w:shd w:fill="auto" w:val="clear"/>
          <w:vertAlign w:val="subscript"/>
        </w:rPr>
        <w:t xml:space="preserve">2</w:t>
      </w:r>
      <w:r>
        <w:rPr>
          <w:rFonts w:ascii="Arial" w:hAnsi="Arial" w:cs="Arial" w:eastAsia="Arial"/>
          <w:color w:val="auto"/>
          <w:spacing w:val="0"/>
          <w:position w:val="0"/>
          <w:sz w:val="24"/>
          <w:shd w:fill="auto" w:val="clear"/>
          <w:vertAlign w:val="superscript"/>
        </w:rPr>
        <w:t xml:space="preserve"> and stored at -80 °C. The different purification steps and the purity of the finally obtained c-actin samples was checked by 12% SDS-Page; see Figure S1 for wt c-</w:t>
      </w:r>
      <w:r>
        <w:rPr>
          <w:rFonts w:ascii="Arial" w:hAnsi="Arial" w:cs="Arial" w:eastAsia="Arial"/>
          <w:color w:val="auto"/>
          <w:spacing w:val="0"/>
          <w:position w:val="0"/>
          <w:sz w:val="24"/>
          <w:shd w:fill="auto" w:val="clear"/>
          <w:vertAlign w:val="superscript"/>
        </w:rPr>
        <w:t xml:space="preserve">α-ctin and the p.E361G mutant. Western blot analysis of the α-cardiac actins was performed with a monoclonal anti-cardiac actin antibody provided by Progen Biotechnik (Heidelberg, Germany). The nomenclature and numeration of human</w:t>
      </w:r>
      <w:r>
        <w:rPr>
          <w:rFonts w:ascii="Arial" w:hAnsi="Arial" w:cs="Arial" w:eastAsia="Arial"/>
          <w:i/>
          <w:color w:val="auto"/>
          <w:spacing w:val="0"/>
          <w:position w:val="0"/>
          <w:sz w:val="24"/>
          <w:shd w:fill="auto" w:val="clear"/>
          <w:vertAlign w:val="superscript"/>
        </w:rPr>
        <w:t xml:space="preserve"> </w:t>
      </w:r>
      <w:r>
        <w:rPr>
          <w:rFonts w:ascii="Arial" w:hAnsi="Arial" w:cs="Arial" w:eastAsia="Arial"/>
          <w:color w:val="auto"/>
          <w:spacing w:val="0"/>
          <w:position w:val="0"/>
          <w:sz w:val="24"/>
          <w:shd w:fill="auto" w:val="clear"/>
          <w:vertAlign w:val="superscript"/>
        </w:rPr>
        <w:t xml:space="preserve">cardiac α-actin wild-type (wt), and of the mutants p.A295S, p.R312K/H and p.E361G were in accordance to that of the Universal Protein Resource database.</w:t>
      </w:r>
    </w:p>
    <w:p>
      <w:pPr>
        <w:spacing w:before="0" w:after="0" w:line="240"/>
        <w:ind w:right="0" w:left="0" w:firstLine="0"/>
        <w:jc w:val="left"/>
        <w:rPr>
          <w:rFonts w:ascii="Arial" w:hAnsi="Arial" w:cs="Arial" w:eastAsia="Arial"/>
          <w:color w:val="auto"/>
          <w:spacing w:val="0"/>
          <w:position w:val="0"/>
          <w:sz w:val="24"/>
          <w:shd w:fill="auto" w:val="clear"/>
          <w:vertAlign w:val="superscript"/>
        </w:rPr>
      </w:pPr>
    </w:p>
    <w:p>
      <w:pPr>
        <w:spacing w:before="0" w:after="0" w:line="240"/>
        <w:ind w:right="0" w:left="0" w:firstLine="0"/>
        <w:jc w:val="left"/>
        <w:rPr>
          <w:rFonts w:ascii="Arial" w:hAnsi="Arial" w:cs="Arial" w:eastAsia="Arial"/>
          <w:color w:val="auto"/>
          <w:spacing w:val="0"/>
          <w:position w:val="0"/>
          <w:sz w:val="24"/>
          <w:shd w:fill="auto" w:val="clear"/>
          <w:vertAlign w:val="superscript"/>
        </w:rPr>
      </w:pPr>
    </w:p>
    <w:p>
      <w:pPr>
        <w:spacing w:before="0" w:after="0" w:line="240"/>
        <w:ind w:right="0" w:left="0" w:firstLine="0"/>
        <w:jc w:val="left"/>
        <w:rPr>
          <w:rFonts w:ascii="Arial" w:hAnsi="Arial" w:cs="Arial" w:eastAsia="Arial"/>
          <w:color w:val="auto"/>
          <w:spacing w:val="0"/>
          <w:position w:val="0"/>
          <w:sz w:val="24"/>
          <w:shd w:fill="auto" w:val="clear"/>
          <w:vertAlign w:val="superscript"/>
        </w:rPr>
      </w:pPr>
    </w:p>
    <w:p>
      <w:pPr>
        <w:spacing w:before="0" w:after="0" w:line="240"/>
        <w:ind w:right="0" w:left="0" w:firstLine="0"/>
        <w:jc w:val="left"/>
        <w:rPr>
          <w:rFonts w:ascii="Arial" w:hAnsi="Arial" w:cs="Arial" w:eastAsia="Arial"/>
          <w:color w:val="auto"/>
          <w:spacing w:val="0"/>
          <w:position w:val="0"/>
          <w:sz w:val="24"/>
          <w:shd w:fill="auto" w:val="clear"/>
          <w:vertAlign w:val="superscript"/>
        </w:rPr>
      </w:pPr>
    </w:p>
    <w:p>
      <w:pPr>
        <w:spacing w:before="0" w:after="0" w:line="240"/>
        <w:ind w:right="0" w:left="0" w:firstLine="0"/>
        <w:jc w:val="left"/>
        <w:rPr>
          <w:rFonts w:ascii="Arial" w:hAnsi="Arial" w:cs="Arial" w:eastAsia="Arial"/>
          <w:color w:val="auto"/>
          <w:spacing w:val="0"/>
          <w:position w:val="0"/>
          <w:sz w:val="24"/>
          <w:shd w:fill="auto" w:val="clear"/>
          <w:vertAlign w:val="superscript"/>
        </w:rPr>
      </w:pPr>
    </w:p>
    <w:p>
      <w:pPr>
        <w:spacing w:before="0" w:after="0" w:line="240"/>
        <w:ind w:right="0" w:left="0" w:firstLine="0"/>
        <w:jc w:val="left"/>
        <w:rPr>
          <w:rFonts w:ascii="Arial" w:hAnsi="Arial" w:cs="Arial" w:eastAsia="Arial"/>
          <w:color w:val="auto"/>
          <w:spacing w:val="0"/>
          <w:position w:val="0"/>
          <w:sz w:val="24"/>
          <w:shd w:fill="auto" w:val="clear"/>
          <w:vertAlign w:val="superscript"/>
        </w:rPr>
      </w:pPr>
      <w:r>
        <w:object w:dxaOrig="5811" w:dyaOrig="4170">
          <v:rect xmlns:o="urn:schemas-microsoft-com:office:office" xmlns:v="urn:schemas-microsoft-com:vml" id="rectole0000000000" style="width:290.550000pt;height:208.5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0" w:line="240"/>
        <w:ind w:right="0" w:left="0" w:firstLine="0"/>
        <w:jc w:val="left"/>
        <w:rPr>
          <w:rFonts w:ascii="Arial" w:hAnsi="Arial" w:cs="Arial" w:eastAsia="Arial"/>
          <w:b/>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Figure S1: Purification steps of cardiac actins.</w:t>
      </w:r>
    </w:p>
    <w:p>
      <w:pPr>
        <w:spacing w:before="0" w:after="0" w:line="240"/>
        <w:ind w:right="0" w:left="0" w:firstLine="0"/>
        <w:jc w:val="left"/>
        <w:rPr>
          <w:rFonts w:ascii="Arial" w:hAnsi="Arial" w:cs="Arial" w:eastAsia="Arial"/>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(A,B) </w:t>
      </w:r>
      <w:r>
        <w:rPr>
          <w:rFonts w:ascii="Arial" w:hAnsi="Arial" w:cs="Arial" w:eastAsia="Arial"/>
          <w:color w:val="auto"/>
          <w:spacing w:val="0"/>
          <w:position w:val="0"/>
          <w:sz w:val="24"/>
          <w:shd w:fill="auto" w:val="clear"/>
          <w:vertAlign w:val="superscript"/>
        </w:rPr>
        <w:t xml:space="preserve">SDS-Page (12,5%) of examples of the purification steps of cardiac actin variants as shown for wt and the p.E361G mutant. Lanes: (1) crude extract of </w:t>
      </w:r>
      <w:r>
        <w:rPr>
          <w:rFonts w:ascii="Arial" w:hAnsi="Arial" w:cs="Arial" w:eastAsia="Arial"/>
          <w:i/>
          <w:color w:val="auto"/>
          <w:spacing w:val="0"/>
          <w:position w:val="0"/>
          <w:sz w:val="24"/>
          <w:shd w:fill="auto" w:val="clear"/>
          <w:vertAlign w:val="superscript"/>
        </w:rPr>
        <w:t xml:space="preserve">Sf21 </w:t>
      </w:r>
      <w:r>
        <w:rPr>
          <w:rFonts w:ascii="Arial" w:hAnsi="Arial" w:cs="Arial" w:eastAsia="Arial"/>
          <w:color w:val="auto"/>
          <w:spacing w:val="0"/>
          <w:position w:val="0"/>
          <w:sz w:val="24"/>
          <w:shd w:fill="auto" w:val="clear"/>
          <w:vertAlign w:val="superscript"/>
        </w:rPr>
        <w:t xml:space="preserve">cells before addition of His-G4-6; (2) material bound to NiNTA beads;  (3) supernatant of NiNTA beads washing step with calcium containing Hepes-OH buffer, pH 7.4; (4) actin eluted after addition of Hepes buffer containing 5 mM EGTA; (5) cardiac bovine actin as comparison; (6) NiNTA beads after elution of actin showing remaining His-tagged G4-6.</w:t>
      </w:r>
    </w:p>
    <w:p>
      <w:pPr>
        <w:spacing w:before="0" w:after="0" w:line="360"/>
        <w:ind w:right="-2" w:left="0" w:firstLine="0"/>
        <w:jc w:val="both"/>
        <w:rPr>
          <w:rFonts w:ascii="Arial" w:hAnsi="Arial" w:cs="Arial" w:eastAsia="Arial"/>
          <w:color w:val="auto"/>
          <w:spacing w:val="0"/>
          <w:position w:val="0"/>
          <w:sz w:val="24"/>
          <w:shd w:fill="auto" w:val="clear"/>
          <w:vertAlign w:val="superscript"/>
        </w:rPr>
      </w:pPr>
    </w:p>
    <w:p>
      <w:pPr>
        <w:spacing w:before="0" w:after="0" w:line="360"/>
        <w:ind w:right="-2" w:left="0" w:firstLine="0"/>
        <w:jc w:val="both"/>
        <w:rPr>
          <w:rFonts w:ascii="Arial" w:hAnsi="Arial" w:cs="Arial" w:eastAsia="Arial"/>
          <w:color w:val="auto"/>
          <w:spacing w:val="0"/>
          <w:position w:val="0"/>
          <w:sz w:val="24"/>
          <w:shd w:fill="auto" w:val="clear"/>
          <w:vertAlign w:val="superscript"/>
        </w:rPr>
      </w:pPr>
    </w:p>
    <w:p>
      <w:pPr>
        <w:spacing w:before="0" w:after="0" w:line="360"/>
        <w:ind w:right="-2" w:left="0" w:firstLine="0"/>
        <w:jc w:val="both"/>
        <w:rPr>
          <w:rFonts w:ascii="Arial" w:hAnsi="Arial" w:cs="Arial" w:eastAsia="Arial"/>
          <w:color w:val="auto"/>
          <w:spacing w:val="0"/>
          <w:position w:val="0"/>
          <w:sz w:val="24"/>
          <w:shd w:fill="auto" w:val="clear"/>
          <w:vertAlign w:val="superscript"/>
        </w:rPr>
      </w:pPr>
    </w:p>
    <w:p>
      <w:pPr>
        <w:spacing w:before="0" w:after="0" w:line="360"/>
        <w:ind w:right="-2" w:left="0" w:firstLine="0"/>
        <w:jc w:val="both"/>
        <w:rPr>
          <w:rFonts w:ascii="Arial" w:hAnsi="Arial" w:cs="Arial" w:eastAsia="Arial"/>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Purification of mammalian cardiac tropomyosin:</w:t>
      </w:r>
      <w:r>
        <w:rPr>
          <w:rFonts w:ascii="Arial" w:hAnsi="Arial" w:cs="Arial" w:eastAsia="Arial"/>
          <w:color w:val="auto"/>
          <w:spacing w:val="0"/>
          <w:position w:val="0"/>
          <w:sz w:val="24"/>
          <w:shd w:fill="auto" w:val="clear"/>
          <w:vertAlign w:val="superscript"/>
        </w:rPr>
        <w:t xml:space="preserve"> Cardiac </w:t>
      </w:r>
      <w:r>
        <w:rPr>
          <w:rFonts w:ascii="Arial" w:hAnsi="Arial" w:cs="Arial" w:eastAsia="Arial"/>
          <w:color w:val="auto"/>
          <w:spacing w:val="0"/>
          <w:position w:val="0"/>
          <w:sz w:val="24"/>
          <w:shd w:fill="auto" w:val="clear"/>
          <w:vertAlign w:val="superscript"/>
        </w:rPr>
        <w:t xml:space="preserve">α-tropomyosin was chromatographically purified from acetone dried powder prepared from pig heart according to [3] and then labelled with pyrene-maleimide under denaturing conditions according to [5].</w:t>
      </w:r>
    </w:p>
    <w:p>
      <w:pPr>
        <w:spacing w:before="0" w:after="0" w:line="360"/>
        <w:ind w:right="-2" w:left="0" w:firstLine="0"/>
        <w:jc w:val="both"/>
        <w:rPr>
          <w:rFonts w:ascii="Arial" w:hAnsi="Arial" w:cs="Arial" w:eastAsia="Arial"/>
          <w:color w:val="auto"/>
          <w:spacing w:val="0"/>
          <w:position w:val="0"/>
          <w:sz w:val="24"/>
          <w:shd w:fill="auto" w:val="clear"/>
          <w:vertAlign w:val="superscript"/>
        </w:rPr>
      </w:pPr>
    </w:p>
    <w:p>
      <w:pPr>
        <w:spacing w:before="0" w:after="0" w:line="360"/>
        <w:ind w:right="0" w:left="0" w:firstLine="0"/>
        <w:jc w:val="both"/>
        <w:rPr>
          <w:rFonts w:ascii="Arial" w:hAnsi="Arial" w:cs="Arial" w:eastAsia="Arial"/>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Expression and purification of human cardiac troponin subunits and troponin reconstitution:  </w:t>
      </w:r>
      <w:r>
        <w:rPr>
          <w:rFonts w:ascii="Arial" w:hAnsi="Arial" w:cs="Arial" w:eastAsia="Arial"/>
          <w:color w:val="auto"/>
          <w:spacing w:val="0"/>
          <w:position w:val="0"/>
          <w:sz w:val="24"/>
          <w:shd w:fill="auto" w:val="clear"/>
          <w:vertAlign w:val="superscript"/>
        </w:rPr>
        <w:t xml:space="preserve">For protein expression, the plasmids encoding wildtype human cTnC and the N-terminal fragment C0C2 of cMyBP-C were transformed into </w:t>
      </w:r>
      <w:r>
        <w:rPr>
          <w:rFonts w:ascii="Arial" w:hAnsi="Arial" w:cs="Arial" w:eastAsia="Arial"/>
          <w:i/>
          <w:color w:val="auto"/>
          <w:spacing w:val="0"/>
          <w:position w:val="0"/>
          <w:sz w:val="24"/>
          <w:shd w:fill="auto" w:val="clear"/>
          <w:vertAlign w:val="superscript"/>
        </w:rPr>
        <w:t xml:space="preserve">E.coli </w:t>
      </w:r>
      <w:r>
        <w:rPr>
          <w:rFonts w:ascii="Arial" w:hAnsi="Arial" w:cs="Arial" w:eastAsia="Arial"/>
          <w:color w:val="auto"/>
          <w:spacing w:val="0"/>
          <w:position w:val="0"/>
          <w:sz w:val="24"/>
          <w:shd w:fill="auto" w:val="clear"/>
          <w:vertAlign w:val="superscript"/>
        </w:rPr>
        <w:t xml:space="preserve">T7 Express lysY cells while the plasmids encoding wild type hcTnI and hcTnT were transformed into </w:t>
      </w:r>
      <w:r>
        <w:rPr>
          <w:rFonts w:ascii="Arial" w:hAnsi="Arial" w:cs="Arial" w:eastAsia="Arial"/>
          <w:i/>
          <w:color w:val="auto"/>
          <w:spacing w:val="0"/>
          <w:position w:val="0"/>
          <w:sz w:val="24"/>
          <w:shd w:fill="auto" w:val="clear"/>
          <w:vertAlign w:val="superscript"/>
        </w:rPr>
        <w:t xml:space="preserve">E. coli</w:t>
      </w:r>
      <w:r>
        <w:rPr>
          <w:rFonts w:ascii="Arial" w:hAnsi="Arial" w:cs="Arial" w:eastAsia="Arial"/>
          <w:color w:val="auto"/>
          <w:spacing w:val="0"/>
          <w:position w:val="0"/>
          <w:sz w:val="24"/>
          <w:shd w:fill="auto" w:val="clear"/>
          <w:vertAlign w:val="superscript"/>
        </w:rPr>
        <w:t xml:space="preserve"> BL21 (DE3). The isolation of hcTnC was performed following the method described [1]. Human cTnI was purified according to [10] and hcTnT according to [5]. For the reconstitution of wild type hcTn troponin complex, the individual subunits were mixed at an equimolar ratio under denaturing conditions (6 M urea, 0.5 M KCl) as previously described [12]. The urea and KCl concentrations were subsequently reduced by stepwise dialysis. The unbound subunits and dimeric complexes were removed by gel filtration. </w:t>
      </w:r>
    </w:p>
    <w:p>
      <w:pPr>
        <w:spacing w:before="0" w:after="0" w:line="360"/>
        <w:ind w:right="0" w:left="0" w:firstLine="0"/>
        <w:jc w:val="both"/>
        <w:rPr>
          <w:rFonts w:ascii="Arial" w:hAnsi="Arial" w:cs="Arial" w:eastAsia="Arial"/>
          <w:color w:val="auto"/>
          <w:spacing w:val="0"/>
          <w:position w:val="0"/>
          <w:sz w:val="24"/>
          <w:shd w:fill="auto" w:val="clear"/>
          <w:vertAlign w:val="superscript"/>
        </w:rPr>
      </w:pPr>
    </w:p>
    <w:p>
      <w:pPr>
        <w:spacing w:before="0" w:after="0" w:line="360"/>
        <w:ind w:right="0" w:left="0" w:firstLine="0"/>
        <w:jc w:val="both"/>
        <w:rPr>
          <w:rFonts w:ascii="Arial" w:hAnsi="Arial" w:cs="Arial" w:eastAsia="Arial"/>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Expression and purification of the N-terminal C0C2 fragment of human cardiac MyBP-C:  </w:t>
      </w:r>
      <w:r>
        <w:rPr>
          <w:rFonts w:ascii="Arial" w:hAnsi="Arial" w:cs="Arial" w:eastAsia="Arial"/>
          <w:color w:val="auto"/>
          <w:spacing w:val="0"/>
          <w:position w:val="0"/>
          <w:sz w:val="24"/>
          <w:shd w:fill="auto" w:val="clear"/>
          <w:vertAlign w:val="superscript"/>
        </w:rPr>
        <w:t xml:space="preserve">The N-terminal C0C2 fragment of human cardiac MyBP-C [13] was expressed with an N-terminal His</w:t>
      </w:r>
      <w:r>
        <w:rPr>
          <w:rFonts w:ascii="Arial" w:hAnsi="Arial" w:cs="Arial" w:eastAsia="Arial"/>
          <w:color w:val="auto"/>
          <w:spacing w:val="0"/>
          <w:position w:val="0"/>
          <w:sz w:val="24"/>
          <w:shd w:fill="auto" w:val="clear"/>
          <w:vertAlign w:val="subscript"/>
        </w:rPr>
        <w:t xml:space="preserve">6</w:t>
      </w:r>
      <w:r>
        <w:rPr>
          <w:rFonts w:ascii="Arial" w:hAnsi="Arial" w:cs="Arial" w:eastAsia="Arial"/>
          <w:color w:val="auto"/>
          <w:spacing w:val="0"/>
          <w:position w:val="0"/>
          <w:sz w:val="24"/>
          <w:shd w:fill="auto" w:val="clear"/>
          <w:vertAlign w:val="superscript"/>
        </w:rPr>
        <w:t xml:space="preserve">-tag and purified using Ni2+-magnetic beads (Ni-NTA Magnetic Beads, SERVA Heidelberg, Germany) according to the manufacturer’s instructions.  </w:t>
      </w:r>
    </w:p>
    <w:p>
      <w:pPr>
        <w:spacing w:before="0" w:after="0" w:line="240"/>
        <w:ind w:right="0" w:left="0" w:firstLine="0"/>
        <w:jc w:val="left"/>
        <w:rPr>
          <w:rFonts w:ascii="Arial" w:hAnsi="Arial" w:cs="Arial" w:eastAsia="Arial"/>
          <w:color w:val="auto"/>
          <w:spacing w:val="0"/>
          <w:position w:val="0"/>
          <w:sz w:val="24"/>
          <w:shd w:fill="auto" w:val="clear"/>
          <w:vertAlign w:val="superscript"/>
        </w:rPr>
      </w:pPr>
    </w:p>
    <w:p>
      <w:pPr>
        <w:spacing w:before="0" w:after="0" w:line="360"/>
        <w:ind w:right="0" w:left="0" w:firstLine="0"/>
        <w:jc w:val="both"/>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I</w:t>
      </w:r>
      <w:r>
        <w:rPr>
          <w:rFonts w:ascii="Arial" w:hAnsi="Arial" w:cs="Arial" w:eastAsia="Arial"/>
          <w:b/>
          <w:color w:val="auto"/>
          <w:spacing w:val="0"/>
          <w:position w:val="0"/>
          <w:sz w:val="24"/>
          <w:shd w:fill="auto" w:val="clear"/>
          <w:vertAlign w:val="superscript"/>
        </w:rPr>
        <w:t xml:space="preserve">solation of neonatal rat cardiomyocytes (NRCs):</w:t>
      </w:r>
      <w:r>
        <w:rPr>
          <w:rFonts w:ascii="Arial" w:hAnsi="Arial" w:cs="Arial" w:eastAsia="Arial"/>
          <w:color w:val="auto"/>
          <w:spacing w:val="0"/>
          <w:position w:val="0"/>
          <w:sz w:val="24"/>
          <w:shd w:fill="auto" w:val="clear"/>
          <w:vertAlign w:val="superscript"/>
        </w:rPr>
        <w:t xml:space="preserve">. Neonatal rats were killed in accordance with the guidelines of the European community (86/609/EEC). Briefly, dissected heart tissue was digested at 37°C for 1 h in buffer A (20 mM HEPES, pH 7.4, 120 mM NaCl, 1 mM NaH</w:t>
      </w:r>
      <w:r>
        <w:rPr>
          <w:rFonts w:ascii="Arial" w:hAnsi="Arial" w:cs="Arial" w:eastAsia="Arial"/>
          <w:color w:val="auto"/>
          <w:spacing w:val="0"/>
          <w:position w:val="0"/>
          <w:sz w:val="24"/>
          <w:shd w:fill="auto" w:val="clear"/>
          <w:vertAlign w:val="subscript"/>
        </w:rPr>
        <w:t xml:space="preserve">2</w:t>
      </w:r>
      <w:r>
        <w:rPr>
          <w:rFonts w:ascii="Arial" w:hAnsi="Arial" w:cs="Arial" w:eastAsia="Arial"/>
          <w:color w:val="auto"/>
          <w:spacing w:val="0"/>
          <w:position w:val="0"/>
          <w:sz w:val="24"/>
          <w:shd w:fill="auto" w:val="clear"/>
          <w:vertAlign w:val="superscript"/>
        </w:rPr>
        <w:t xml:space="preserve">PO</w:t>
      </w:r>
      <w:r>
        <w:rPr>
          <w:rFonts w:ascii="Arial" w:hAnsi="Arial" w:cs="Arial" w:eastAsia="Arial"/>
          <w:color w:val="auto"/>
          <w:spacing w:val="0"/>
          <w:position w:val="0"/>
          <w:sz w:val="24"/>
          <w:shd w:fill="auto" w:val="clear"/>
          <w:vertAlign w:val="subscript"/>
        </w:rPr>
        <w:t xml:space="preserve">4</w:t>
      </w:r>
      <w:r>
        <w:rPr>
          <w:rFonts w:ascii="Arial" w:hAnsi="Arial" w:cs="Arial" w:eastAsia="Arial"/>
          <w:color w:val="auto"/>
          <w:spacing w:val="0"/>
          <w:position w:val="0"/>
          <w:sz w:val="24"/>
          <w:shd w:fill="auto" w:val="clear"/>
          <w:vertAlign w:val="superscript"/>
        </w:rPr>
        <w:t xml:space="preserve">, 5.5 mM glucose, 5.4 mM KCl, 0.8 mM MgSO</w:t>
      </w:r>
      <w:r>
        <w:rPr>
          <w:rFonts w:ascii="Arial" w:hAnsi="Arial" w:cs="Arial" w:eastAsia="Arial"/>
          <w:color w:val="auto"/>
          <w:spacing w:val="0"/>
          <w:position w:val="0"/>
          <w:sz w:val="24"/>
          <w:shd w:fill="auto" w:val="clear"/>
          <w:vertAlign w:val="subscript"/>
        </w:rPr>
        <w:t xml:space="preserve">4</w:t>
      </w:r>
      <w:r>
        <w:rPr>
          <w:rFonts w:ascii="Arial" w:hAnsi="Arial" w:cs="Arial" w:eastAsia="Arial"/>
          <w:color w:val="auto"/>
          <w:spacing w:val="0"/>
          <w:position w:val="0"/>
          <w:sz w:val="24"/>
          <w:shd w:fill="auto" w:val="clear"/>
          <w:vertAlign w:val="superscript"/>
        </w:rPr>
        <w:t xml:space="preserve">) containing heparin (19.5 U/mg) and supplemented with collagenase type II (80 U/ml) and pancreatinin (0.6 mg/ml). Every 10 min the supernatant containing released cells was taken and centrifuged at 327 x g, room temperature for 8 min. The cell pellet was resuspended in 2 ml of culture medium (DMEM/M199 4:1 (Gibco-BRL), 10% horse serum, 5% fetal calf serum, 1% penicillin/streptomycin/neomycin-mixture, 1% glutamax (all obtained from Invitrogen). Meanwhile, new portions of enzymes were added to the tissue. After the digestion was repeated 5 times, the suspended cells were pooled and filtered through a nylon cell strainer with 100 µm pores. Subsequently the cells were washed once more to remove the rest of the digestive enzymes and placed in a 100 x 20 mm tissue culture dish for 2 h in an incubator at 37°C. During this step fibroblasts and other non-cardiomyocytes cells attached to the bottom of the dish, while the cardiomyocytes remained in the supernatant. Then the cardiomyocytes were collected by gentle centrifugation and seeded in 35 mm tissue culture dishes coated with 10 µg/ml laminin and 10 µg/ml fibronectin to a final density of 3.5 x 105 cells. The next day, the medium was changed and fresh medium containing cytosine ß-D-arabinofuranoside (10 µg/ml) was added to the cells. The NRCs were incubated in this medium for 48 h in order to inhibit the growth of the remaining mesenchymal cells [14]. After 48 h the medium was changed again to DMEM/M199 without cytosine arabinoside. Contamination of NRCs with other cells was around 5-10% as estimated by confocal analysis of the cells immunostained with a mouse anti-</w:t>
      </w:r>
      <w:r>
        <w:rPr>
          <w:rFonts w:ascii="Arial" w:hAnsi="Arial" w:cs="Arial" w:eastAsia="Arial"/>
          <w:color w:val="auto"/>
          <w:spacing w:val="0"/>
          <w:position w:val="0"/>
          <w:sz w:val="24"/>
          <w:shd w:fill="auto" w:val="clear"/>
          <w:vertAlign w:val="superscript"/>
        </w:rPr>
        <w:t xml:space="preserve">α-cardiac actin antibody and Hoechst 33342. Neonatal cardiomyocytes could be maintained for up to 3 weeks when incubated at 37</w:t>
      </w:r>
      <w:r>
        <w:rPr>
          <w:rFonts w:ascii="Arial" w:hAnsi="Arial" w:cs="Arial" w:eastAsia="Arial"/>
          <w:color w:val="auto"/>
          <w:spacing w:val="0"/>
          <w:position w:val="0"/>
          <w:sz w:val="24"/>
          <w:shd w:fill="auto" w:val="clear"/>
          <w:vertAlign w:val="superscript"/>
        </w:rPr>
        <w:t xml:space="preserve">°C and 5% CO</w:t>
      </w:r>
      <w:r>
        <w:rPr>
          <w:rFonts w:ascii="Arial" w:hAnsi="Arial" w:cs="Arial" w:eastAsia="Arial"/>
          <w:color w:val="auto"/>
          <w:spacing w:val="0"/>
          <w:position w:val="0"/>
          <w:sz w:val="24"/>
          <w:shd w:fill="auto" w:val="clear"/>
          <w:vertAlign w:val="subscript"/>
        </w:rPr>
        <w:t xml:space="preserve">2</w:t>
      </w:r>
      <w:r>
        <w:rPr>
          <w:rFonts w:ascii="Arial" w:hAnsi="Arial" w:cs="Arial" w:eastAsia="Arial"/>
          <w:color w:val="auto"/>
          <w:spacing w:val="0"/>
          <w:position w:val="0"/>
          <w:sz w:val="24"/>
          <w:shd w:fill="auto" w:val="clear"/>
          <w:vertAlign w:val="superscript"/>
        </w:rPr>
        <w:t xml:space="preserve">.</w:t>
      </w:r>
    </w:p>
    <w:p>
      <w:pPr>
        <w:spacing w:before="0" w:after="0" w:line="360"/>
        <w:ind w:right="0" w:left="0" w:firstLine="0"/>
        <w:jc w:val="both"/>
        <w:rPr>
          <w:rFonts w:ascii="Arial" w:hAnsi="Arial" w:cs="Arial" w:eastAsia="Arial"/>
          <w:color w:val="auto"/>
          <w:spacing w:val="0"/>
          <w:position w:val="0"/>
          <w:sz w:val="24"/>
          <w:shd w:fill="auto" w:val="clear"/>
          <w:vertAlign w:val="superscript"/>
        </w:rPr>
      </w:pPr>
    </w:p>
    <w:p>
      <w:pPr>
        <w:spacing w:before="0" w:after="0" w:line="360"/>
        <w:ind w:right="0" w:left="0" w:firstLine="0"/>
        <w:jc w:val="both"/>
        <w:rPr>
          <w:rFonts w:ascii="Arial" w:hAnsi="Arial" w:cs="Arial" w:eastAsia="Arial"/>
          <w:b/>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Results</w:t>
      </w:r>
    </w:p>
    <w:p>
      <w:pPr>
        <w:spacing w:before="0" w:after="0" w:line="360"/>
        <w:ind w:right="0" w:left="0" w:firstLine="0"/>
        <w:jc w:val="both"/>
        <w:rPr>
          <w:rFonts w:ascii="Arial" w:hAnsi="Arial" w:cs="Arial" w:eastAsia="Arial"/>
          <w:b/>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Stimulation of the myosin-S1 ATPase by the c-actin variants</w:t>
      </w:r>
    </w:p>
    <w:p>
      <w:pPr>
        <w:spacing w:before="0" w:after="0" w:line="360"/>
        <w:ind w:right="0" w:left="0" w:firstLine="0"/>
        <w:jc w:val="both"/>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The main function of filamentous actin is the stimulation of the myosin ATPase activity during its cyclic interaction with myosin-heads leading to muscle contraction. Therefore, we measured the stimulatory effect of the c-</w:t>
      </w:r>
      <w:r>
        <w:rPr>
          <w:rFonts w:ascii="Arial" w:hAnsi="Arial" w:cs="Arial" w:eastAsia="Arial"/>
          <w:color w:val="auto"/>
          <w:spacing w:val="0"/>
          <w:position w:val="0"/>
          <w:sz w:val="24"/>
          <w:shd w:fill="auto" w:val="clear"/>
          <w:vertAlign w:val="superscript"/>
        </w:rPr>
        <w:t xml:space="preserve">α-actin variants on the myosin subfragment 1 (myosin-S1) ATPase activity. First we compared the concentration dependence of the stimulation of the ATPase activity of skeletal muscle myosin-S1 by filamentous bovine and recombinant the c-α-actins (Fig. 5A) and observed only a slightly higher stimulatory activity by F-bovine c-α-actin (Fig. 5A</w:t>
      </w:r>
      <w:r>
        <w:rPr>
          <w:rFonts w:ascii="Arial" w:hAnsi="Arial" w:cs="Arial" w:eastAsia="Arial"/>
          <w:color w:val="auto"/>
          <w:spacing w:val="0"/>
          <w:position w:val="0"/>
          <w:sz w:val="24"/>
          <w:shd w:fill="auto" w:val="clear"/>
          <w:vertAlign w:val="superscript"/>
        </w:rPr>
        <w:t xml:space="preserve">´and A´) suggesting that recombinant expression of wt c-</w:t>
      </w:r>
      <w:r>
        <w:rPr>
          <w:rFonts w:ascii="Arial" w:hAnsi="Arial" w:cs="Arial" w:eastAsia="Arial"/>
          <w:color w:val="auto"/>
          <w:spacing w:val="0"/>
          <w:position w:val="0"/>
          <w:sz w:val="24"/>
          <w:shd w:fill="auto" w:val="clear"/>
          <w:vertAlign w:val="superscript"/>
        </w:rPr>
        <w:t xml:space="preserve">α-actin did also not impair this function. Indeed, double reciprocal analysis indicated very similar values for V</w:t>
      </w:r>
      <w:r>
        <w:rPr>
          <w:rFonts w:ascii="Arial" w:hAnsi="Arial" w:cs="Arial" w:eastAsia="Arial"/>
          <w:color w:val="auto"/>
          <w:spacing w:val="0"/>
          <w:position w:val="0"/>
          <w:sz w:val="24"/>
          <w:shd w:fill="auto" w:val="clear"/>
          <w:vertAlign w:val="subscript"/>
        </w:rPr>
        <w:t xml:space="preserve">max</w:t>
      </w:r>
      <w:r>
        <w:rPr>
          <w:rFonts w:ascii="Arial" w:hAnsi="Arial" w:cs="Arial" w:eastAsia="Arial"/>
          <w:color w:val="auto"/>
          <w:spacing w:val="0"/>
          <w:position w:val="0"/>
          <w:sz w:val="24"/>
          <w:shd w:fill="auto" w:val="clear"/>
          <w:vertAlign w:val="superscript"/>
        </w:rPr>
        <w:t xml:space="preserve"> and apparent K</w:t>
      </w:r>
      <w:r>
        <w:rPr>
          <w:rFonts w:ascii="Arial" w:hAnsi="Arial" w:cs="Arial" w:eastAsia="Arial"/>
          <w:color w:val="auto"/>
          <w:spacing w:val="0"/>
          <w:position w:val="0"/>
          <w:sz w:val="24"/>
          <w:shd w:fill="auto" w:val="clear"/>
          <w:vertAlign w:val="subscript"/>
        </w:rPr>
        <w:t xml:space="preserve">m</w:t>
      </w:r>
      <w:r>
        <w:rPr>
          <w:rFonts w:ascii="Arial" w:hAnsi="Arial" w:cs="Arial" w:eastAsia="Arial"/>
          <w:color w:val="auto"/>
          <w:spacing w:val="0"/>
          <w:position w:val="0"/>
          <w:sz w:val="24"/>
          <w:shd w:fill="auto" w:val="clear"/>
          <w:vertAlign w:val="superscript"/>
        </w:rPr>
        <w:t xml:space="preserve">-parameters (Fig. 5A; Table 3). Similar results were obtained when using bovine cardiac myosin-S1 (not shown). Next we determined the myosin-S1 ATPase stimulation by c-α-actins before and after decoration with cardiac cTm/cTn at a molar ratio of 6:1:1 (Fig. 5B-E). Except for the p.R312H mutant (Fig. 5D) we observed a higher stimulatory effect of the myosin-S1 ATPase after cTm/cTn decoration. The parameters derived from reciprocal analyses (Table 3) indicated, except for p.E361G, a decrease in the apparent affinity of the c-α-actins to myosin-S1 after decoration with cTm/cTn. This was especially pronounced for p.A295S (Table 3), but contrasted by the fact that the p.A295S mutant showed a considerable increase in the maximal myosin-S1 ATPase stimulation when compared to wt and the other c-α-actins (Table 3). </w:t>
      </w:r>
    </w:p>
    <w:p>
      <w:pPr>
        <w:spacing w:before="0" w:after="0" w:line="360"/>
        <w:ind w:right="0" w:left="0" w:firstLine="0"/>
        <w:jc w:val="both"/>
        <w:rPr>
          <w:rFonts w:ascii="Arial" w:hAnsi="Arial" w:cs="Arial" w:eastAsia="Arial"/>
          <w:b/>
          <w:color w:val="auto"/>
          <w:spacing w:val="0"/>
          <w:position w:val="0"/>
          <w:sz w:val="24"/>
          <w:shd w:fill="auto" w:val="clear"/>
          <w:vertAlign w:val="superscript"/>
        </w:rPr>
      </w:pPr>
    </w:p>
    <w:p>
      <w:pPr>
        <w:spacing w:before="0" w:after="0" w:line="360"/>
        <w:ind w:right="0" w:left="0" w:firstLine="0"/>
        <w:jc w:val="both"/>
        <w:rPr>
          <w:rFonts w:ascii="Arial" w:hAnsi="Arial" w:cs="Arial" w:eastAsia="Arial"/>
          <w:b/>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Again bovine and recombinant wt c-</w:t>
      </w:r>
      <w:r>
        <w:rPr>
          <w:rFonts w:ascii="Arial" w:hAnsi="Arial" w:cs="Arial" w:eastAsia="Arial"/>
          <w:color w:val="auto"/>
          <w:spacing w:val="0"/>
          <w:position w:val="0"/>
          <w:sz w:val="24"/>
          <w:shd w:fill="auto" w:val="clear"/>
          <w:vertAlign w:val="superscript"/>
        </w:rPr>
        <w:t xml:space="preserve">α-actin showed a very similar stimulatory activity, whereas both DCM mutants showed a lower maximal and the p.A295S mutant an at least equal or slightly higher stimulatory activity than recombinant wt c-α-actin.</w:t>
      </w:r>
    </w:p>
    <w:p>
      <w:pPr>
        <w:spacing w:before="0" w:after="0" w:line="360"/>
        <w:ind w:right="0" w:left="0" w:firstLine="0"/>
        <w:jc w:val="both"/>
        <w:rPr>
          <w:rFonts w:ascii="Arial" w:hAnsi="Arial" w:cs="Arial" w:eastAsia="Arial"/>
          <w:b/>
          <w:color w:val="auto"/>
          <w:spacing w:val="0"/>
          <w:position w:val="0"/>
          <w:sz w:val="24"/>
          <w:shd w:fill="auto" w:val="clear"/>
          <w:vertAlign w:val="superscript"/>
        </w:rPr>
      </w:pPr>
    </w:p>
    <w:p>
      <w:pPr>
        <w:spacing w:before="0" w:after="200" w:line="276"/>
        <w:ind w:right="0" w:left="0" w:firstLine="0"/>
        <w:jc w:val="left"/>
        <w:rPr>
          <w:rFonts w:ascii="Arial" w:hAnsi="Arial" w:cs="Arial" w:eastAsia="Arial"/>
          <w:b/>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Properties of the pR312K mutant cardiac actin</w:t>
      </w:r>
    </w:p>
    <w:p>
      <w:pPr>
        <w:spacing w:before="0" w:after="200" w:line="276"/>
        <w:ind w:right="0" w:left="0" w:firstLine="0"/>
        <w:jc w:val="both"/>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Additionally, we expressed by the </w:t>
      </w:r>
      <w:r>
        <w:rPr>
          <w:rFonts w:ascii="Arial" w:hAnsi="Arial" w:cs="Arial" w:eastAsia="Arial"/>
          <w:i/>
          <w:color w:val="auto"/>
          <w:spacing w:val="0"/>
          <w:position w:val="0"/>
          <w:sz w:val="24"/>
          <w:shd w:fill="auto" w:val="clear"/>
          <w:vertAlign w:val="superscript"/>
        </w:rPr>
        <w:t xml:space="preserve">baculovirus/Sf9</w:t>
      </w:r>
      <w:r>
        <w:rPr>
          <w:rFonts w:ascii="Arial" w:hAnsi="Arial" w:cs="Arial" w:eastAsia="Arial"/>
          <w:color w:val="auto"/>
          <w:spacing w:val="0"/>
          <w:position w:val="0"/>
          <w:sz w:val="24"/>
          <w:shd w:fill="auto" w:val="clear"/>
          <w:vertAlign w:val="superscript"/>
        </w:rPr>
        <w:t xml:space="preserve"> system and subsequently purified the p.R312K c-actin variant possessing a conservative exchange and supposedly causing DCM (Dr. Cora-Ann Schoenenberger, Basel, Switzerland, personal communication). Since this mutant appeared to represent an isoform without significantly altered behaviour, it was not included in every characterization assay. Since the p.R312K c-actin variant has not been investigated up to date, its properties as determined during the course of this study are presented here. Our data indicated that the biochemical properties like DNase I inhibition and polymerization behaviour of the pR312K mutant were almost identical to wt c-actin (Fig. S2A and B). Indeed, its critical concentration and half time of polymerization were determined as 0.21 µM</w:t>
      </w:r>
      <w:r>
        <w:rPr>
          <w:rFonts w:ascii="Arial" w:hAnsi="Arial" w:cs="Arial" w:eastAsia="Arial"/>
          <w:b/>
          <w:color w:val="auto"/>
          <w:spacing w:val="0"/>
          <w:position w:val="0"/>
          <w:sz w:val="24"/>
          <w:shd w:fill="auto" w:val="clear"/>
          <w:vertAlign w:val="superscript"/>
        </w:rPr>
        <w:t xml:space="preserve"> </w:t>
      </w:r>
      <w:r>
        <w:rPr>
          <w:rFonts w:ascii="Arial" w:hAnsi="Arial" w:cs="Arial" w:eastAsia="Arial"/>
          <w:color w:val="auto"/>
          <w:spacing w:val="0"/>
          <w:position w:val="0"/>
          <w:sz w:val="24"/>
          <w:shd w:fill="auto" w:val="clear"/>
          <w:vertAlign w:val="superscript"/>
        </w:rPr>
        <w:t xml:space="preserve">and 3.08 minuntes, respectively. In contrast, neither Arp2/3 complex nor mDia3-FH2 exerted a stimulatory effect on the rate of polymerization of the p.R312K variant (Fig. S2C). In fact Arp2/3 complex reduced the extent of polymerization (Fig. S2C). The morphological appearance of the p.R312K variant was similar to wt c-actin as judged by EM after negative staining before and after decoration with cTm and cTn (Fig. S2C,D). Furthermore, the p.R312K mutant stimulated the myosin-subfragment 1 ATPase activity identically as wt c-actin as previously shown [6]. Since no reports exist that demonstrate a pathological significance of pR312K or link to any form of cardiomyopathy, we assumed that it might represent a polymorphic variant albeit with slightly different properties than wt c-actin. </w:t>
      </w:r>
    </w:p>
    <w:p>
      <w:pPr>
        <w:spacing w:before="0" w:after="200" w:line="276"/>
        <w:ind w:right="0" w:left="0" w:firstLine="0"/>
        <w:jc w:val="left"/>
        <w:rPr>
          <w:rFonts w:ascii="Arial" w:hAnsi="Arial" w:cs="Arial" w:eastAsia="Arial"/>
          <w:color w:val="auto"/>
          <w:spacing w:val="0"/>
          <w:position w:val="0"/>
          <w:sz w:val="16"/>
          <w:shd w:fill="auto" w:val="clear"/>
          <w:vertAlign w:val="superscript"/>
        </w:rPr>
      </w:pPr>
      <w:r>
        <w:object w:dxaOrig="7937" w:dyaOrig="7613">
          <v:rect xmlns:o="urn:schemas-microsoft-com:office:office" xmlns:v="urn:schemas-microsoft-com:vml" id="rectole0000000001" style="width:396.850000pt;height:380.65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p>
    <w:p>
      <w:pPr>
        <w:spacing w:before="0" w:after="200" w:line="360"/>
        <w:ind w:right="0" w:left="0" w:firstLine="0"/>
        <w:jc w:val="left"/>
        <w:rPr>
          <w:rFonts w:ascii="Arial" w:hAnsi="Arial" w:cs="Arial" w:eastAsia="Arial"/>
          <w:b/>
          <w:color w:val="auto"/>
          <w:spacing w:val="0"/>
          <w:position w:val="0"/>
          <w:sz w:val="24"/>
          <w:shd w:fill="auto" w:val="clear"/>
          <w:vertAlign w:val="superscript"/>
        </w:rPr>
      </w:pPr>
    </w:p>
    <w:p>
      <w:pPr>
        <w:spacing w:before="0" w:after="200" w:line="276"/>
        <w:ind w:right="0" w:left="0" w:firstLine="0"/>
        <w:jc w:val="left"/>
        <w:rPr>
          <w:rFonts w:ascii="Arial" w:hAnsi="Arial" w:cs="Arial" w:eastAsia="Arial"/>
          <w:b/>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Fig.  S2: Properties of the p.R312K c-actin variant.</w:t>
      </w:r>
    </w:p>
    <w:p>
      <w:pPr>
        <w:spacing w:before="0" w:after="200" w:line="276"/>
        <w:ind w:right="0" w:left="0" w:firstLine="0"/>
        <w:jc w:val="left"/>
        <w:rPr>
          <w:rFonts w:ascii="Arial" w:hAnsi="Arial" w:cs="Arial" w:eastAsia="Arial"/>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(A)</w:t>
      </w:r>
      <w:r>
        <w:rPr>
          <w:rFonts w:ascii="Arial" w:hAnsi="Arial" w:cs="Arial" w:eastAsia="Arial"/>
          <w:color w:val="auto"/>
          <w:spacing w:val="0"/>
          <w:position w:val="0"/>
          <w:sz w:val="24"/>
          <w:shd w:fill="auto" w:val="clear"/>
          <w:vertAlign w:val="superscript"/>
        </w:rPr>
        <w:t xml:space="preserve"> Inhibition of DNase I by the c-actin variants. The inhibition by p.R312K is shown by the trendline.</w:t>
      </w:r>
      <w:r>
        <w:rPr>
          <w:rFonts w:ascii="Arial" w:hAnsi="Arial" w:cs="Arial" w:eastAsia="Arial"/>
          <w:b/>
          <w:color w:val="auto"/>
          <w:spacing w:val="0"/>
          <w:position w:val="0"/>
          <w:sz w:val="24"/>
          <w:shd w:fill="auto" w:val="clear"/>
          <w:vertAlign w:val="superscript"/>
        </w:rPr>
        <w:t xml:space="preserve"> (B) </w:t>
      </w:r>
      <w:r>
        <w:rPr>
          <w:rFonts w:ascii="Arial" w:hAnsi="Arial" w:cs="Arial" w:eastAsia="Arial"/>
          <w:color w:val="auto"/>
          <w:spacing w:val="0"/>
          <w:position w:val="0"/>
          <w:sz w:val="24"/>
          <w:shd w:fill="auto" w:val="clear"/>
          <w:vertAlign w:val="superscript"/>
        </w:rPr>
        <w:t xml:space="preserve">Rates of polymerization of the c-actin variants. The rate of 5 µM p.R312K is shown by (</w:t>
      </w:r>
      <w:r>
        <w:rPr>
          <w:rFonts w:ascii="Segoe UI Symbol" w:hAnsi="Segoe UI Symbol" w:cs="Segoe UI Symbol" w:eastAsia="Segoe UI Symbol"/>
          <w:color w:val="0070C0"/>
          <w:spacing w:val="0"/>
          <w:position w:val="0"/>
          <w:sz w:val="24"/>
          <w:shd w:fill="auto" w:val="clear"/>
          <w:vertAlign w:val="superscript"/>
        </w:rPr>
        <w:t xml:space="preserve">♦</w:t>
      </w:r>
      <w:r>
        <w:rPr>
          <w:rFonts w:ascii="Arial" w:hAnsi="Arial" w:cs="Arial" w:eastAsia="Arial"/>
          <w:color w:val="auto"/>
          <w:spacing w:val="0"/>
          <w:position w:val="0"/>
          <w:sz w:val="24"/>
          <w:shd w:fill="auto" w:val="clear"/>
          <w:vertAlign w:val="superscript"/>
        </w:rPr>
        <w:t xml:space="preserve">) and coincides with the rate of wt c-actin. </w:t>
      </w:r>
      <w:r>
        <w:rPr>
          <w:rFonts w:ascii="Arial" w:hAnsi="Arial" w:cs="Arial" w:eastAsia="Arial"/>
          <w:b/>
          <w:color w:val="auto"/>
          <w:spacing w:val="0"/>
          <w:position w:val="0"/>
          <w:sz w:val="24"/>
          <w:shd w:fill="auto" w:val="clear"/>
          <w:vertAlign w:val="superscript"/>
        </w:rPr>
        <w:t xml:space="preserve">(C)</w:t>
      </w:r>
      <w:r>
        <w:rPr>
          <w:rFonts w:ascii="Arial" w:hAnsi="Arial" w:cs="Arial" w:eastAsia="Arial"/>
          <w:color w:val="auto"/>
          <w:spacing w:val="0"/>
          <w:position w:val="0"/>
          <w:sz w:val="24"/>
          <w:shd w:fill="auto" w:val="clear"/>
          <w:vertAlign w:val="superscript"/>
        </w:rPr>
        <w:t xml:space="preserve"> Influence of 50 nM Arp2/3 complex and 50 nM mDia3-FH2 of the rate of polymerization of p.R312K. </w:t>
      </w:r>
      <w:r>
        <w:rPr>
          <w:rFonts w:ascii="Arial" w:hAnsi="Arial" w:cs="Arial" w:eastAsia="Arial"/>
          <w:b/>
          <w:color w:val="auto"/>
          <w:spacing w:val="0"/>
          <w:position w:val="0"/>
          <w:sz w:val="24"/>
          <w:shd w:fill="auto" w:val="clear"/>
          <w:vertAlign w:val="superscript"/>
        </w:rPr>
        <w:t xml:space="preserve">(C)</w:t>
      </w:r>
      <w:r>
        <w:rPr>
          <w:rFonts w:ascii="Arial" w:hAnsi="Arial" w:cs="Arial" w:eastAsia="Arial"/>
          <w:color w:val="auto"/>
          <w:spacing w:val="0"/>
          <w:position w:val="0"/>
          <w:sz w:val="24"/>
          <w:shd w:fill="auto" w:val="clear"/>
          <w:vertAlign w:val="superscript"/>
        </w:rPr>
        <w:t xml:space="preserve"> EM images of polymerized p.R312K without and </w:t>
      </w:r>
      <w:r>
        <w:rPr>
          <w:rFonts w:ascii="Arial" w:hAnsi="Arial" w:cs="Arial" w:eastAsia="Arial"/>
          <w:b/>
          <w:color w:val="auto"/>
          <w:spacing w:val="0"/>
          <w:position w:val="0"/>
          <w:sz w:val="24"/>
          <w:shd w:fill="auto" w:val="clear"/>
          <w:vertAlign w:val="superscript"/>
        </w:rPr>
        <w:t xml:space="preserve">(D)</w:t>
      </w:r>
      <w:r>
        <w:rPr>
          <w:rFonts w:ascii="Arial" w:hAnsi="Arial" w:cs="Arial" w:eastAsia="Arial"/>
          <w:color w:val="auto"/>
          <w:spacing w:val="0"/>
          <w:position w:val="0"/>
          <w:sz w:val="24"/>
          <w:shd w:fill="auto" w:val="clear"/>
          <w:vertAlign w:val="superscript"/>
        </w:rPr>
        <w:t xml:space="preserve"> after decoration with cTm and cTn at 7:1:1 ratio to actin. Bar in (D) corresponds to 100 nm.</w:t>
      </w:r>
    </w:p>
    <w:p>
      <w:pPr>
        <w:spacing w:before="0" w:after="200" w:line="276"/>
        <w:ind w:right="0" w:left="0" w:firstLine="0"/>
        <w:jc w:val="left"/>
        <w:rPr>
          <w:rFonts w:ascii="Arial" w:hAnsi="Arial" w:cs="Arial" w:eastAsia="Arial"/>
          <w:b/>
          <w:color w:val="auto"/>
          <w:spacing w:val="0"/>
          <w:position w:val="0"/>
          <w:sz w:val="16"/>
          <w:shd w:fill="auto" w:val="clear"/>
          <w:vertAlign w:val="superscript"/>
        </w:rPr>
      </w:pPr>
    </w:p>
    <w:p>
      <w:pPr>
        <w:spacing w:before="0" w:after="0" w:line="360"/>
        <w:ind w:right="0" w:left="0" w:firstLine="0"/>
        <w:jc w:val="both"/>
        <w:rPr>
          <w:rFonts w:ascii="Arial" w:hAnsi="Arial" w:cs="Arial" w:eastAsia="Arial"/>
          <w:b/>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Stimulation of the myosin-S1 ATPase by the c-actin variants</w:t>
      </w:r>
    </w:p>
    <w:p>
      <w:pPr>
        <w:spacing w:before="0" w:after="0" w:line="276"/>
        <w:ind w:right="0" w:left="0" w:firstLine="0"/>
        <w:jc w:val="both"/>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The main function of filamentous actin is the stimulation of the myosin ATPase activity during its cyclic interaction with myosin-heads leading to muscle contraction. The concentration dependence of the stimulatory effect of the c-</w:t>
      </w:r>
      <w:r>
        <w:rPr>
          <w:rFonts w:ascii="Arial" w:hAnsi="Arial" w:cs="Arial" w:eastAsia="Arial"/>
          <w:color w:val="auto"/>
          <w:spacing w:val="0"/>
          <w:position w:val="0"/>
          <w:sz w:val="24"/>
          <w:shd w:fill="auto" w:val="clear"/>
          <w:vertAlign w:val="superscript"/>
        </w:rPr>
        <w:t xml:space="preserve">α-actin variants on the myosin subfragment 1 (myosin-S1) ATPase activity</w:t>
      </w:r>
      <w:r>
        <w:rPr>
          <w:rFonts w:ascii="Arial" w:hAnsi="Arial" w:cs="Arial" w:eastAsia="Arial"/>
          <w:color w:val="auto"/>
          <w:spacing w:val="0"/>
          <w:position w:val="0"/>
          <w:sz w:val="24"/>
          <w:shd w:fill="auto" w:val="clear"/>
          <w:vertAlign w:val="superscript"/>
        </w:rPr>
        <w:t xml:space="preserve"> was measured before and after decoration of the polymerized c-actin variabts with cTm and cTn at a molar ratio to actun subunits of 7:1:1. When c</w:t>
      </w:r>
      <w:r>
        <w:rPr>
          <w:rFonts w:ascii="Arial" w:hAnsi="Arial" w:cs="Arial" w:eastAsia="Arial"/>
          <w:color w:val="auto"/>
          <w:spacing w:val="0"/>
          <w:position w:val="0"/>
          <w:sz w:val="24"/>
          <w:shd w:fill="auto" w:val="clear"/>
          <w:vertAlign w:val="superscript"/>
        </w:rPr>
        <w:t xml:space="preserve">ompar</w:t>
      </w:r>
      <w:r>
        <w:rPr>
          <w:rFonts w:ascii="Arial" w:hAnsi="Arial" w:cs="Arial" w:eastAsia="Arial"/>
          <w:color w:val="auto"/>
          <w:spacing w:val="0"/>
          <w:position w:val="0"/>
          <w:sz w:val="24"/>
          <w:shd w:fill="auto" w:val="clear"/>
          <w:vertAlign w:val="superscript"/>
        </w:rPr>
        <w:t xml:space="preserve">ing</w:t>
      </w:r>
      <w:r>
        <w:rPr>
          <w:rFonts w:ascii="Arial" w:hAnsi="Arial" w:cs="Arial" w:eastAsia="Arial"/>
          <w:color w:val="auto"/>
          <w:spacing w:val="0"/>
          <w:position w:val="0"/>
          <w:sz w:val="24"/>
          <w:shd w:fill="auto" w:val="clear"/>
          <w:vertAlign w:val="superscript"/>
        </w:rPr>
        <w:t xml:space="preserve"> the concentration dependence of the stimulation of the ATPase activity of skeletal muscle myosin-S1 by filamentous bovine and recombinant the c-α-actins (Fig. S3) </w:t>
      </w:r>
      <w:r>
        <w:rPr>
          <w:rFonts w:ascii="Arial" w:hAnsi="Arial" w:cs="Arial" w:eastAsia="Arial"/>
          <w:color w:val="auto"/>
          <w:spacing w:val="0"/>
          <w:position w:val="0"/>
          <w:sz w:val="24"/>
          <w:shd w:fill="auto" w:val="clear"/>
          <w:vertAlign w:val="superscript"/>
        </w:rPr>
        <w:t xml:space="preserve">we</w:t>
      </w:r>
      <w:r>
        <w:rPr>
          <w:rFonts w:ascii="Arial" w:hAnsi="Arial" w:cs="Arial" w:eastAsia="Arial"/>
          <w:color w:val="auto"/>
          <w:spacing w:val="0"/>
          <w:position w:val="0"/>
          <w:sz w:val="24"/>
          <w:shd w:fill="auto" w:val="clear"/>
          <w:vertAlign w:val="superscript"/>
        </w:rPr>
        <w:t xml:space="preserve"> observed only a slightly higher stimulatory activity by F-bovine c-α-actin (Fig. </w:t>
      </w:r>
      <w:r>
        <w:rPr>
          <w:rFonts w:ascii="Arial" w:hAnsi="Arial" w:cs="Arial" w:eastAsia="Arial"/>
          <w:color w:val="auto"/>
          <w:spacing w:val="0"/>
          <w:position w:val="0"/>
          <w:sz w:val="24"/>
          <w:shd w:fill="auto" w:val="clear"/>
          <w:vertAlign w:val="superscript"/>
        </w:rPr>
        <w:t xml:space="preserve">S3</w:t>
      </w:r>
      <w:r>
        <w:rPr>
          <w:rFonts w:ascii="Arial" w:hAnsi="Arial" w:cs="Arial" w:eastAsia="Arial"/>
          <w:color w:val="auto"/>
          <w:spacing w:val="0"/>
          <w:position w:val="0"/>
          <w:sz w:val="24"/>
          <w:shd w:fill="auto" w:val="clear"/>
          <w:vertAlign w:val="superscript"/>
        </w:rPr>
        <w:t xml:space="preserve">A</w:t>
      </w:r>
      <w:r>
        <w:rPr>
          <w:rFonts w:ascii="Arial" w:hAnsi="Arial" w:cs="Arial" w:eastAsia="Arial"/>
          <w:color w:val="auto"/>
          <w:spacing w:val="0"/>
          <w:position w:val="0"/>
          <w:sz w:val="24"/>
          <w:shd w:fill="auto" w:val="clear"/>
          <w:vertAlign w:val="superscript"/>
        </w:rPr>
        <w:t xml:space="preserve">´and A´) suggesting that recombinant expression of wt c-</w:t>
      </w:r>
      <w:r>
        <w:rPr>
          <w:rFonts w:ascii="Arial" w:hAnsi="Arial" w:cs="Arial" w:eastAsia="Arial"/>
          <w:color w:val="auto"/>
          <w:spacing w:val="0"/>
          <w:position w:val="0"/>
          <w:sz w:val="24"/>
          <w:shd w:fill="auto" w:val="clear"/>
          <w:vertAlign w:val="superscript"/>
        </w:rPr>
        <w:t xml:space="preserve">α-actin did also not impair this function. Indeed, double reciprocal analysis indicated very similar values for V</w:t>
      </w:r>
      <w:r>
        <w:rPr>
          <w:rFonts w:ascii="Arial" w:hAnsi="Arial" w:cs="Arial" w:eastAsia="Arial"/>
          <w:color w:val="auto"/>
          <w:spacing w:val="0"/>
          <w:position w:val="0"/>
          <w:sz w:val="24"/>
          <w:shd w:fill="auto" w:val="clear"/>
          <w:vertAlign w:val="subscript"/>
        </w:rPr>
        <w:t xml:space="preserve">max</w:t>
      </w:r>
      <w:r>
        <w:rPr>
          <w:rFonts w:ascii="Arial" w:hAnsi="Arial" w:cs="Arial" w:eastAsia="Arial"/>
          <w:color w:val="auto"/>
          <w:spacing w:val="0"/>
          <w:position w:val="0"/>
          <w:sz w:val="24"/>
          <w:shd w:fill="auto" w:val="clear"/>
          <w:vertAlign w:val="superscript"/>
        </w:rPr>
        <w:t xml:space="preserve"> and apparent K</w:t>
      </w:r>
      <w:r>
        <w:rPr>
          <w:rFonts w:ascii="Arial" w:hAnsi="Arial" w:cs="Arial" w:eastAsia="Arial"/>
          <w:color w:val="auto"/>
          <w:spacing w:val="0"/>
          <w:position w:val="0"/>
          <w:sz w:val="24"/>
          <w:shd w:fill="auto" w:val="clear"/>
          <w:vertAlign w:val="subscript"/>
        </w:rPr>
        <w:t xml:space="preserve">m</w:t>
      </w:r>
      <w:r>
        <w:rPr>
          <w:rFonts w:ascii="Arial" w:hAnsi="Arial" w:cs="Arial" w:eastAsia="Arial"/>
          <w:color w:val="auto"/>
          <w:spacing w:val="0"/>
          <w:position w:val="0"/>
          <w:sz w:val="24"/>
          <w:shd w:fill="auto" w:val="clear"/>
          <w:vertAlign w:val="superscript"/>
        </w:rPr>
        <w:t xml:space="preserve">-parameters (Fig. </w:t>
      </w:r>
      <w:r>
        <w:rPr>
          <w:rFonts w:ascii="Arial" w:hAnsi="Arial" w:cs="Arial" w:eastAsia="Arial"/>
          <w:color w:val="auto"/>
          <w:spacing w:val="0"/>
          <w:position w:val="0"/>
          <w:sz w:val="24"/>
          <w:shd w:fill="auto" w:val="clear"/>
          <w:vertAlign w:val="superscript"/>
        </w:rPr>
        <w:t xml:space="preserve">S3</w:t>
      </w:r>
      <w:r>
        <w:rPr>
          <w:rFonts w:ascii="Arial" w:hAnsi="Arial" w:cs="Arial" w:eastAsia="Arial"/>
          <w:color w:val="auto"/>
          <w:spacing w:val="0"/>
          <w:position w:val="0"/>
          <w:sz w:val="24"/>
          <w:shd w:fill="auto" w:val="clear"/>
          <w:vertAlign w:val="superscript"/>
        </w:rPr>
        <w:t xml:space="preserve">A; Table </w:t>
      </w:r>
      <w:r>
        <w:rPr>
          <w:rFonts w:ascii="Arial" w:hAnsi="Arial" w:cs="Arial" w:eastAsia="Arial"/>
          <w:color w:val="auto"/>
          <w:spacing w:val="0"/>
          <w:position w:val="0"/>
          <w:sz w:val="24"/>
          <w:shd w:fill="auto" w:val="clear"/>
          <w:vertAlign w:val="superscript"/>
        </w:rPr>
        <w:t xml:space="preserve">S1</w:t>
      </w:r>
      <w:r>
        <w:rPr>
          <w:rFonts w:ascii="Arial" w:hAnsi="Arial" w:cs="Arial" w:eastAsia="Arial"/>
          <w:color w:val="auto"/>
          <w:spacing w:val="0"/>
          <w:position w:val="0"/>
          <w:sz w:val="24"/>
          <w:shd w:fill="auto" w:val="clear"/>
          <w:vertAlign w:val="superscript"/>
        </w:rPr>
        <w:t xml:space="preserve">). Similar results were obtained when using bovine cardiac myosin-S1 (not shown). Next we determined the myosin-S1 ATPase stimulation by c-α-actins before and after decoration with cardiac cTm/cTn (Fig. </w:t>
      </w:r>
      <w:r>
        <w:rPr>
          <w:rFonts w:ascii="Arial" w:hAnsi="Arial" w:cs="Arial" w:eastAsia="Arial"/>
          <w:color w:val="auto"/>
          <w:spacing w:val="0"/>
          <w:position w:val="0"/>
          <w:sz w:val="24"/>
          <w:shd w:fill="auto" w:val="clear"/>
          <w:vertAlign w:val="superscript"/>
        </w:rPr>
        <w:t xml:space="preserve">S3</w:t>
      </w:r>
      <w:r>
        <w:rPr>
          <w:rFonts w:ascii="Arial" w:hAnsi="Arial" w:cs="Arial" w:eastAsia="Arial"/>
          <w:color w:val="auto"/>
          <w:spacing w:val="0"/>
          <w:position w:val="0"/>
          <w:sz w:val="24"/>
          <w:shd w:fill="auto" w:val="clear"/>
          <w:vertAlign w:val="superscript"/>
        </w:rPr>
        <w:t xml:space="preserve">B-E). Except for the p.R312H mutant (Fig. </w:t>
      </w:r>
      <w:r>
        <w:rPr>
          <w:rFonts w:ascii="Arial" w:hAnsi="Arial" w:cs="Arial" w:eastAsia="Arial"/>
          <w:color w:val="auto"/>
          <w:spacing w:val="0"/>
          <w:position w:val="0"/>
          <w:sz w:val="24"/>
          <w:shd w:fill="auto" w:val="clear"/>
          <w:vertAlign w:val="superscript"/>
        </w:rPr>
        <w:t xml:space="preserve">S3</w:t>
      </w:r>
      <w:r>
        <w:rPr>
          <w:rFonts w:ascii="Arial" w:hAnsi="Arial" w:cs="Arial" w:eastAsia="Arial"/>
          <w:color w:val="auto"/>
          <w:spacing w:val="0"/>
          <w:position w:val="0"/>
          <w:sz w:val="24"/>
          <w:shd w:fill="auto" w:val="clear"/>
          <w:vertAlign w:val="superscript"/>
        </w:rPr>
        <w:t xml:space="preserve">D) we observed a higher stimulatory effect of the myosin-S1 ATPase after cTm/cTn decoration. The parameters derived from reciprocal analyses (Table </w:t>
      </w:r>
      <w:r>
        <w:rPr>
          <w:rFonts w:ascii="Arial" w:hAnsi="Arial" w:cs="Arial" w:eastAsia="Arial"/>
          <w:color w:val="auto"/>
          <w:spacing w:val="0"/>
          <w:position w:val="0"/>
          <w:sz w:val="24"/>
          <w:shd w:fill="auto" w:val="clear"/>
          <w:vertAlign w:val="superscript"/>
        </w:rPr>
        <w:t xml:space="preserve">S1</w:t>
      </w:r>
      <w:r>
        <w:rPr>
          <w:rFonts w:ascii="Arial" w:hAnsi="Arial" w:cs="Arial" w:eastAsia="Arial"/>
          <w:color w:val="auto"/>
          <w:spacing w:val="0"/>
          <w:position w:val="0"/>
          <w:sz w:val="24"/>
          <w:shd w:fill="auto" w:val="clear"/>
          <w:vertAlign w:val="superscript"/>
        </w:rPr>
        <w:t xml:space="preserve">) indicated, except for p.E361G, a decrease in the apparent affinity of the c-α-actins to myosin-S1 after decoration with cTm/cTn. This was especially pronounced for p.A295S (Table 3), but contrasted by the fact that the p.A295S mutant showed a considerable increase in the maximal myosin-S1 ATPase stimulation when compared to wt and the other c-α-actins (Table S3).   </w:t>
      </w:r>
    </w:p>
    <w:p>
      <w:pPr>
        <w:spacing w:before="0" w:after="200" w:line="360"/>
        <w:ind w:right="0" w:left="0" w:firstLine="0"/>
        <w:jc w:val="left"/>
        <w:rPr>
          <w:rFonts w:ascii="Arial" w:hAnsi="Arial" w:cs="Arial" w:eastAsia="Arial"/>
          <w:b/>
          <w:color w:val="auto"/>
          <w:spacing w:val="0"/>
          <w:position w:val="0"/>
          <w:sz w:val="16"/>
          <w:shd w:fill="auto" w:val="clear"/>
          <w:vertAlign w:val="superscript"/>
        </w:rPr>
      </w:pPr>
    </w:p>
    <w:p>
      <w:pPr>
        <w:spacing w:before="0" w:after="200" w:line="240"/>
        <w:ind w:right="0" w:left="0" w:firstLine="0"/>
        <w:jc w:val="left"/>
        <w:rPr>
          <w:rFonts w:ascii="Arial" w:hAnsi="Arial" w:cs="Arial" w:eastAsia="Arial"/>
          <w:b/>
          <w:color w:val="auto"/>
          <w:spacing w:val="0"/>
          <w:position w:val="0"/>
          <w:sz w:val="16"/>
          <w:shd w:fill="auto" w:val="clear"/>
          <w:vertAlign w:val="superscript"/>
        </w:rPr>
      </w:pPr>
      <w:r>
        <w:object w:dxaOrig="9881" w:dyaOrig="9394">
          <v:rect xmlns:o="urn:schemas-microsoft-com:office:office" xmlns:v="urn:schemas-microsoft-com:vml" id="rectole0000000002" style="width:494.050000pt;height:469.7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Dib" DrawAspect="Content" ObjectID="0000000002" ShapeID="rectole0000000002" r:id="docRId4"/>
        </w:object>
      </w:r>
    </w:p>
    <w:p>
      <w:pPr>
        <w:spacing w:before="0" w:after="200" w:line="360"/>
        <w:ind w:right="0" w:left="0" w:firstLine="0"/>
        <w:jc w:val="left"/>
        <w:rPr>
          <w:rFonts w:ascii="Arial" w:hAnsi="Arial" w:cs="Arial" w:eastAsia="Arial"/>
          <w:b/>
          <w:color w:val="auto"/>
          <w:spacing w:val="0"/>
          <w:position w:val="0"/>
          <w:sz w:val="52"/>
          <w:shd w:fill="auto" w:val="clear"/>
          <w:vertAlign w:val="superscript"/>
        </w:rPr>
      </w:pPr>
      <w:r>
        <w:rPr>
          <w:rFonts w:ascii="Arial" w:hAnsi="Arial" w:cs="Arial" w:eastAsia="Arial"/>
          <w:b/>
          <w:color w:val="auto"/>
          <w:spacing w:val="0"/>
          <w:position w:val="0"/>
          <w:sz w:val="52"/>
          <w:shd w:fill="auto" w:val="clear"/>
          <w:vertAlign w:val="superscript"/>
        </w:rPr>
        <w:t xml:space="preserve">Figure S3</w:t>
      </w:r>
    </w:p>
    <w:p>
      <w:pPr>
        <w:spacing w:before="0" w:after="200" w:line="360"/>
        <w:ind w:right="0" w:left="0" w:firstLine="0"/>
        <w:jc w:val="left"/>
        <w:rPr>
          <w:rFonts w:ascii="Arial" w:hAnsi="Arial" w:cs="Arial" w:eastAsia="Arial"/>
          <w:b/>
          <w:color w:val="auto"/>
          <w:spacing w:val="0"/>
          <w:position w:val="0"/>
          <w:sz w:val="16"/>
          <w:shd w:fill="auto" w:val="clear"/>
          <w:vertAlign w:val="superscript"/>
        </w:rPr>
      </w:pPr>
    </w:p>
    <w:p>
      <w:pPr>
        <w:spacing w:before="0" w:after="0" w:line="360"/>
        <w:ind w:right="0" w:left="0" w:firstLine="0"/>
        <w:jc w:val="both"/>
        <w:rPr>
          <w:rFonts w:ascii="Arial" w:hAnsi="Arial" w:cs="Arial" w:eastAsia="Arial"/>
          <w:b/>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Figure S3:</w:t>
      </w:r>
    </w:p>
    <w:p>
      <w:pPr>
        <w:spacing w:before="0" w:after="0" w:line="240"/>
        <w:ind w:right="0" w:left="0" w:firstLine="0"/>
        <w:jc w:val="both"/>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F-c-actin dependence of the stimulation of the myosin-S1 ATPase activity before and after decoration with cTm and cTn at a 7:1:1 molar ratio.</w:t>
      </w:r>
    </w:p>
    <w:p>
      <w:pPr>
        <w:spacing w:before="0" w:after="0" w:line="240"/>
        <w:ind w:right="0" w:left="0" w:firstLine="0"/>
        <w:jc w:val="both"/>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(A) Bovine and recombinant wt F-c-actin without decoration with cTm/Tn. Double reciprocal presentation of data obtained for (A) bovine and (A´´) recombinant wt c-actin. (B) Recombinant wt c-actin; (C) p.A295S; (D) p.R312H; (E) p.E361G all before and after decoration with cTm/cTn. ATPase activity was determined by the enzyme linked assay as detailed elsewhere [8]. ATPase activity (ordinate) is given as </w:t>
      </w:r>
      <w:r>
        <w:rPr>
          <w:rFonts w:ascii="Arial" w:hAnsi="Arial" w:cs="Arial" w:eastAsia="Arial"/>
          <w:color w:val="auto"/>
          <w:spacing w:val="0"/>
          <w:position w:val="0"/>
          <w:sz w:val="24"/>
          <w:shd w:fill="auto" w:val="clear"/>
          <w:vertAlign w:val="superscript"/>
        </w:rPr>
        <w:t xml:space="preserve">μM ATP hydrolysed/sec/μM myosin-S1. Abscissa gives actin concentration in μM. All measurements were performed at pCa = 4.</w:t>
      </w:r>
      <w:r>
        <w:rPr>
          <w:rFonts w:ascii="Arial" w:hAnsi="Arial" w:cs="Arial" w:eastAsia="Arial"/>
          <w:color w:val="auto"/>
          <w:spacing w:val="0"/>
          <w:position w:val="0"/>
          <w:sz w:val="24"/>
          <w:shd w:fill="auto" w:val="clear"/>
          <w:vertAlign w:val="superscript"/>
        </w:rPr>
        <w:t xml:space="preserve">8</w:t>
      </w:r>
      <w:r>
        <w:rPr>
          <w:rFonts w:ascii="Arial" w:hAnsi="Arial" w:cs="Arial" w:eastAsia="Arial"/>
          <w:color w:val="auto"/>
          <w:spacing w:val="0"/>
          <w:position w:val="0"/>
          <w:sz w:val="24"/>
          <w:shd w:fill="auto" w:val="clear"/>
          <w:vertAlign w:val="superscript"/>
        </w:rPr>
        <w:t xml:space="preserve"> μM-1 and in triplicate. </w:t>
      </w:r>
    </w:p>
    <w:p>
      <w:pPr>
        <w:spacing w:before="0" w:after="200" w:line="360"/>
        <w:ind w:right="0" w:left="0" w:firstLine="0"/>
        <w:jc w:val="left"/>
        <w:rPr>
          <w:rFonts w:ascii="Arial" w:hAnsi="Arial" w:cs="Arial" w:eastAsia="Arial"/>
          <w:b/>
          <w:color w:val="auto"/>
          <w:spacing w:val="0"/>
          <w:position w:val="0"/>
          <w:sz w:val="16"/>
          <w:shd w:fill="auto" w:val="clear"/>
          <w:vertAlign w:val="superscript"/>
        </w:rPr>
      </w:pPr>
    </w:p>
    <w:p>
      <w:pPr>
        <w:spacing w:before="0" w:after="0" w:line="240"/>
        <w:ind w:right="0" w:left="0" w:firstLine="0"/>
        <w:jc w:val="left"/>
        <w:rPr>
          <w:rFonts w:ascii="Arial" w:hAnsi="Arial" w:cs="Arial" w:eastAsia="Arial"/>
          <w:b/>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Table S1: </w:t>
      </w:r>
    </w:p>
    <w:p>
      <w:pPr>
        <w:spacing w:before="0" w:after="0" w:line="276"/>
        <w:ind w:right="0" w:left="0" w:firstLine="0"/>
        <w:jc w:val="left"/>
        <w:rPr>
          <w:rFonts w:ascii="Arial" w:hAnsi="Arial" w:cs="Arial" w:eastAsia="Arial"/>
          <w:b/>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Kinetic parameters of the myosin-S1 ATPase stimulation by the c- </w:t>
      </w:r>
      <w:r>
        <w:rPr>
          <w:rFonts w:ascii="Arial" w:hAnsi="Arial" w:cs="Arial" w:eastAsia="Arial"/>
          <w:color w:val="auto"/>
          <w:spacing w:val="0"/>
          <w:position w:val="0"/>
          <w:sz w:val="24"/>
          <w:shd w:fill="auto" w:val="clear"/>
          <w:vertAlign w:val="superscript"/>
        </w:rPr>
        <w:t xml:space="preserve">α-</w:t>
      </w:r>
      <w:r>
        <w:rPr>
          <w:rFonts w:ascii="Arial" w:hAnsi="Arial" w:cs="Arial" w:eastAsia="Arial"/>
          <w:b/>
          <w:color w:val="auto"/>
          <w:spacing w:val="0"/>
          <w:position w:val="0"/>
          <w:sz w:val="24"/>
          <w:shd w:fill="auto" w:val="clear"/>
          <w:vertAlign w:val="superscript"/>
        </w:rPr>
        <w:t xml:space="preserve">actins</w:t>
      </w:r>
    </w:p>
    <w:p>
      <w:pPr>
        <w:spacing w:before="0" w:after="0" w:line="276"/>
        <w:ind w:right="0" w:left="0" w:firstLine="0"/>
        <w:jc w:val="left"/>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The kinetic data of the F-c-</w:t>
      </w:r>
      <w:r>
        <w:rPr>
          <w:rFonts w:ascii="Arial" w:hAnsi="Arial" w:cs="Arial" w:eastAsia="Arial"/>
          <w:color w:val="auto"/>
          <w:spacing w:val="0"/>
          <w:position w:val="0"/>
          <w:sz w:val="24"/>
          <w:shd w:fill="auto" w:val="clear"/>
          <w:vertAlign w:val="superscript"/>
        </w:rPr>
        <w:t xml:space="preserve">α-actin concentration dependence of the myosin-S1 ATPase stimulation (from Figure </w:t>
      </w:r>
      <w:r>
        <w:rPr>
          <w:rFonts w:ascii="Arial" w:hAnsi="Arial" w:cs="Arial" w:eastAsia="Arial"/>
          <w:color w:val="auto"/>
          <w:spacing w:val="0"/>
          <w:position w:val="0"/>
          <w:sz w:val="24"/>
          <w:shd w:fill="auto" w:val="clear"/>
          <w:vertAlign w:val="superscript"/>
        </w:rPr>
        <w:t xml:space="preserve">S3</w:t>
      </w:r>
      <w:r>
        <w:rPr>
          <w:rFonts w:ascii="Arial" w:hAnsi="Arial" w:cs="Arial" w:eastAsia="Arial"/>
          <w:color w:val="auto"/>
          <w:spacing w:val="0"/>
          <w:position w:val="0"/>
          <w:sz w:val="24"/>
          <w:shd w:fill="auto" w:val="clear"/>
          <w:vertAlign w:val="superscript"/>
        </w:rPr>
        <w:t xml:space="preserve">A-E) were transformed to double reciprocal plots, from which the kinetic parameters  (apparent K</w:t>
      </w:r>
      <w:r>
        <w:rPr>
          <w:rFonts w:ascii="Arial" w:hAnsi="Arial" w:cs="Arial" w:eastAsia="Arial"/>
          <w:color w:val="auto"/>
          <w:spacing w:val="0"/>
          <w:position w:val="0"/>
          <w:sz w:val="24"/>
          <w:shd w:fill="auto" w:val="clear"/>
          <w:vertAlign w:val="subscript"/>
        </w:rPr>
        <w:t xml:space="preserve">M</w:t>
      </w:r>
      <w:r>
        <w:rPr>
          <w:rFonts w:ascii="Arial" w:hAnsi="Arial" w:cs="Arial" w:eastAsia="Arial"/>
          <w:color w:val="auto"/>
          <w:spacing w:val="0"/>
          <w:position w:val="0"/>
          <w:sz w:val="24"/>
          <w:shd w:fill="auto" w:val="clear"/>
          <w:vertAlign w:val="superscript"/>
        </w:rPr>
        <w:t xml:space="preserve"> and V</w:t>
      </w:r>
      <w:r>
        <w:rPr>
          <w:rFonts w:ascii="Arial" w:hAnsi="Arial" w:cs="Arial" w:eastAsia="Arial"/>
          <w:color w:val="auto"/>
          <w:spacing w:val="0"/>
          <w:position w:val="0"/>
          <w:sz w:val="24"/>
          <w:shd w:fill="auto" w:val="clear"/>
          <w:vertAlign w:val="subscript"/>
        </w:rPr>
        <w:t xml:space="preserve">max </w:t>
      </w:r>
      <w:r>
        <w:rPr>
          <w:rFonts w:ascii="Arial" w:hAnsi="Arial" w:cs="Arial" w:eastAsia="Arial"/>
          <w:color w:val="auto"/>
          <w:spacing w:val="0"/>
          <w:position w:val="0"/>
          <w:sz w:val="24"/>
          <w:shd w:fill="auto" w:val="clear"/>
          <w:vertAlign w:val="superscript"/>
        </w:rPr>
        <w:t xml:space="preserve">values) were directly determined.  (n.d. = not determined).  </w:t>
      </w:r>
    </w:p>
    <w:p>
      <w:pPr>
        <w:spacing w:before="0" w:after="0" w:line="240"/>
        <w:ind w:right="0" w:left="0" w:firstLine="0"/>
        <w:jc w:val="left"/>
        <w:rPr>
          <w:rFonts w:ascii="Arial" w:hAnsi="Arial" w:cs="Arial" w:eastAsia="Arial"/>
          <w:b/>
          <w:color w:val="auto"/>
          <w:spacing w:val="0"/>
          <w:position w:val="0"/>
          <w:sz w:val="28"/>
          <w:shd w:fill="auto" w:val="clear"/>
          <w:vertAlign w:val="superscript"/>
        </w:rPr>
      </w:pPr>
    </w:p>
    <w:tbl>
      <w:tblPr>
        <w:tblInd w:w="98" w:type="dxa"/>
      </w:tblPr>
      <w:tblGrid>
        <w:gridCol w:w="1897"/>
        <w:gridCol w:w="1263"/>
        <w:gridCol w:w="1828"/>
        <w:gridCol w:w="1393"/>
        <w:gridCol w:w="1410"/>
        <w:gridCol w:w="1399"/>
      </w:tblGrid>
      <w:tr>
        <w:trPr>
          <w:trHeight w:val="1" w:hRule="atLeast"/>
          <w:jc w:val="left"/>
        </w:trPr>
        <w:tc>
          <w:tcPr>
            <w:tcW w:w="18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8"/>
                <w:shd w:fill="auto" w:val="clear"/>
                <w:vertAlign w:val="superscript"/>
              </w:rPr>
              <w:t xml:space="preserve">c-actin variant</w:t>
            </w:r>
          </w:p>
        </w:tc>
        <w:tc>
          <w:tcPr>
            <w:tcW w:w="1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b/>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bovine </w:t>
            </w:r>
          </w:p>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c-actin</w:t>
            </w:r>
          </w:p>
        </w:tc>
        <w:tc>
          <w:tcPr>
            <w:tcW w:w="182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wt recombinant</w:t>
            </w: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p.A295S</w:t>
            </w:r>
          </w:p>
        </w:tc>
        <w:tc>
          <w:tcPr>
            <w:tcW w:w="1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p.R312H</w:t>
            </w:r>
          </w:p>
        </w:tc>
        <w:tc>
          <w:tcPr>
            <w:tcW w:w="13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p.E361G</w:t>
            </w:r>
          </w:p>
        </w:tc>
      </w:tr>
      <w:tr>
        <w:trPr>
          <w:trHeight w:val="1" w:hRule="atLeast"/>
          <w:jc w:val="left"/>
        </w:trPr>
        <w:tc>
          <w:tcPr>
            <w:tcW w:w="18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8789" w:leader="none"/>
              </w:tabs>
              <w:spacing w:before="0" w:after="0" w:line="240"/>
              <w:ind w:right="0" w:left="0" w:firstLine="0"/>
              <w:jc w:val="left"/>
              <w:rPr>
                <w:rFonts w:ascii="Arial" w:hAnsi="Arial" w:cs="Arial" w:eastAsia="Arial"/>
                <w:b/>
                <w:color w:val="auto"/>
                <w:spacing w:val="0"/>
                <w:position w:val="0"/>
                <w:sz w:val="24"/>
                <w:shd w:fill="auto" w:val="clear"/>
                <w:vertAlign w:val="subscript"/>
              </w:rPr>
            </w:pPr>
            <w:r>
              <w:rPr>
                <w:rFonts w:ascii="Arial" w:hAnsi="Arial" w:cs="Arial" w:eastAsia="Arial"/>
                <w:b/>
                <w:color w:val="auto"/>
                <w:spacing w:val="0"/>
                <w:position w:val="0"/>
                <w:sz w:val="24"/>
                <w:shd w:fill="auto" w:val="clear"/>
                <w:vertAlign w:val="superscript"/>
              </w:rPr>
              <w:t xml:space="preserve">apparent K</w:t>
            </w:r>
            <w:r>
              <w:rPr>
                <w:rFonts w:ascii="Arial" w:hAnsi="Arial" w:cs="Arial" w:eastAsia="Arial"/>
                <w:b/>
                <w:color w:val="auto"/>
                <w:spacing w:val="0"/>
                <w:position w:val="0"/>
                <w:sz w:val="24"/>
                <w:shd w:fill="auto" w:val="clear"/>
                <w:vertAlign w:val="subscript"/>
              </w:rPr>
              <w:t xml:space="preserve">M </w:t>
            </w:r>
          </w:p>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(µM)</w:t>
            </w:r>
          </w:p>
        </w:tc>
        <w:tc>
          <w:tcPr>
            <w:tcW w:w="1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0.81</w:t>
            </w:r>
          </w:p>
        </w:tc>
        <w:tc>
          <w:tcPr>
            <w:tcW w:w="182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0.165</w:t>
            </w: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0.966</w:t>
            </w:r>
          </w:p>
        </w:tc>
        <w:tc>
          <w:tcPr>
            <w:tcW w:w="1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0.096</w:t>
            </w:r>
          </w:p>
        </w:tc>
        <w:tc>
          <w:tcPr>
            <w:tcW w:w="13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0.075</w:t>
            </w:r>
          </w:p>
        </w:tc>
      </w:tr>
      <w:tr>
        <w:trPr>
          <w:trHeight w:val="1" w:hRule="atLeast"/>
          <w:jc w:val="left"/>
        </w:trPr>
        <w:tc>
          <w:tcPr>
            <w:tcW w:w="18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8789" w:leader="none"/>
              </w:tabs>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 TM/TN apparent K</w:t>
            </w:r>
            <w:r>
              <w:rPr>
                <w:rFonts w:ascii="Arial" w:hAnsi="Arial" w:cs="Arial" w:eastAsia="Arial"/>
                <w:b/>
                <w:color w:val="auto"/>
                <w:spacing w:val="0"/>
                <w:position w:val="0"/>
                <w:sz w:val="24"/>
                <w:shd w:fill="auto" w:val="clear"/>
                <w:vertAlign w:val="subscript"/>
              </w:rPr>
              <w:t xml:space="preserve">M  </w:t>
            </w:r>
            <w:r>
              <w:rPr>
                <w:rFonts w:ascii="Arial" w:hAnsi="Arial" w:cs="Arial" w:eastAsia="Arial"/>
                <w:b/>
                <w:color w:val="auto"/>
                <w:spacing w:val="0"/>
                <w:position w:val="0"/>
                <w:sz w:val="24"/>
                <w:shd w:fill="auto" w:val="clear"/>
                <w:vertAlign w:val="superscript"/>
              </w:rPr>
              <w:t xml:space="preserve">(µM)   </w:t>
            </w:r>
          </w:p>
        </w:tc>
        <w:tc>
          <w:tcPr>
            <w:tcW w:w="1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vertAlign w:val="superscript"/>
              </w:rPr>
              <w:t xml:space="preserve">n.d.</w:t>
            </w:r>
          </w:p>
        </w:tc>
        <w:tc>
          <w:tcPr>
            <w:tcW w:w="182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0.189</w:t>
            </w: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3.31</w:t>
            </w:r>
          </w:p>
        </w:tc>
        <w:tc>
          <w:tcPr>
            <w:tcW w:w="1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0.0243</w:t>
            </w:r>
          </w:p>
        </w:tc>
        <w:tc>
          <w:tcPr>
            <w:tcW w:w="13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0.179</w:t>
            </w:r>
          </w:p>
        </w:tc>
      </w:tr>
      <w:tr>
        <w:trPr>
          <w:trHeight w:val="1" w:hRule="atLeast"/>
          <w:jc w:val="left"/>
        </w:trPr>
        <w:tc>
          <w:tcPr>
            <w:tcW w:w="18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8789" w:leader="none"/>
              </w:tabs>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V</w:t>
            </w:r>
            <w:r>
              <w:rPr>
                <w:rFonts w:ascii="Arial" w:hAnsi="Arial" w:cs="Arial" w:eastAsia="Arial"/>
                <w:b/>
                <w:color w:val="auto"/>
                <w:spacing w:val="0"/>
                <w:position w:val="0"/>
                <w:sz w:val="24"/>
                <w:shd w:fill="auto" w:val="clear"/>
                <w:vertAlign w:val="subscript"/>
              </w:rPr>
              <w:t xml:space="preserve">max </w:t>
            </w:r>
            <w:r>
              <w:rPr>
                <w:rFonts w:ascii="Arial" w:hAnsi="Arial" w:cs="Arial" w:eastAsia="Arial"/>
                <w:b/>
                <w:color w:val="auto"/>
                <w:spacing w:val="0"/>
                <w:position w:val="0"/>
                <w:sz w:val="24"/>
                <w:shd w:fill="auto" w:val="clear"/>
                <w:vertAlign w:val="superscript"/>
              </w:rPr>
              <w:t xml:space="preserve">(µM ATP hydrol/sec/µM S1)</w:t>
            </w:r>
          </w:p>
        </w:tc>
        <w:tc>
          <w:tcPr>
            <w:tcW w:w="1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0.44</w:t>
            </w:r>
          </w:p>
        </w:tc>
        <w:tc>
          <w:tcPr>
            <w:tcW w:w="182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0.334</w:t>
            </w: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0.799</w:t>
            </w:r>
          </w:p>
        </w:tc>
        <w:tc>
          <w:tcPr>
            <w:tcW w:w="1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0.444</w:t>
            </w:r>
          </w:p>
        </w:tc>
        <w:tc>
          <w:tcPr>
            <w:tcW w:w="13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0.641</w:t>
            </w:r>
          </w:p>
        </w:tc>
      </w:tr>
      <w:tr>
        <w:trPr>
          <w:trHeight w:val="1" w:hRule="atLeast"/>
          <w:jc w:val="left"/>
        </w:trPr>
        <w:tc>
          <w:tcPr>
            <w:tcW w:w="18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8789" w:leader="none"/>
              </w:tabs>
              <w:spacing w:before="0" w:after="0" w:line="240"/>
              <w:ind w:right="0" w:left="0" w:firstLine="0"/>
              <w:jc w:val="left"/>
              <w:rPr>
                <w:rFonts w:ascii="Arial" w:hAnsi="Arial" w:cs="Arial" w:eastAsia="Arial"/>
                <w:b/>
                <w:color w:val="auto"/>
                <w:spacing w:val="0"/>
                <w:position w:val="0"/>
                <w:sz w:val="24"/>
                <w:shd w:fill="auto" w:val="clear"/>
                <w:vertAlign w:val="subscript"/>
              </w:rPr>
            </w:pPr>
            <w:r>
              <w:rPr>
                <w:rFonts w:ascii="Arial" w:hAnsi="Arial" w:cs="Arial" w:eastAsia="Arial"/>
                <w:b/>
                <w:color w:val="auto"/>
                <w:spacing w:val="0"/>
                <w:position w:val="0"/>
                <w:sz w:val="24"/>
                <w:shd w:fill="auto" w:val="clear"/>
                <w:vertAlign w:val="superscript"/>
              </w:rPr>
              <w:t xml:space="preserve">+ TM/TN V</w:t>
            </w:r>
            <w:r>
              <w:rPr>
                <w:rFonts w:ascii="Arial" w:hAnsi="Arial" w:cs="Arial" w:eastAsia="Arial"/>
                <w:b/>
                <w:color w:val="auto"/>
                <w:spacing w:val="0"/>
                <w:position w:val="0"/>
                <w:sz w:val="24"/>
                <w:shd w:fill="auto" w:val="clear"/>
                <w:vertAlign w:val="subscript"/>
              </w:rPr>
              <w:t xml:space="preserve">max</w:t>
            </w:r>
          </w:p>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(µM ATP hydrol/sec/µM S1)</w:t>
            </w:r>
          </w:p>
        </w:tc>
        <w:tc>
          <w:tcPr>
            <w:tcW w:w="1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vertAlign w:val="superscript"/>
              </w:rPr>
              <w:t xml:space="preserve">n.d.</w:t>
            </w:r>
          </w:p>
        </w:tc>
        <w:tc>
          <w:tcPr>
            <w:tcW w:w="182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0.563</w:t>
            </w: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4.347</w:t>
            </w:r>
          </w:p>
        </w:tc>
        <w:tc>
          <w:tcPr>
            <w:tcW w:w="1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0.267</w:t>
            </w:r>
          </w:p>
        </w:tc>
        <w:tc>
          <w:tcPr>
            <w:tcW w:w="13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vertAlign w:val="superscript"/>
              </w:rPr>
              <w:t xml:space="preserve">0.769</w:t>
            </w:r>
          </w:p>
        </w:tc>
      </w:tr>
    </w:tbl>
    <w:p>
      <w:pPr>
        <w:spacing w:before="0" w:after="200" w:line="360"/>
        <w:ind w:right="0" w:left="0" w:firstLine="0"/>
        <w:jc w:val="left"/>
        <w:rPr>
          <w:rFonts w:ascii="Arial" w:hAnsi="Arial" w:cs="Arial" w:eastAsia="Arial"/>
          <w:b/>
          <w:color w:val="auto"/>
          <w:spacing w:val="0"/>
          <w:position w:val="0"/>
          <w:sz w:val="16"/>
          <w:shd w:fill="auto" w:val="clear"/>
          <w:vertAlign w:val="superscript"/>
        </w:rPr>
      </w:pPr>
    </w:p>
    <w:p>
      <w:pPr>
        <w:spacing w:before="0" w:after="0" w:line="240"/>
        <w:ind w:right="0" w:left="0" w:firstLine="0"/>
        <w:jc w:val="left"/>
        <w:rPr>
          <w:rFonts w:ascii="Arial" w:hAnsi="Arial" w:cs="Arial" w:eastAsia="Arial"/>
          <w:b/>
          <w:color w:val="auto"/>
          <w:spacing w:val="0"/>
          <w:position w:val="0"/>
          <w:sz w:val="26"/>
          <w:shd w:fill="auto" w:val="clear"/>
          <w:vertAlign w:val="superscript"/>
        </w:rPr>
      </w:pPr>
    </w:p>
    <w:p>
      <w:pPr>
        <w:spacing w:before="0" w:after="0" w:line="240"/>
        <w:ind w:right="0" w:left="0" w:firstLine="0"/>
        <w:jc w:val="left"/>
        <w:rPr>
          <w:rFonts w:ascii="Arial" w:hAnsi="Arial" w:cs="Arial" w:eastAsia="Arial"/>
          <w:b/>
          <w:color w:val="auto"/>
          <w:spacing w:val="0"/>
          <w:position w:val="0"/>
          <w:sz w:val="24"/>
          <w:shd w:fill="auto" w:val="clear"/>
          <w:vertAlign w:val="superscript"/>
        </w:rPr>
      </w:pPr>
      <w:r>
        <w:rPr>
          <w:rFonts w:ascii="Arial" w:hAnsi="Arial" w:cs="Arial" w:eastAsia="Arial"/>
          <w:b/>
          <w:color w:val="auto"/>
          <w:spacing w:val="0"/>
          <w:position w:val="0"/>
          <w:sz w:val="24"/>
          <w:shd w:fill="auto" w:val="clear"/>
          <w:vertAlign w:val="superscript"/>
        </w:rPr>
        <w:t xml:space="preserve">Discussion</w:t>
      </w:r>
    </w:p>
    <w:p>
      <w:pPr>
        <w:spacing w:before="0" w:after="0" w:line="240"/>
        <w:ind w:right="0" w:left="0" w:firstLine="0"/>
        <w:jc w:val="left"/>
        <w:rPr>
          <w:rFonts w:ascii="Arial" w:hAnsi="Arial" w:cs="Arial" w:eastAsia="Arial"/>
          <w:color w:val="auto"/>
          <w:spacing w:val="0"/>
          <w:position w:val="0"/>
          <w:sz w:val="24"/>
          <w:shd w:fill="auto" w:val="clear"/>
          <w:vertAlign w:val="superscript"/>
        </w:rPr>
      </w:pPr>
    </w:p>
    <w:p>
      <w:pPr>
        <w:spacing w:before="0" w:after="0" w:line="360"/>
        <w:ind w:right="0" w:left="0" w:firstLine="0"/>
        <w:jc w:val="left"/>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The cardiac actin variant p.R312K was purified to homogeneity as detailed in Materials and methods and its biochemical properties were determined as shown in Fig. S2. As there are so far no reports which demonstrate a linkage of this mutation to any cardiomyopathy type, we assume that it might represent a polymorphic form of cardiac actin. Indeed,  it was immunostained by the cardiac actin specific antibody as wt and the mutant forms of c-actin (see the immunoblots shown in Figure 2). Its ability to inhibit DNase I was identical to wt c-actin (Fig. S2A), wheras it polymerized faster than wt c-actin with a half time of 2.5 versus 6.8 per minute (Fig.S2C, see Table 1) to normally appearing filaments (Fig. S2C,D) though its critical concentration of polymerization was found identical to that of wt c-actin (0.21 µM, see Table 1). In contrast, its rate of polymerization was not affected by Arp2/3 and mDia3-FH2, but surprisingly its extent of polymerization was reduced by both nucleators, expecially strongly by the Arp2/3 complex (Fig. S2C). In this respect the p.R312K variant differed from wt c-actin and the p:R312H mutant, whose polymerization rates were stimulated by both nucleators (see Fig. 3). These data might suggest that the interaction of p.R312K c-actin with Arp2/3 complex leads to an oligomer:Arp2/3 complex wíth compromised nucleation activity [11].  </w:t>
      </w:r>
    </w:p>
    <w:p>
      <w:pPr>
        <w:spacing w:before="0" w:after="0" w:line="360"/>
        <w:ind w:right="0" w:left="0" w:firstLine="0"/>
        <w:jc w:val="left"/>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After polymerization the c-actin variants except P.R312K were tested for their ability to stimulate the mayosin-S1 ATPase activity. Here is shown tha obtained of the c-actin concentration dependence on the ATPase activity of myosin-S1 before and after decoration with cTm and cTn. The data indicate a higher stimulatory activity after cTm/cTn decoration except for the p.R312H mutant. thsi effect is supposed to be due to a stabilisation of the filamentous c-actins as also demnstrated by EM (Fig. 4). Only the stimulatory activity of F-pR312H did  not increase after cTm/cTn decoration that might be caused by a general instability od this mutant (shorter filaments with breaks, see Fig. 4) as reported previusly </w:t>
      </w:r>
      <w:r>
        <w:rPr>
          <w:rFonts w:ascii="Arial" w:hAnsi="Arial" w:cs="Arial" w:eastAsia="Arial"/>
          <w:color w:val="auto"/>
          <w:spacing w:val="0"/>
          <w:position w:val="0"/>
          <w:sz w:val="24"/>
          <w:shd w:fill="auto" w:val="clear"/>
          <w:vertAlign w:val="superscript"/>
        </w:rPr>
        <w:t xml:space="preserve">[16].  </w:t>
      </w:r>
      <w:r>
        <w:rPr>
          <w:rFonts w:ascii="Arial" w:hAnsi="Arial" w:cs="Arial" w:eastAsia="Arial"/>
          <w:color w:val="auto"/>
          <w:spacing w:val="0"/>
          <w:position w:val="0"/>
          <w:sz w:val="24"/>
          <w:shd w:fill="auto" w:val="clear"/>
          <w:vertAlign w:val="superscript"/>
        </w:rPr>
        <w:t xml:space="preserve"> </w:t>
      </w:r>
    </w:p>
    <w:p>
      <w:pPr>
        <w:spacing w:before="0" w:after="0" w:line="240"/>
        <w:ind w:right="0" w:left="0" w:firstLine="0"/>
        <w:jc w:val="left"/>
        <w:rPr>
          <w:rFonts w:ascii="Arial" w:hAnsi="Arial" w:cs="Arial" w:eastAsia="Arial"/>
          <w:color w:val="auto"/>
          <w:spacing w:val="0"/>
          <w:position w:val="0"/>
          <w:sz w:val="24"/>
          <w:shd w:fill="auto" w:val="clear"/>
          <w:vertAlign w:val="superscript"/>
        </w:rPr>
      </w:pPr>
    </w:p>
    <w:p>
      <w:pPr>
        <w:spacing w:before="0" w:after="0" w:line="240"/>
        <w:ind w:right="0" w:left="0" w:firstLine="0"/>
        <w:jc w:val="left"/>
        <w:rPr>
          <w:rFonts w:ascii="Arial" w:hAnsi="Arial" w:cs="Arial" w:eastAsia="Arial"/>
          <w:color w:val="FF0000"/>
          <w:spacing w:val="0"/>
          <w:position w:val="0"/>
          <w:sz w:val="24"/>
          <w:shd w:fill="auto" w:val="clear"/>
          <w:vertAlign w:val="superscript"/>
        </w:rPr>
      </w:pPr>
    </w:p>
    <w:p>
      <w:pPr>
        <w:spacing w:before="0" w:after="0" w:line="240"/>
        <w:ind w:right="0" w:left="0" w:firstLine="0"/>
        <w:jc w:val="left"/>
        <w:rPr>
          <w:rFonts w:ascii="Arial" w:hAnsi="Arial" w:cs="Arial" w:eastAsia="Arial"/>
          <w:color w:val="FF0000"/>
          <w:spacing w:val="0"/>
          <w:position w:val="0"/>
          <w:sz w:val="24"/>
          <w:shd w:fill="auto" w:val="clear"/>
          <w:vertAlign w:val="superscript"/>
        </w:rPr>
      </w:pPr>
    </w:p>
    <w:p>
      <w:pPr>
        <w:spacing w:before="0" w:after="0" w:line="360"/>
        <w:ind w:right="0" w:left="0" w:firstLine="0"/>
        <w:jc w:val="both"/>
        <w:rPr>
          <w:rFonts w:ascii="Arial" w:hAnsi="Arial" w:cs="Arial" w:eastAsia="Arial"/>
          <w:b/>
          <w:color w:val="002060"/>
          <w:spacing w:val="0"/>
          <w:position w:val="0"/>
          <w:sz w:val="28"/>
          <w:shd w:fill="auto" w:val="clear"/>
          <w:vertAlign w:val="superscript"/>
        </w:rPr>
      </w:pPr>
      <w:r>
        <w:rPr>
          <w:rFonts w:ascii="Arial" w:hAnsi="Arial" w:cs="Arial" w:eastAsia="Arial"/>
          <w:b/>
          <w:color w:val="002060"/>
          <w:spacing w:val="0"/>
          <w:position w:val="0"/>
          <w:sz w:val="28"/>
          <w:shd w:fill="auto" w:val="clear"/>
          <w:vertAlign w:val="superscript"/>
        </w:rPr>
        <w:t xml:space="preserve">References </w:t>
      </w:r>
    </w:p>
    <w:p>
      <w:pPr>
        <w:spacing w:before="0" w:after="0" w:line="360"/>
        <w:ind w:right="0" w:left="567" w:hanging="567"/>
        <w:jc w:val="left"/>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 [1]       Babu A, Scordilis SP, Sonnenblick EH &amp; Gulati J (1987) The control of myocardial contraction with skeletal fast muscle troponin. J Biol Chem 262: 5815</w:t>
      </w:r>
      <w:r>
        <w:rPr>
          <w:rFonts w:ascii="Arial" w:hAnsi="Arial" w:cs="Arial" w:eastAsia="Arial"/>
          <w:color w:val="auto"/>
          <w:spacing w:val="0"/>
          <w:position w:val="0"/>
          <w:sz w:val="24"/>
          <w:shd w:fill="auto" w:val="clear"/>
          <w:vertAlign w:val="superscript"/>
        </w:rPr>
        <w:t xml:space="preserve">–</w:t>
      </w:r>
      <w:r>
        <w:rPr>
          <w:rFonts w:ascii="Arial" w:hAnsi="Arial" w:cs="Arial" w:eastAsia="Arial"/>
          <w:color w:val="auto"/>
          <w:spacing w:val="0"/>
          <w:position w:val="0"/>
          <w:sz w:val="24"/>
          <w:shd w:fill="auto" w:val="clear"/>
          <w:vertAlign w:val="superscript"/>
        </w:rPr>
        <w:t xml:space="preserve">5822.</w:t>
      </w:r>
    </w:p>
    <w:p>
      <w:pPr>
        <w:spacing w:before="0" w:after="0" w:line="360"/>
        <w:ind w:right="0" w:left="568" w:hanging="568"/>
        <w:jc w:val="both"/>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[2]      Bai F, Caster HM, Rubenstein PA, Dawson JF, and Kawai M  (2014) Using baculovirus/insect cell expressed recombinant actin to study the molecular pathogenesis of HCM caused by actin mutation A331P. J Mol Cell Cardiol 74: 64-75.</w:t>
      </w:r>
    </w:p>
    <w:p>
      <w:pPr>
        <w:spacing w:before="0" w:after="0" w:line="480"/>
        <w:ind w:right="0" w:left="568" w:hanging="568"/>
        <w:jc w:val="both"/>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[3]       Bailey K (1948) Tropomyosin: a new asymmetric protein component of the muscle fibril. Biochemical Journal 43(2): 271-279</w:t>
      </w:r>
    </w:p>
    <w:p>
      <w:pPr>
        <w:tabs>
          <w:tab w:val="left" w:pos="426" w:leader="none"/>
        </w:tabs>
        <w:spacing w:before="0" w:after="120" w:line="360"/>
        <w:ind w:right="0" w:left="609" w:hanging="609"/>
        <w:jc w:val="left"/>
        <w:rPr>
          <w:rFonts w:ascii="Times New Roman" w:hAnsi="Times New Roman" w:cs="Times New Roman" w:eastAsia="Times New Roman"/>
          <w:color w:val="auto"/>
          <w:spacing w:val="0"/>
          <w:position w:val="0"/>
          <w:sz w:val="20"/>
          <w:shd w:fill="auto" w:val="clear"/>
          <w:vertAlign w:val="superscript"/>
        </w:rPr>
      </w:pPr>
      <w:r>
        <w:rPr>
          <w:rFonts w:ascii="Arial" w:hAnsi="Arial" w:cs="Arial" w:eastAsia="Arial"/>
          <w:color w:val="auto"/>
          <w:spacing w:val="0"/>
          <w:position w:val="0"/>
          <w:sz w:val="24"/>
          <w:shd w:fill="auto" w:val="clear"/>
          <w:vertAlign w:val="superscript"/>
        </w:rPr>
        <w:t xml:space="preserve"> [4]</w:t>
      </w:r>
      <w:r>
        <w:rPr>
          <w:rFonts w:ascii="Arial" w:hAnsi="Arial" w:cs="Arial" w:eastAsia="Arial"/>
          <w:color w:val="auto"/>
          <w:spacing w:val="0"/>
          <w:position w:val="0"/>
          <w:sz w:val="20"/>
          <w:shd w:fill="auto" w:val="clear"/>
          <w:vertAlign w:val="superscript"/>
        </w:rPr>
        <w:t xml:space="preserve">        </w:t>
      </w:r>
      <w:r>
        <w:rPr>
          <w:rFonts w:ascii="Arial" w:hAnsi="Arial" w:cs="Arial" w:eastAsia="Arial"/>
          <w:color w:val="auto"/>
          <w:spacing w:val="0"/>
          <w:position w:val="0"/>
          <w:sz w:val="24"/>
          <w:shd w:fill="auto" w:val="clear"/>
          <w:vertAlign w:val="superscript"/>
        </w:rPr>
        <w:t xml:space="preserve">Cimiotti D, Fujita-Becker S, Möhner D, Smolina N, Budde H, Wies A, Morgenstern L, Gudkova A, Sejersen T, Sjöberg G, Mügge A, Nowaczyk MM, Reusch P, Pfitzer G, Stehle R, Schröder RR,  Mannherz HG, Kostareva A, </w:t>
      </w:r>
      <w:r>
        <w:rPr>
          <w:rFonts w:ascii="Arial" w:hAnsi="Arial" w:cs="Arial" w:eastAsia="Arial"/>
          <w:color w:val="000000"/>
          <w:spacing w:val="0"/>
          <w:position w:val="0"/>
          <w:sz w:val="24"/>
          <w:shd w:fill="auto" w:val="clear"/>
          <w:vertAlign w:val="superscript"/>
        </w:rPr>
        <w:t xml:space="preserve">Jaquet K (2020) Infantile restrictive cardiomyopathy: CtnI-R170G/W impair the interplay of sarcomeric proteins and the integrity of thin filaments. </w:t>
      </w:r>
      <w:r>
        <w:rPr>
          <w:rFonts w:ascii="Arial" w:hAnsi="Arial" w:cs="Arial" w:eastAsia="Arial"/>
          <w:color w:val="auto"/>
          <w:spacing w:val="0"/>
          <w:position w:val="0"/>
          <w:sz w:val="24"/>
          <w:shd w:fill="auto" w:val="clear"/>
          <w:vertAlign w:val="superscript"/>
        </w:rPr>
        <w:t xml:space="preserve">PLoS One. 15(3): e0229227,  doi: 10.1371/journal.pone.0229227</w:t>
      </w:r>
      <w:r>
        <w:rPr>
          <w:rFonts w:ascii="Times New Roman" w:hAnsi="Times New Roman" w:cs="Times New Roman" w:eastAsia="Times New Roman"/>
          <w:color w:val="auto"/>
          <w:spacing w:val="0"/>
          <w:position w:val="0"/>
          <w:sz w:val="20"/>
          <w:shd w:fill="auto" w:val="clear"/>
          <w:vertAlign w:val="superscript"/>
        </w:rPr>
        <w:t xml:space="preserve">.</w:t>
      </w:r>
    </w:p>
    <w:p>
      <w:pPr>
        <w:tabs>
          <w:tab w:val="left" w:pos="426" w:leader="none"/>
        </w:tabs>
        <w:spacing w:before="0" w:after="120" w:line="360"/>
        <w:ind w:right="0" w:left="567" w:hanging="567"/>
        <w:jc w:val="left"/>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[5]        Deng Y, Schmidtmann A, Redlich A, Westerdorf B, Jaquet K, Thieleczek R (2001) Effects of Phosphorylation and Mutation R145G on Human Cardiac Troponin I Function. Biochemistry 40: 14593-14602.</w:t>
      </w:r>
    </w:p>
    <w:p>
      <w:pPr>
        <w:tabs>
          <w:tab w:val="left" w:pos="426" w:leader="none"/>
        </w:tabs>
        <w:spacing w:before="0" w:after="120" w:line="360"/>
        <w:ind w:right="0" w:left="567" w:hanging="567"/>
        <w:jc w:val="left"/>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[6]        Erdmann C (2017) Charakterisierung von HCM und DCM auslösenden  Mutationen in humanem kardialem  </w:t>
      </w:r>
      <w:r>
        <w:rPr>
          <w:rFonts w:ascii="Arial" w:hAnsi="Arial" w:cs="Arial" w:eastAsia="Arial"/>
          <w:color w:val="auto"/>
          <w:spacing w:val="0"/>
          <w:position w:val="0"/>
          <w:sz w:val="24"/>
          <w:shd w:fill="auto" w:val="clear"/>
          <w:vertAlign w:val="superscript"/>
        </w:rPr>
        <w:t xml:space="preserve">α-Aktin. PhD-thesis, Ruhr-University Bochum.</w:t>
      </w:r>
    </w:p>
    <w:p>
      <w:pPr>
        <w:tabs>
          <w:tab w:val="left" w:pos="567" w:leader="none"/>
        </w:tabs>
        <w:spacing w:before="0" w:after="0" w:line="360"/>
        <w:ind w:right="0" w:left="709" w:hanging="709"/>
        <w:jc w:val="both"/>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[7]   Graceffa P, Lehrer SS (1980) The eximer fluorescence of pyrene-labeled tropomyosin: A probe for conformational dynamics. J Biol Chem 255: 11296-11300.</w:t>
      </w:r>
    </w:p>
    <w:p>
      <w:pPr>
        <w:tabs>
          <w:tab w:val="left" w:pos="567" w:leader="none"/>
        </w:tabs>
        <w:spacing w:before="0" w:after="0" w:line="360"/>
        <w:ind w:right="0" w:left="709" w:hanging="709"/>
        <w:jc w:val="left"/>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[8]      Mannherz HG, Brehme H, Lamp U (1975) Depolymerization of F-actin and its repolymerization in the presence of analogs of adenosine triphosphate. Eur J Biochem 60: 109-116.</w:t>
      </w:r>
    </w:p>
    <w:p>
      <w:pPr>
        <w:spacing w:before="0" w:after="0" w:line="360"/>
        <w:ind w:right="0" w:left="567" w:hanging="567"/>
        <w:jc w:val="both"/>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[9]     Müller M, Mazur JA, Behrmann E, Diensthuber RP, Radke MP, Qu Z, Littwitz C, Raunser S, Schoenenberger C-A, Manstein DJ, Mannherz HG  (2012) Functional characterization of the human </w:t>
      </w:r>
      <w:r>
        <w:rPr>
          <w:rFonts w:ascii="Arial" w:hAnsi="Arial" w:cs="Arial" w:eastAsia="Arial"/>
          <w:color w:val="auto"/>
          <w:spacing w:val="0"/>
          <w:position w:val="0"/>
          <w:sz w:val="24"/>
          <w:shd w:fill="auto" w:val="clear"/>
          <w:vertAlign w:val="superscript"/>
        </w:rPr>
        <w:t xml:space="preserve">α-cardiac actin mutations Y166C and M305L involved in hypertrophic cardiomyopathy. Cellul Molec Life Sci 69; 3457-3479.</w:t>
      </w:r>
    </w:p>
    <w:p>
      <w:pPr>
        <w:spacing w:before="0" w:after="0" w:line="360"/>
        <w:ind w:right="0" w:left="709" w:hanging="709"/>
        <w:jc w:val="left"/>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[10]      Ohki T, Ohno C, Oyama K, Mikhailenko SV, Ishiwata S (2009) Purification of</w:t>
      </w:r>
    </w:p>
    <w:p>
      <w:pPr>
        <w:spacing w:before="0" w:after="0" w:line="360"/>
        <w:ind w:right="0" w:left="567" w:hanging="567"/>
        <w:jc w:val="left"/>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           cytoplasmic actin by affinity chromatography using the C-terminal half of gelsolin. Biochem Biophys Res Commun 383: 146</w:t>
      </w:r>
      <w:r>
        <w:rPr>
          <w:rFonts w:ascii="Arial" w:hAnsi="Arial" w:cs="Arial" w:eastAsia="Arial"/>
          <w:color w:val="auto"/>
          <w:spacing w:val="0"/>
          <w:position w:val="0"/>
          <w:sz w:val="24"/>
          <w:shd w:fill="auto" w:val="clear"/>
          <w:vertAlign w:val="superscript"/>
        </w:rPr>
        <w:t xml:space="preserve">–</w:t>
      </w:r>
      <w:r>
        <w:rPr>
          <w:rFonts w:ascii="Arial" w:hAnsi="Arial" w:cs="Arial" w:eastAsia="Arial"/>
          <w:color w:val="auto"/>
          <w:spacing w:val="0"/>
          <w:position w:val="0"/>
          <w:sz w:val="24"/>
          <w:shd w:fill="auto" w:val="clear"/>
          <w:vertAlign w:val="superscript"/>
        </w:rPr>
        <w:t xml:space="preserve">150.</w:t>
      </w:r>
    </w:p>
    <w:p>
      <w:pPr>
        <w:spacing w:before="0" w:after="120" w:line="360"/>
        <w:ind w:right="0" w:left="0" w:firstLine="0"/>
        <w:jc w:val="left"/>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[11]     Qu Z, Silvan U, Jockusch BM, Aebi U, Schoenenberger CA, Mannherz HG (2015) Distinct actin oligomers modulate</w:t>
      </w:r>
    </w:p>
    <w:p>
      <w:pPr>
        <w:spacing w:before="0" w:after="120" w:line="360"/>
        <w:ind w:right="0" w:left="0" w:firstLine="0"/>
        <w:jc w:val="left"/>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            differentially the activity of actin nucleators. FEBS J. 282(19): 3824 - 3840.</w:t>
      </w:r>
    </w:p>
    <w:p>
      <w:pPr>
        <w:spacing w:before="0" w:after="0" w:line="360"/>
        <w:ind w:right="0" w:left="709" w:hanging="709"/>
        <w:jc w:val="left"/>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[12]      Reiffert S, et al., Characterization of the cardiac holotroponin complex reconstituted from native cardiac troponin T and recombinant I and C. The FEBS Journal, 1999. 261(1): p. 40-47.</w:t>
      </w:r>
    </w:p>
    <w:p>
      <w:pPr>
        <w:spacing w:before="0" w:after="0" w:line="360"/>
        <w:ind w:right="0" w:left="709" w:hanging="709"/>
        <w:jc w:val="both"/>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[13]     Risi C, Belknap B, Forgacs-Lonart E, Harris SP, Schröder GF, White HD, Galkin VE (2018) N-terminal domains of cardiac myosin binding protein C cooperatively activate the thin filament. Structure 26: 1-8.</w:t>
      </w:r>
    </w:p>
    <w:p>
      <w:pPr>
        <w:spacing w:before="100" w:after="0" w:line="360"/>
        <w:ind w:right="0" w:left="709" w:hanging="709"/>
        <w:jc w:val="left"/>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24"/>
          <w:shd w:fill="auto" w:val="clear"/>
          <w:vertAlign w:val="superscript"/>
        </w:rPr>
        <w:t xml:space="preserve">[14]      Tanaka H, Sekine T, Kawanishi T, Nakamura R, Shigenobu K (1998) Intrasarcomere [Ca2+] gradients and their spatio-temporal relation to Ca2+ sparks in rat cardiomyocytes. J Physiol 508: 145-152.</w:t>
      </w:r>
    </w:p>
    <w:p>
      <w:pPr>
        <w:spacing w:before="100" w:after="100" w:line="360"/>
        <w:ind w:right="0" w:left="709" w:hanging="709"/>
        <w:jc w:val="left"/>
        <w:rPr>
          <w:rFonts w:ascii="Arial" w:hAnsi="Arial" w:cs="Arial" w:eastAsia="Arial"/>
          <w:color w:val="auto"/>
          <w:spacing w:val="0"/>
          <w:position w:val="0"/>
          <w:sz w:val="16"/>
          <w:shd w:fill="auto" w:val="clear"/>
          <w:vertAlign w:val="superscript"/>
        </w:rPr>
      </w:pPr>
      <w:r>
        <w:rPr>
          <w:rFonts w:ascii="Arial" w:hAnsi="Arial" w:cs="Arial" w:eastAsia="Arial"/>
          <w:color w:val="auto"/>
          <w:spacing w:val="0"/>
          <w:position w:val="0"/>
          <w:sz w:val="24"/>
          <w:shd w:fill="auto" w:val="clear"/>
          <w:vertAlign w:val="superscript"/>
        </w:rPr>
        <w:t xml:space="preserve">[15]       Tayler RS, Weeds AG (1976) The magnesium-ion-dependent adenosine triphosphatase of bovine cardiac myosin and its subfragment-1. Biochem J 159: 301-315.</w:t>
      </w:r>
    </w:p>
    <w:p>
      <w:pPr>
        <w:spacing w:before="100" w:after="100" w:line="360"/>
        <w:ind w:right="0" w:left="709" w:hanging="709"/>
        <w:jc w:val="left"/>
        <w:rPr>
          <w:rFonts w:ascii="Arial" w:hAnsi="Arial" w:cs="Arial" w:eastAsia="Arial"/>
          <w:color w:val="auto"/>
          <w:spacing w:val="0"/>
          <w:position w:val="0"/>
          <w:sz w:val="16"/>
          <w:shd w:fill="auto" w:val="clear"/>
          <w:vertAlign w:val="superscript"/>
        </w:rPr>
      </w:pPr>
      <w:r>
        <w:rPr>
          <w:rFonts w:ascii="Arial" w:hAnsi="Arial" w:cs="Arial" w:eastAsia="Arial"/>
          <w:color w:val="auto"/>
          <w:spacing w:val="0"/>
          <w:position w:val="0"/>
          <w:sz w:val="16"/>
          <w:shd w:fill="auto" w:val="clear"/>
        </w:rPr>
        <w:t xml:space="preserve">[16]   Wong WW, Doyle TC, Cheung P, Olson TM, Reisler E (2001) Functional studies of yeast actin mutants corresponding to human cardiomyopathy mutations. J Muscle Res Cell Motil 22: 665-674.</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1" Type="http://schemas.openxmlformats.org/officeDocument/2006/relationships/image" /><Relationship Target="media/image1.wmf" Id="docRId3" Type="http://schemas.openxmlformats.org/officeDocument/2006/relationships/image" /><Relationship Target="media/image2.wmf" Id="docRId5" Type="http://schemas.openxmlformats.org/officeDocument/2006/relationships/image" /><Relationship Target="styles.xml" Id="docRId7" Type="http://schemas.openxmlformats.org/officeDocument/2006/relationships/styles" /><Relationship Target="embeddings/oleObject0.bin" Id="docRId0" Type="http://schemas.openxmlformats.org/officeDocument/2006/relationships/oleObject" /><Relationship Target="embeddings/oleObject1.bin" Id="docRId2" Type="http://schemas.openxmlformats.org/officeDocument/2006/relationships/oleObject" /><Relationship Target="embeddings/oleObject2.bin" Id="docRId4" Type="http://schemas.openxmlformats.org/officeDocument/2006/relationships/oleObject" /><Relationship Target="numbering.xml" Id="docRId6" Type="http://schemas.openxmlformats.org/officeDocument/2006/relationships/numbering" /></Relationships>
</file>