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EAE83" w14:textId="6EEFD17A" w:rsidR="009444CF" w:rsidRPr="00230B6D" w:rsidRDefault="00CD09E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1. Pati</w:t>
      </w:r>
      <w:r w:rsidR="00CB3B42" w:rsidRPr="00230B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ents’ </w:t>
      </w:r>
      <w:r w:rsidR="00D667B3">
        <w:rPr>
          <w:rFonts w:ascii="Times New Roman" w:hAnsi="Times New Roman" w:cs="Times New Roman"/>
          <w:b/>
          <w:sz w:val="24"/>
          <w:szCs w:val="24"/>
          <w:lang w:val="en-US"/>
        </w:rPr>
        <w:t xml:space="preserve">baseline </w:t>
      </w:r>
      <w:r w:rsidR="00CB3B42" w:rsidRPr="00230B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characteristics </w:t>
      </w:r>
    </w:p>
    <w:tbl>
      <w:tblPr>
        <w:tblStyle w:val="TableauGrille4-Accentuation3"/>
        <w:tblpPr w:leftFromText="141" w:rightFromText="141" w:vertAnchor="page" w:horzAnchor="page" w:tblpX="2911" w:tblpY="20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0"/>
      </w:tblGrid>
      <w:tr w:rsidR="00CD09EB" w14:paraId="2A308588" w14:textId="77777777" w:rsidTr="00597D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840D4CD" w14:textId="1D239A6A" w:rsidR="00CD09EB" w:rsidRDefault="00CD09EB" w:rsidP="00CD09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9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Patients’ characteristics </w:t>
            </w:r>
            <w:r w:rsidR="00597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                                                  (N = 22</w:t>
            </w:r>
            <w:r w:rsidRPr="00CD09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CD09EB" w:rsidRPr="00597D62" w14:paraId="6BD10045" w14:textId="77777777" w:rsidTr="00597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0" w:type="dxa"/>
          </w:tcPr>
          <w:p w14:paraId="227F69B5" w14:textId="58F978D1" w:rsidR="00CD09EB" w:rsidRDefault="00CD09EB" w:rsidP="00CD09E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(years)                </w:t>
            </w:r>
            <w:r w:rsidR="00597D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</w:t>
            </w:r>
            <w:r w:rsidR="00597D62" w:rsidRPr="00597D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 [53 - 65]</w:t>
            </w:r>
          </w:p>
          <w:p w14:paraId="301833CD" w14:textId="759CCE8D" w:rsidR="00022394" w:rsidRPr="00B6242C" w:rsidRDefault="003022EB" w:rsidP="00CD09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Sex, </w:t>
            </w:r>
            <w:r w:rsidRPr="00B62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Male </w:t>
            </w:r>
            <w:r w:rsidR="00022394" w:rsidRPr="00B62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B62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</w:t>
            </w:r>
            <w:r w:rsidR="00597D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</w:t>
            </w:r>
            <w:r w:rsidRPr="00B62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597D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(32</w:t>
            </w:r>
            <w:r w:rsidR="00022394" w:rsidRPr="00B62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  <w:p w14:paraId="0D06FA2E" w14:textId="1BACF541" w:rsidR="00CD09EB" w:rsidRPr="00B6242C" w:rsidRDefault="00CD09EB" w:rsidP="00CD09E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B62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Height (cm)                                              </w:t>
            </w:r>
            <w:r w:rsidR="00597D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</w:t>
            </w:r>
            <w:r w:rsidRPr="00B62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171 ± 9</w:t>
            </w:r>
          </w:p>
          <w:p w14:paraId="5FB87DBE" w14:textId="5549862B" w:rsidR="00CD09EB" w:rsidRPr="00B6242C" w:rsidRDefault="00CD09EB" w:rsidP="00CD09E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B62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Body weight (kg)                                     </w:t>
            </w:r>
            <w:r w:rsidR="00597D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</w:t>
            </w:r>
            <w:r w:rsidRPr="00B62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78 ± 17</w:t>
            </w:r>
          </w:p>
          <w:p w14:paraId="0B9B9C7C" w14:textId="00AD0B5F" w:rsidR="00597D62" w:rsidRDefault="00CD09EB" w:rsidP="00CD09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2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Body mass index </w:t>
            </w:r>
            <w:r w:rsidR="00597D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(kg/m²)                                                        </w:t>
            </w:r>
            <w:r w:rsidR="00597D62" w:rsidRPr="00597D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 [27-37]</w:t>
            </w:r>
          </w:p>
          <w:p w14:paraId="15F3BA07" w14:textId="0999F6A2" w:rsidR="00CD09EB" w:rsidRDefault="00CD09EB" w:rsidP="00CD09E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B62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Hypertensive patients                            </w:t>
            </w:r>
            <w:r w:rsidR="00597D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</w:t>
            </w:r>
            <w:r w:rsidRPr="00B62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14 (23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  <w:p w14:paraId="51C2E70E" w14:textId="72976464" w:rsidR="00CD09EB" w:rsidRDefault="00CD09EB" w:rsidP="00597D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Treated for hypertension                       </w:t>
            </w:r>
            <w:r w:rsidR="00597D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597D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597D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  <w:p w14:paraId="15D900D2" w14:textId="34F336DE" w:rsidR="00597D62" w:rsidRDefault="00597D62" w:rsidP="00597D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Hyperlipidemia                                                                       12 (54%)</w:t>
            </w:r>
          </w:p>
          <w:p w14:paraId="072ECFF1" w14:textId="5FDEF64A" w:rsidR="00597D62" w:rsidRDefault="00597D62" w:rsidP="00597D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Diabete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                                                                                  8 (36%)</w:t>
            </w:r>
          </w:p>
          <w:p w14:paraId="2012C1B1" w14:textId="3C27D9E5" w:rsidR="00597D62" w:rsidRDefault="00597D62" w:rsidP="00597D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Chronic renal insufficiency                                                     4 (18%)</w:t>
            </w:r>
          </w:p>
          <w:p w14:paraId="0F5D1875" w14:textId="31C05FCC" w:rsidR="00597D62" w:rsidRDefault="00597D62" w:rsidP="00597D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Patients under noradrenaline                                                  7 (33%)</w:t>
            </w:r>
          </w:p>
          <w:p w14:paraId="21B8621F" w14:textId="77777777" w:rsidR="00597D62" w:rsidRPr="00597D62" w:rsidRDefault="00597D62" w:rsidP="00597D62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597D6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Reason for ICU admission</w:t>
            </w:r>
          </w:p>
          <w:p w14:paraId="3998F476" w14:textId="2C5CA251" w:rsidR="00597D62" w:rsidRPr="00597D62" w:rsidRDefault="00597D62" w:rsidP="00597D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D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-COVID-19 infection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14 (63%)</w:t>
            </w:r>
          </w:p>
          <w:p w14:paraId="3BE72B5C" w14:textId="05FEDAFC" w:rsidR="00597D62" w:rsidRPr="00597D62" w:rsidRDefault="00597D62" w:rsidP="00597D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D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-Postoperative period of a neurosurgical procedure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3 (13%)</w:t>
            </w:r>
          </w:p>
          <w:p w14:paraId="2E772FC1" w14:textId="1BDA9132" w:rsidR="00597D62" w:rsidRPr="00597D62" w:rsidRDefault="00597D62" w:rsidP="00597D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D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Postoperative period of a cardiac surgery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2 (9%)</w:t>
            </w:r>
          </w:p>
          <w:p w14:paraId="2D6FD5F5" w14:textId="21243B2C" w:rsidR="00597D62" w:rsidRPr="00597D62" w:rsidRDefault="00597D62" w:rsidP="00597D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D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-Multi-organ failure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1 (4%)</w:t>
            </w:r>
          </w:p>
          <w:p w14:paraId="366FDF7D" w14:textId="602FB449" w:rsidR="00597D62" w:rsidRPr="00597D62" w:rsidRDefault="00597D62" w:rsidP="00597D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D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-Acute respiratory insufficiency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1 (4%)</w:t>
            </w:r>
          </w:p>
          <w:p w14:paraId="00D5F0CE" w14:textId="2B00FE7C" w:rsidR="00597D62" w:rsidRDefault="00597D62" w:rsidP="00597D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D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-Postoperative period of a liver transplant surgery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1 (4%)</w:t>
            </w:r>
          </w:p>
          <w:p w14:paraId="42344F3F" w14:textId="52A50738" w:rsidR="00597D62" w:rsidRDefault="00597D62" w:rsidP="00597D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9A7D6C5" w14:textId="474FDA8A" w:rsidR="00230B6D" w:rsidRDefault="00230B6D" w:rsidP="00230B6D">
      <w:pPr>
        <w:rPr>
          <w:rFonts w:ascii="Times New Roman" w:hAnsi="Times New Roman" w:cs="Times New Roman"/>
          <w:lang w:val="en-US"/>
        </w:rPr>
      </w:pPr>
    </w:p>
    <w:p w14:paraId="66E73CB9" w14:textId="77777777" w:rsidR="00230B6D" w:rsidRDefault="00230B6D" w:rsidP="00230B6D">
      <w:pPr>
        <w:rPr>
          <w:rFonts w:ascii="Times New Roman" w:hAnsi="Times New Roman" w:cs="Times New Roman"/>
          <w:lang w:val="en-US"/>
        </w:rPr>
      </w:pPr>
    </w:p>
    <w:p w14:paraId="50117A65" w14:textId="77777777" w:rsidR="00230B6D" w:rsidRDefault="00230B6D" w:rsidP="00230B6D">
      <w:pPr>
        <w:rPr>
          <w:rFonts w:ascii="Times New Roman" w:hAnsi="Times New Roman" w:cs="Times New Roman"/>
          <w:lang w:val="en-US"/>
        </w:rPr>
      </w:pPr>
    </w:p>
    <w:p w14:paraId="499151D4" w14:textId="77777777" w:rsidR="00230B6D" w:rsidRDefault="00230B6D" w:rsidP="00230B6D">
      <w:pPr>
        <w:rPr>
          <w:rFonts w:ascii="Times New Roman" w:hAnsi="Times New Roman" w:cs="Times New Roman"/>
          <w:lang w:val="en-US"/>
        </w:rPr>
      </w:pPr>
    </w:p>
    <w:p w14:paraId="66FD0363" w14:textId="77777777" w:rsidR="00230B6D" w:rsidRDefault="00230B6D" w:rsidP="00230B6D">
      <w:pPr>
        <w:rPr>
          <w:rFonts w:ascii="Times New Roman" w:hAnsi="Times New Roman" w:cs="Times New Roman"/>
          <w:lang w:val="en-US"/>
        </w:rPr>
      </w:pPr>
    </w:p>
    <w:p w14:paraId="1377D0D9" w14:textId="77777777" w:rsidR="00230B6D" w:rsidRDefault="00230B6D" w:rsidP="00230B6D">
      <w:pPr>
        <w:rPr>
          <w:rFonts w:ascii="Times New Roman" w:hAnsi="Times New Roman" w:cs="Times New Roman"/>
          <w:lang w:val="en-US"/>
        </w:rPr>
      </w:pPr>
    </w:p>
    <w:p w14:paraId="7693CD2D" w14:textId="77777777" w:rsidR="00230B6D" w:rsidRDefault="00230B6D" w:rsidP="00230B6D">
      <w:pPr>
        <w:rPr>
          <w:rFonts w:ascii="Times New Roman" w:hAnsi="Times New Roman" w:cs="Times New Roman"/>
          <w:lang w:val="en-US"/>
        </w:rPr>
      </w:pPr>
    </w:p>
    <w:p w14:paraId="1F3327F8" w14:textId="77777777" w:rsidR="00230B6D" w:rsidRDefault="00230B6D" w:rsidP="00230B6D">
      <w:pPr>
        <w:rPr>
          <w:rFonts w:ascii="Times New Roman" w:hAnsi="Times New Roman" w:cs="Times New Roman"/>
          <w:lang w:val="en-US"/>
        </w:rPr>
      </w:pPr>
    </w:p>
    <w:p w14:paraId="54ABD8B5" w14:textId="77777777" w:rsidR="00597D62" w:rsidRDefault="00597D62" w:rsidP="00230B6D">
      <w:pPr>
        <w:rPr>
          <w:rFonts w:ascii="Times New Roman" w:hAnsi="Times New Roman" w:cs="Times New Roman"/>
          <w:lang w:val="en-US"/>
        </w:rPr>
      </w:pPr>
    </w:p>
    <w:p w14:paraId="5FA58D3D" w14:textId="77777777" w:rsidR="00597D62" w:rsidRDefault="00597D62" w:rsidP="00230B6D">
      <w:pPr>
        <w:rPr>
          <w:rFonts w:ascii="Times New Roman" w:hAnsi="Times New Roman" w:cs="Times New Roman"/>
          <w:lang w:val="en-US"/>
        </w:rPr>
      </w:pPr>
    </w:p>
    <w:p w14:paraId="6D28562B" w14:textId="77777777" w:rsidR="00597D62" w:rsidRDefault="00597D62" w:rsidP="00230B6D">
      <w:pPr>
        <w:rPr>
          <w:rFonts w:ascii="Times New Roman" w:hAnsi="Times New Roman" w:cs="Times New Roman"/>
          <w:lang w:val="en-US"/>
        </w:rPr>
      </w:pPr>
    </w:p>
    <w:p w14:paraId="2B188AA4" w14:textId="77777777" w:rsidR="00597D62" w:rsidRDefault="00597D62" w:rsidP="00230B6D">
      <w:pPr>
        <w:rPr>
          <w:rFonts w:ascii="Times New Roman" w:hAnsi="Times New Roman" w:cs="Times New Roman"/>
          <w:lang w:val="en-US"/>
        </w:rPr>
      </w:pPr>
    </w:p>
    <w:p w14:paraId="678B71E5" w14:textId="77777777" w:rsidR="00597D62" w:rsidRDefault="00597D62" w:rsidP="00230B6D">
      <w:pPr>
        <w:rPr>
          <w:rFonts w:ascii="Times New Roman" w:hAnsi="Times New Roman" w:cs="Times New Roman"/>
          <w:lang w:val="en-US"/>
        </w:rPr>
      </w:pPr>
    </w:p>
    <w:p w14:paraId="6B9D407F" w14:textId="77777777" w:rsidR="00597D62" w:rsidRDefault="00597D62" w:rsidP="00230B6D">
      <w:pPr>
        <w:rPr>
          <w:rFonts w:ascii="Times New Roman" w:hAnsi="Times New Roman" w:cs="Times New Roman"/>
          <w:lang w:val="en-US"/>
        </w:rPr>
      </w:pPr>
    </w:p>
    <w:p w14:paraId="35E69326" w14:textId="6EFC390C" w:rsidR="00230B6D" w:rsidRPr="00230B6D" w:rsidRDefault="00597D62" w:rsidP="00230B6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</w:t>
      </w:r>
      <w:bookmarkStart w:id="0" w:name="_GoBack"/>
      <w:bookmarkEnd w:id="0"/>
      <w:r w:rsidR="00230B6D" w:rsidRPr="00230B6D">
        <w:rPr>
          <w:rFonts w:ascii="Times New Roman" w:hAnsi="Times New Roman" w:cs="Times New Roman"/>
          <w:sz w:val="24"/>
          <w:szCs w:val="24"/>
          <w:lang w:val="en-US"/>
        </w:rPr>
        <w:t xml:space="preserve">Variables are presented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as mean ± SD, median [25-75] percentiles </w:t>
      </w:r>
      <w:r w:rsidR="00EF4B16">
        <w:rPr>
          <w:rFonts w:ascii="Times New Roman" w:hAnsi="Times New Roman" w:cs="Times New Roman"/>
          <w:sz w:val="24"/>
          <w:szCs w:val="24"/>
          <w:lang w:val="en-US"/>
        </w:rPr>
        <w:t>or absolute number (percentage</w:t>
      </w:r>
      <w:r w:rsidR="00230B6D" w:rsidRPr="00230B6D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1C9D7E2E" w14:textId="78D2E8B0" w:rsidR="00CB3B42" w:rsidRPr="00CB3B42" w:rsidRDefault="00CB3B42" w:rsidP="00230B6D">
      <w:pPr>
        <w:rPr>
          <w:rFonts w:ascii="Times New Roman" w:hAnsi="Times New Roman" w:cs="Times New Roman"/>
          <w:lang w:val="en-US"/>
        </w:rPr>
      </w:pPr>
    </w:p>
    <w:sectPr w:rsidR="00CB3B42" w:rsidRPr="00CB3B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B42"/>
    <w:rsid w:val="00022394"/>
    <w:rsid w:val="001E08CC"/>
    <w:rsid w:val="00230B6D"/>
    <w:rsid w:val="0025639E"/>
    <w:rsid w:val="003022EB"/>
    <w:rsid w:val="0030557E"/>
    <w:rsid w:val="00396399"/>
    <w:rsid w:val="005201C2"/>
    <w:rsid w:val="00597D62"/>
    <w:rsid w:val="0060747A"/>
    <w:rsid w:val="007E3100"/>
    <w:rsid w:val="00831EE7"/>
    <w:rsid w:val="009444CF"/>
    <w:rsid w:val="00B6242C"/>
    <w:rsid w:val="00BB2330"/>
    <w:rsid w:val="00CB3B42"/>
    <w:rsid w:val="00CD09EB"/>
    <w:rsid w:val="00D667B3"/>
    <w:rsid w:val="00EF4B16"/>
    <w:rsid w:val="00F33093"/>
    <w:rsid w:val="00FF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0E960"/>
  <w15:chartTrackingRefBased/>
  <w15:docId w15:val="{E556284C-4689-4140-B26B-7318849E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B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3">
    <w:name w:val="Grid Table 4 Accent 3"/>
    <w:basedOn w:val="TableauNormal"/>
    <w:uiPriority w:val="49"/>
    <w:rsid w:val="00CB3B4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 Tighenifi</dc:creator>
  <cp:keywords/>
  <dc:description/>
  <cp:lastModifiedBy>Compte Microsoft</cp:lastModifiedBy>
  <cp:revision>10</cp:revision>
  <dcterms:created xsi:type="dcterms:W3CDTF">2021-03-05T07:48:00Z</dcterms:created>
  <dcterms:modified xsi:type="dcterms:W3CDTF">2021-10-25T19:20:00Z</dcterms:modified>
</cp:coreProperties>
</file>