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00D" w:rsidRPr="009B192F" w:rsidRDefault="00D664BA" w:rsidP="00EC100D">
      <w:pPr>
        <w:jc w:val="center"/>
        <w:rPr>
          <w:rFonts w:ascii="Cambria" w:hAnsi="Cambria" w:cs="Times New Roman"/>
          <w:b/>
          <w:bCs/>
          <w:color w:val="000000" w:themeColor="text1"/>
          <w:u w:val="single"/>
        </w:rPr>
      </w:pPr>
      <w:bookmarkStart w:id="0" w:name="_Hlk10006322"/>
      <w:r w:rsidRPr="009B192F">
        <w:rPr>
          <w:rFonts w:ascii="Cambria" w:hAnsi="Cambria" w:cs="Times New Roman"/>
          <w:b/>
          <w:bCs/>
          <w:color w:val="000000" w:themeColor="text1"/>
          <w:u w:val="single"/>
        </w:rPr>
        <w:t>Supplementary Table 1. Biochemical characteristics of control, ND and ESRD population.</w:t>
      </w:r>
    </w:p>
    <w:tbl>
      <w:tblPr>
        <w:tblStyle w:val="TableGrid"/>
        <w:tblpPr w:leftFromText="180" w:rightFromText="180" w:vertAnchor="page" w:horzAnchor="margin" w:tblpY="2821"/>
        <w:tblW w:w="8241" w:type="dxa"/>
        <w:tblLook w:val="04A0" w:firstRow="1" w:lastRow="0" w:firstColumn="1" w:lastColumn="0" w:noHBand="0" w:noVBand="1"/>
      </w:tblPr>
      <w:tblGrid>
        <w:gridCol w:w="2215"/>
        <w:gridCol w:w="1734"/>
        <w:gridCol w:w="2104"/>
        <w:gridCol w:w="2188"/>
      </w:tblGrid>
      <w:tr w:rsidR="0025577C" w:rsidTr="001A5E92">
        <w:trPr>
          <w:trHeight w:hRule="exact" w:val="842"/>
        </w:trPr>
        <w:tc>
          <w:tcPr>
            <w:tcW w:w="2215" w:type="dxa"/>
            <w:tcBorders>
              <w:bottom w:val="single" w:sz="4" w:space="0" w:color="000000" w:themeColor="text1"/>
            </w:tcBorders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Characteristics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1734" w:type="dxa"/>
            <w:tcBorders>
              <w:bottom w:val="single" w:sz="4" w:space="0" w:color="auto"/>
            </w:tcBorders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Control 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(n =202)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Nondialysis (n=170)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ESRD 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(n=222)</w:t>
            </w:r>
          </w:p>
        </w:tc>
      </w:tr>
      <w:tr w:rsidR="0025577C" w:rsidTr="001A5E92">
        <w:trPr>
          <w:trHeight w:val="383"/>
        </w:trPr>
        <w:tc>
          <w:tcPr>
            <w:tcW w:w="2215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53.65± 11.15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58.37 ± 13.10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53.94± 14.16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</w:p>
        </w:tc>
      </w:tr>
      <w:tr w:rsidR="0025577C" w:rsidTr="001A5E92">
        <w:trPr>
          <w:trHeight w:val="405"/>
        </w:trPr>
        <w:tc>
          <w:tcPr>
            <w:tcW w:w="2215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Gender (Male) %</w:t>
            </w:r>
          </w:p>
        </w:tc>
        <w:tc>
          <w:tcPr>
            <w:tcW w:w="173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72.27 (146)</w:t>
            </w:r>
          </w:p>
        </w:tc>
        <w:tc>
          <w:tcPr>
            <w:tcW w:w="210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71.17 (121)</w:t>
            </w:r>
          </w:p>
        </w:tc>
        <w:tc>
          <w:tcPr>
            <w:tcW w:w="2188" w:type="dxa"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80.18 (178)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</w:p>
        </w:tc>
      </w:tr>
      <w:tr w:rsidR="0025577C" w:rsidTr="001A5E92">
        <w:trPr>
          <w:trHeight w:val="256"/>
        </w:trPr>
        <w:tc>
          <w:tcPr>
            <w:tcW w:w="2215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Diabetes % (n)</w:t>
            </w:r>
          </w:p>
        </w:tc>
        <w:tc>
          <w:tcPr>
            <w:tcW w:w="173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--</w:t>
            </w:r>
          </w:p>
        </w:tc>
        <w:tc>
          <w:tcPr>
            <w:tcW w:w="210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61.76(105)</w:t>
            </w:r>
          </w:p>
        </w:tc>
        <w:tc>
          <w:tcPr>
            <w:tcW w:w="2188" w:type="dxa"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54.50(121)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</w:p>
        </w:tc>
      </w:tr>
      <w:tr w:rsidR="0025577C" w:rsidTr="001A5E92">
        <w:trPr>
          <w:trHeight w:hRule="exact" w:val="412"/>
        </w:trPr>
        <w:tc>
          <w:tcPr>
            <w:tcW w:w="2215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Hypertension % (n)</w:t>
            </w:r>
          </w:p>
        </w:tc>
        <w:tc>
          <w:tcPr>
            <w:tcW w:w="173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--</w:t>
            </w:r>
          </w:p>
        </w:tc>
        <w:tc>
          <w:tcPr>
            <w:tcW w:w="210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80 (136)</w:t>
            </w:r>
          </w:p>
        </w:tc>
        <w:tc>
          <w:tcPr>
            <w:tcW w:w="2188" w:type="dxa"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90.09 (200)</w:t>
            </w:r>
          </w:p>
        </w:tc>
      </w:tr>
      <w:tr w:rsidR="0025577C" w:rsidTr="001A5E92">
        <w:trPr>
          <w:trHeight w:val="256"/>
        </w:trPr>
        <w:tc>
          <w:tcPr>
            <w:tcW w:w="2215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Creatinine</w:t>
            </w:r>
          </w:p>
        </w:tc>
        <w:tc>
          <w:tcPr>
            <w:tcW w:w="173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0.69±0.18</w:t>
            </w:r>
          </w:p>
        </w:tc>
        <w:tc>
          <w:tcPr>
            <w:tcW w:w="210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3.04±1.50*</w:t>
            </w:r>
          </w:p>
        </w:tc>
        <w:tc>
          <w:tcPr>
            <w:tcW w:w="2188" w:type="dxa"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  <w:vertAlign w:val="superscript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7.60±1.97*</w:t>
            </w:r>
            <w:r w:rsidRPr="009B192F">
              <w:rPr>
                <w:rFonts w:ascii="Cambria" w:hAnsi="Cambria" w:cs="Times New Roman"/>
                <w:color w:val="000000" w:themeColor="text1"/>
                <w:vertAlign w:val="superscript"/>
              </w:rPr>
              <w:t>#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</w:p>
        </w:tc>
      </w:tr>
      <w:tr w:rsidR="0025577C" w:rsidTr="001A5E92">
        <w:trPr>
          <w:trHeight w:val="480"/>
        </w:trPr>
        <w:tc>
          <w:tcPr>
            <w:tcW w:w="2215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Urea</w:t>
            </w:r>
          </w:p>
        </w:tc>
        <w:tc>
          <w:tcPr>
            <w:tcW w:w="173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20.05±5.49</w:t>
            </w:r>
          </w:p>
        </w:tc>
        <w:tc>
          <w:tcPr>
            <w:tcW w:w="210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69.27±34.28*</w:t>
            </w:r>
          </w:p>
        </w:tc>
        <w:tc>
          <w:tcPr>
            <w:tcW w:w="2188" w:type="dxa"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135.13±51.49*</w:t>
            </w:r>
            <w:r w:rsidRPr="009B192F">
              <w:rPr>
                <w:rFonts w:ascii="Cambria" w:hAnsi="Cambria" w:cs="Times New Roman"/>
                <w:color w:val="000000" w:themeColor="text1"/>
                <w:vertAlign w:val="superscript"/>
              </w:rPr>
              <w:t>#</w:t>
            </w:r>
          </w:p>
        </w:tc>
      </w:tr>
      <w:tr w:rsidR="0025577C" w:rsidTr="001A5E92">
        <w:trPr>
          <w:trHeight w:hRule="exact" w:val="547"/>
        </w:trPr>
        <w:tc>
          <w:tcPr>
            <w:tcW w:w="2215" w:type="dxa"/>
            <w:tcBorders>
              <w:bottom w:val="single" w:sz="4" w:space="0" w:color="000000" w:themeColor="text1"/>
            </w:tcBorders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BMI (kg/ m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  <w:vertAlign w:val="superscript"/>
              </w:rPr>
              <w:t>2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734" w:type="dxa"/>
            <w:tcBorders>
              <w:bottom w:val="single" w:sz="4" w:space="0" w:color="000000" w:themeColor="text1"/>
            </w:tcBorders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23.80± 3.60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24±4.49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23.80±4.41</w:t>
            </w: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</w:p>
        </w:tc>
      </w:tr>
      <w:tr w:rsidR="0025577C" w:rsidTr="001A5E92">
        <w:trPr>
          <w:trHeight w:hRule="exact" w:val="498"/>
        </w:trPr>
        <w:tc>
          <w:tcPr>
            <w:tcW w:w="2215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HbA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  <w:vertAlign w:val="subscript"/>
              </w:rPr>
              <w:t>1c</w:t>
            </w:r>
          </w:p>
        </w:tc>
        <w:tc>
          <w:tcPr>
            <w:tcW w:w="1734" w:type="dxa"/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5.52 ± 0.24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8.20± 2.38*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7.24± 2.04</w:t>
            </w:r>
            <w:r w:rsidRPr="009B192F">
              <w:rPr>
                <w:rFonts w:ascii="Cambria" w:hAnsi="Cambria" w:cs="Times New Roman"/>
                <w:color w:val="000000" w:themeColor="text1"/>
                <w:vertAlign w:val="superscript"/>
              </w:rPr>
              <w:t>*#</w:t>
            </w:r>
          </w:p>
        </w:tc>
      </w:tr>
      <w:tr w:rsidR="0025577C" w:rsidTr="001A5E92">
        <w:trPr>
          <w:trHeight w:hRule="exact" w:val="498"/>
        </w:trPr>
        <w:tc>
          <w:tcPr>
            <w:tcW w:w="2215" w:type="dxa"/>
          </w:tcPr>
          <w:p w:rsidR="0025577C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</w:p>
        </w:tc>
        <w:tc>
          <w:tcPr>
            <w:tcW w:w="1734" w:type="dxa"/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2104" w:type="dxa"/>
            <w:tcBorders>
              <w:top w:val="single" w:sz="4" w:space="0" w:color="auto"/>
            </w:tcBorders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25577C" w:rsidRPr="009B192F" w:rsidRDefault="0025577C" w:rsidP="001A5E92">
            <w:pPr>
              <w:spacing w:after="0"/>
              <w:jc w:val="center"/>
              <w:rPr>
                <w:rFonts w:ascii="Cambria" w:hAnsi="Cambria" w:cs="Times New Roman"/>
                <w:color w:val="000000" w:themeColor="text1"/>
              </w:rPr>
            </w:pPr>
          </w:p>
        </w:tc>
      </w:tr>
    </w:tbl>
    <w:p w:rsidR="00E55594" w:rsidRPr="009B192F" w:rsidRDefault="00E55594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55594" w:rsidRPr="009B192F" w:rsidRDefault="00E55594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55594" w:rsidRPr="009B192F" w:rsidRDefault="00E55594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9B192F" w:rsidRDefault="009B192F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25577C" w:rsidRDefault="0025577C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D664BA" w:rsidP="00EC100D">
      <w:pPr>
        <w:jc w:val="both"/>
        <w:rPr>
          <w:rFonts w:ascii="Cambria" w:hAnsi="Cambria" w:cs="Times New Roman"/>
          <w:bCs/>
          <w:color w:val="000000" w:themeColor="text1"/>
        </w:rPr>
      </w:pPr>
      <w:r w:rsidRPr="009B192F">
        <w:rPr>
          <w:rFonts w:ascii="Cambria" w:hAnsi="Cambria" w:cs="Times New Roman"/>
          <w:bCs/>
          <w:color w:val="000000" w:themeColor="text1"/>
        </w:rPr>
        <w:t>Values are expressed as mean ± SD. Compared with the control group, *</w:t>
      </w:r>
      <w:r w:rsidRPr="009B192F">
        <w:rPr>
          <w:rFonts w:ascii="Cambria" w:hAnsi="Cambria" w:cs="Times New Roman"/>
          <w:bCs/>
          <w:i/>
          <w:iCs/>
          <w:color w:val="000000" w:themeColor="text1"/>
        </w:rPr>
        <w:t>P&lt;</w:t>
      </w:r>
      <w:r w:rsidRPr="009B192F">
        <w:rPr>
          <w:rFonts w:ascii="Cambria" w:hAnsi="Cambria" w:cs="Times New Roman"/>
          <w:bCs/>
          <w:color w:val="000000" w:themeColor="text1"/>
        </w:rPr>
        <w:t xml:space="preserve"> 0.05; Comparison between Control and patient populations individually (ND and ESRD). #</w:t>
      </w:r>
      <w:r w:rsidRPr="0060324C">
        <w:rPr>
          <w:rFonts w:ascii="Cambria" w:hAnsi="Cambria" w:cs="Times New Roman"/>
          <w:bCs/>
          <w:i/>
          <w:color w:val="000000" w:themeColor="text1"/>
        </w:rPr>
        <w:t>P</w:t>
      </w:r>
      <w:r w:rsidRPr="009B192F">
        <w:rPr>
          <w:rFonts w:ascii="Cambria" w:hAnsi="Cambria" w:cs="Times New Roman"/>
          <w:bCs/>
          <w:color w:val="000000" w:themeColor="text1"/>
        </w:rPr>
        <w:t>&lt;0.05; Comparison between ND and ESRD patients. BMI: body mas</w:t>
      </w:r>
      <w:r w:rsidR="001A5E92">
        <w:rPr>
          <w:rFonts w:ascii="Cambria" w:hAnsi="Cambria" w:cs="Times New Roman"/>
          <w:bCs/>
          <w:color w:val="000000" w:themeColor="text1"/>
        </w:rPr>
        <w:t>s index, HbA1c: glycosylated he</w:t>
      </w:r>
      <w:r w:rsidRPr="009B192F">
        <w:rPr>
          <w:rFonts w:ascii="Cambria" w:hAnsi="Cambria" w:cs="Times New Roman"/>
          <w:bCs/>
          <w:color w:val="000000" w:themeColor="text1"/>
        </w:rPr>
        <w:t>moglobin.</w:t>
      </w:r>
    </w:p>
    <w:p w:rsidR="00EC100D" w:rsidRPr="009B192F" w:rsidRDefault="00D664BA" w:rsidP="00EC100D">
      <w:pPr>
        <w:jc w:val="center"/>
        <w:rPr>
          <w:rFonts w:ascii="Cambria" w:hAnsi="Cambria" w:cs="Times New Roman"/>
          <w:b/>
          <w:color w:val="000000" w:themeColor="text1"/>
          <w:u w:val="single"/>
        </w:rPr>
      </w:pPr>
      <w:r w:rsidRPr="009B192F">
        <w:rPr>
          <w:rFonts w:ascii="Cambria" w:hAnsi="Cambria" w:cs="Times New Roman"/>
          <w:b/>
          <w:bCs/>
          <w:color w:val="000000" w:themeColor="text1"/>
          <w:u w:val="single"/>
        </w:rPr>
        <w:br w:type="page"/>
      </w:r>
      <w:r w:rsidRPr="009B192F">
        <w:rPr>
          <w:rFonts w:ascii="Cambria" w:hAnsi="Cambria" w:cs="Times New Roman"/>
          <w:b/>
          <w:color w:val="000000" w:themeColor="text1"/>
          <w:u w:val="single"/>
        </w:rPr>
        <w:lastRenderedPageBreak/>
        <w:t xml:space="preserve">Supplementary Table 2. Relationship of </w:t>
      </w:r>
      <w:r w:rsidRPr="009B192F">
        <w:rPr>
          <w:rFonts w:ascii="Cambria" w:hAnsi="Cambria" w:cs="Times New Roman"/>
          <w:b/>
          <w:i/>
          <w:color w:val="000000" w:themeColor="text1"/>
          <w:u w:val="single"/>
        </w:rPr>
        <w:t>Hp</w:t>
      </w:r>
      <w:r w:rsidRPr="009B192F">
        <w:rPr>
          <w:rFonts w:ascii="Cambria" w:hAnsi="Cambria" w:cs="Times New Roman"/>
          <w:b/>
          <w:color w:val="000000" w:themeColor="text1"/>
          <w:u w:val="single"/>
        </w:rPr>
        <w:t xml:space="preserve"> genotypes among three populations</w:t>
      </w:r>
    </w:p>
    <w:tbl>
      <w:tblPr>
        <w:tblStyle w:val="TableGrid"/>
        <w:tblW w:w="10530" w:type="dxa"/>
        <w:jc w:val="center"/>
        <w:tblLook w:val="04A0" w:firstRow="1" w:lastRow="0" w:firstColumn="1" w:lastColumn="0" w:noHBand="0" w:noVBand="1"/>
      </w:tblPr>
      <w:tblGrid>
        <w:gridCol w:w="1440"/>
        <w:gridCol w:w="1615"/>
        <w:gridCol w:w="2615"/>
        <w:gridCol w:w="1800"/>
        <w:gridCol w:w="1800"/>
        <w:gridCol w:w="1260"/>
      </w:tblGrid>
      <w:tr w:rsidR="004C5BD1" w:rsidTr="00F83659">
        <w:trPr>
          <w:trHeight w:val="660"/>
          <w:jc w:val="center"/>
        </w:trPr>
        <w:tc>
          <w:tcPr>
            <w:tcW w:w="1440" w:type="dxa"/>
            <w:hideMark/>
          </w:tcPr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color w:val="000000" w:themeColor="text1"/>
              </w:rPr>
              <w:t xml:space="preserve">Hp 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Genotypes</w:t>
            </w:r>
          </w:p>
        </w:tc>
        <w:tc>
          <w:tcPr>
            <w:tcW w:w="1615" w:type="dxa"/>
            <w:hideMark/>
          </w:tcPr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Controls (n=202) </w:t>
            </w:r>
          </w:p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n (%)</w:t>
            </w:r>
          </w:p>
        </w:tc>
        <w:tc>
          <w:tcPr>
            <w:tcW w:w="2615" w:type="dxa"/>
            <w:hideMark/>
          </w:tcPr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Non dialysis</w:t>
            </w:r>
          </w:p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(CKD stages 1-4)</w:t>
            </w:r>
          </w:p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(n=170) n (%)</w:t>
            </w:r>
          </w:p>
        </w:tc>
        <w:tc>
          <w:tcPr>
            <w:tcW w:w="1800" w:type="dxa"/>
          </w:tcPr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ESRD (n=222)</w:t>
            </w:r>
          </w:p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 n (%)</w:t>
            </w:r>
          </w:p>
        </w:tc>
        <w:tc>
          <w:tcPr>
            <w:tcW w:w="1800" w:type="dxa"/>
            <w:hideMark/>
          </w:tcPr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Association </w:t>
            </w:r>
          </w:p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iCs/>
                <w:color w:val="000000" w:themeColor="text1"/>
              </w:rPr>
              <w:t xml:space="preserve">df 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= 2</w:t>
            </w:r>
          </w:p>
        </w:tc>
        <w:tc>
          <w:tcPr>
            <w:tcW w:w="1260" w:type="dxa"/>
            <w:hideMark/>
          </w:tcPr>
          <w:p w:rsidR="00EC100D" w:rsidRPr="009B192F" w:rsidRDefault="00D664BA" w:rsidP="00F83659">
            <w:pPr>
              <w:spacing w:after="0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4C5BD1" w:rsidTr="00F83659">
        <w:trPr>
          <w:trHeight w:val="417"/>
          <w:jc w:val="center"/>
        </w:trPr>
        <w:tc>
          <w:tcPr>
            <w:tcW w:w="1440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1-1 </w:t>
            </w:r>
          </w:p>
        </w:tc>
        <w:tc>
          <w:tcPr>
            <w:tcW w:w="161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09  (4.46) </w:t>
            </w:r>
          </w:p>
        </w:tc>
        <w:tc>
          <w:tcPr>
            <w:tcW w:w="261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5 (2.94)</w:t>
            </w:r>
          </w:p>
        </w:tc>
        <w:tc>
          <w:tcPr>
            <w:tcW w:w="1800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5(2.25) </w:t>
            </w:r>
          </w:p>
        </w:tc>
        <w:tc>
          <w:tcPr>
            <w:tcW w:w="1800" w:type="dxa"/>
            <w:vMerge w:val="restart"/>
            <w:hideMark/>
          </w:tcPr>
          <w:p w:rsidR="00EC100D" w:rsidRPr="009B192F" w:rsidRDefault="00EC100D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i/>
                <w:iCs/>
                <w:color w:val="000000" w:themeColor="text1"/>
              </w:rPr>
            </w:pPr>
          </w:p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Symbol" w:hAnsi="Symbol" w:cs="Times New Roman"/>
                <w:bCs/>
                <w:i/>
                <w:iCs/>
                <w:color w:val="000000" w:themeColor="text1"/>
              </w:rPr>
              <w:sym w:font="Symbol" w:char="F063"/>
            </w:r>
            <w:r w:rsidRPr="009B192F">
              <w:rPr>
                <w:rFonts w:ascii="Cambria" w:hAnsi="Cambria" w:cs="Times New Roman"/>
                <w:bCs/>
                <w:color w:val="000000" w:themeColor="text1"/>
                <w:vertAlign w:val="superscript"/>
              </w:rPr>
              <w:t>2</w:t>
            </w: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=8.302</w:t>
            </w:r>
          </w:p>
        </w:tc>
        <w:tc>
          <w:tcPr>
            <w:tcW w:w="1260" w:type="dxa"/>
            <w:vMerge w:val="restart"/>
            <w:hideMark/>
          </w:tcPr>
          <w:p w:rsidR="00EC100D" w:rsidRPr="009B192F" w:rsidRDefault="00EC100D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0.08109</w:t>
            </w:r>
          </w:p>
        </w:tc>
      </w:tr>
      <w:tr w:rsidR="004C5BD1" w:rsidTr="00F83659">
        <w:trPr>
          <w:trHeight w:val="417"/>
          <w:jc w:val="center"/>
        </w:trPr>
        <w:tc>
          <w:tcPr>
            <w:tcW w:w="1440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2-1 </w:t>
            </w:r>
          </w:p>
        </w:tc>
        <w:tc>
          <w:tcPr>
            <w:tcW w:w="161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48 (23.76) </w:t>
            </w:r>
          </w:p>
        </w:tc>
        <w:tc>
          <w:tcPr>
            <w:tcW w:w="261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38 (22.35)</w:t>
            </w:r>
          </w:p>
        </w:tc>
        <w:tc>
          <w:tcPr>
            <w:tcW w:w="1800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33(14.86) </w:t>
            </w:r>
          </w:p>
        </w:tc>
        <w:tc>
          <w:tcPr>
            <w:tcW w:w="1800" w:type="dxa"/>
            <w:vMerge/>
            <w:hideMark/>
          </w:tcPr>
          <w:p w:rsidR="00EC100D" w:rsidRPr="009B192F" w:rsidRDefault="00EC100D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  <w:tc>
          <w:tcPr>
            <w:tcW w:w="1260" w:type="dxa"/>
            <w:vMerge/>
            <w:hideMark/>
          </w:tcPr>
          <w:p w:rsidR="00EC100D" w:rsidRPr="009B192F" w:rsidRDefault="00EC100D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</w:tr>
      <w:tr w:rsidR="004C5BD1" w:rsidTr="00F83659">
        <w:trPr>
          <w:trHeight w:val="274"/>
          <w:jc w:val="center"/>
        </w:trPr>
        <w:tc>
          <w:tcPr>
            <w:tcW w:w="1440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i/>
                <w:i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iCs/>
                <w:color w:val="000000" w:themeColor="text1"/>
              </w:rPr>
              <w:t>Hp 2-2</w:t>
            </w:r>
          </w:p>
        </w:tc>
        <w:tc>
          <w:tcPr>
            <w:tcW w:w="161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145 (71.78)</w:t>
            </w:r>
          </w:p>
        </w:tc>
        <w:tc>
          <w:tcPr>
            <w:tcW w:w="261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127 (74.71)</w:t>
            </w:r>
          </w:p>
        </w:tc>
        <w:tc>
          <w:tcPr>
            <w:tcW w:w="1800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184(82.88)</w:t>
            </w:r>
          </w:p>
        </w:tc>
        <w:tc>
          <w:tcPr>
            <w:tcW w:w="1800" w:type="dxa"/>
            <w:vMerge/>
            <w:hideMark/>
          </w:tcPr>
          <w:p w:rsidR="00EC100D" w:rsidRPr="009B192F" w:rsidRDefault="00EC100D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  <w:tc>
          <w:tcPr>
            <w:tcW w:w="1260" w:type="dxa"/>
            <w:vMerge/>
            <w:hideMark/>
          </w:tcPr>
          <w:p w:rsidR="00EC100D" w:rsidRPr="009B192F" w:rsidRDefault="00EC100D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</w:tr>
      <w:tr w:rsidR="004C5BD1" w:rsidTr="00F83659">
        <w:trPr>
          <w:trHeight w:val="417"/>
          <w:jc w:val="center"/>
        </w:trPr>
        <w:tc>
          <w:tcPr>
            <w:tcW w:w="1440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color w:val="000000" w:themeColor="text1"/>
              </w:rPr>
              <w:t>Non-</w:t>
            </w: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2-2 </w:t>
            </w:r>
          </w:p>
        </w:tc>
        <w:tc>
          <w:tcPr>
            <w:tcW w:w="161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57 (28.22) </w:t>
            </w:r>
          </w:p>
        </w:tc>
        <w:tc>
          <w:tcPr>
            <w:tcW w:w="261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43 (25.29)</w:t>
            </w:r>
          </w:p>
        </w:tc>
        <w:tc>
          <w:tcPr>
            <w:tcW w:w="1800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38(17.12) </w:t>
            </w:r>
          </w:p>
        </w:tc>
        <w:tc>
          <w:tcPr>
            <w:tcW w:w="1800" w:type="dxa"/>
            <w:vMerge w:val="restart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Symbol" w:hAnsi="Symbol" w:cs="Times New Roman"/>
                <w:bCs/>
                <w:i/>
                <w:iCs/>
                <w:color w:val="000000" w:themeColor="text1"/>
              </w:rPr>
              <w:sym w:font="Symbol" w:char="F063"/>
            </w:r>
            <w:r w:rsidRPr="009B192F">
              <w:rPr>
                <w:rFonts w:ascii="Cambria" w:hAnsi="Cambria" w:cs="Times New Roman"/>
                <w:bCs/>
                <w:color w:val="000000" w:themeColor="text1"/>
                <w:vertAlign w:val="superscript"/>
              </w:rPr>
              <w:t>2</w:t>
            </w: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=7.875</w:t>
            </w:r>
          </w:p>
        </w:tc>
        <w:tc>
          <w:tcPr>
            <w:tcW w:w="1260" w:type="dxa"/>
            <w:vMerge w:val="restart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0.01949*</w:t>
            </w:r>
          </w:p>
        </w:tc>
      </w:tr>
      <w:tr w:rsidR="004C5BD1" w:rsidTr="00F83659">
        <w:trPr>
          <w:trHeight w:val="417"/>
          <w:jc w:val="center"/>
        </w:trPr>
        <w:tc>
          <w:tcPr>
            <w:tcW w:w="1440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2-2 </w:t>
            </w:r>
          </w:p>
        </w:tc>
        <w:tc>
          <w:tcPr>
            <w:tcW w:w="161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145 (71.78) </w:t>
            </w:r>
          </w:p>
        </w:tc>
        <w:tc>
          <w:tcPr>
            <w:tcW w:w="261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127 (74.71)</w:t>
            </w:r>
          </w:p>
        </w:tc>
        <w:tc>
          <w:tcPr>
            <w:tcW w:w="1800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184(82.88) </w:t>
            </w:r>
          </w:p>
        </w:tc>
        <w:tc>
          <w:tcPr>
            <w:tcW w:w="1800" w:type="dxa"/>
            <w:vMerge/>
            <w:hideMark/>
          </w:tcPr>
          <w:p w:rsidR="00EC100D" w:rsidRPr="009B192F" w:rsidRDefault="00EC100D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  <w:tc>
          <w:tcPr>
            <w:tcW w:w="1260" w:type="dxa"/>
            <w:vMerge/>
            <w:hideMark/>
          </w:tcPr>
          <w:p w:rsidR="00EC100D" w:rsidRPr="009B192F" w:rsidRDefault="00EC100D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</w:tr>
    </w:tbl>
    <w:p w:rsidR="00EC100D" w:rsidRPr="009B192F" w:rsidRDefault="00EC100D" w:rsidP="00EC100D">
      <w:pPr>
        <w:ind w:left="-567"/>
        <w:jc w:val="both"/>
        <w:rPr>
          <w:rFonts w:ascii="Cambria" w:hAnsi="Cambria" w:cs="Times New Roman"/>
          <w:bCs/>
          <w:color w:val="000000" w:themeColor="text1"/>
        </w:rPr>
      </w:pPr>
    </w:p>
    <w:p w:rsidR="0060324C" w:rsidRPr="001A5E92" w:rsidRDefault="00D664BA" w:rsidP="001A5E92">
      <w:pPr>
        <w:jc w:val="both"/>
        <w:rPr>
          <w:rFonts w:ascii="Cambria" w:hAnsi="Cambria" w:cs="Times New Roman"/>
          <w:b/>
          <w:u w:val="single"/>
        </w:rPr>
      </w:pPr>
      <w:r w:rsidRPr="001A5E92">
        <w:rPr>
          <w:rFonts w:ascii="Cambria" w:hAnsi="Cambria" w:cs="Times New Roman"/>
          <w:bCs/>
        </w:rPr>
        <w:t xml:space="preserve">Distributions of Hp genotypes in control and ND were in Hardy–Weinberg equilibrium (Hp: </w:t>
      </w:r>
      <w:r w:rsidRPr="001A5E92">
        <w:rPr>
          <w:rFonts w:ascii="Symbol" w:hAnsi="Symbol" w:cs="Times New Roman"/>
          <w:bCs/>
          <w:i/>
          <w:iCs/>
        </w:rPr>
        <w:sym w:font="Symbol" w:char="F063"/>
      </w:r>
      <w:r w:rsidRPr="001A5E92">
        <w:rPr>
          <w:rFonts w:ascii="Cambria" w:hAnsi="Cambria" w:cs="Times New Roman"/>
          <w:bCs/>
          <w:vertAlign w:val="superscript"/>
        </w:rPr>
        <w:t>2</w:t>
      </w:r>
      <w:r w:rsidRPr="001A5E92">
        <w:rPr>
          <w:rFonts w:ascii="Cambria" w:hAnsi="Cambria" w:cs="Times New Roman"/>
          <w:bCs/>
        </w:rPr>
        <w:t xml:space="preserve"> = 3.451,</w:t>
      </w:r>
      <w:r w:rsidRPr="001A5E92">
        <w:rPr>
          <w:rFonts w:ascii="Cambria" w:hAnsi="Cambria" w:cs="Times New Roman"/>
          <w:bCs/>
          <w:i/>
          <w:iCs/>
        </w:rPr>
        <w:t>P</w:t>
      </w:r>
      <w:r w:rsidRPr="001A5E92">
        <w:rPr>
          <w:rFonts w:ascii="Cambria" w:hAnsi="Cambria" w:cs="Times New Roman"/>
          <w:bCs/>
        </w:rPr>
        <w:t xml:space="preserve"> = 0.063; </w:t>
      </w:r>
      <w:r w:rsidRPr="001A5E92">
        <w:rPr>
          <w:rFonts w:ascii="Symbol" w:hAnsi="Symbol" w:cs="Times New Roman"/>
          <w:bCs/>
          <w:i/>
          <w:iCs/>
        </w:rPr>
        <w:sym w:font="Symbol" w:char="F063"/>
      </w:r>
      <w:r w:rsidRPr="001A5E92">
        <w:rPr>
          <w:rFonts w:ascii="Cambria" w:hAnsi="Cambria" w:cs="Times New Roman"/>
          <w:bCs/>
          <w:vertAlign w:val="superscript"/>
        </w:rPr>
        <w:t>2</w:t>
      </w:r>
      <w:r w:rsidRPr="001A5E92">
        <w:rPr>
          <w:rFonts w:ascii="Cambria" w:hAnsi="Cambria" w:cs="Times New Roman"/>
          <w:bCs/>
        </w:rPr>
        <w:t xml:space="preserve"> = 1.039, </w:t>
      </w:r>
      <w:r w:rsidRPr="001A5E92">
        <w:rPr>
          <w:rFonts w:ascii="Cambria" w:hAnsi="Cambria" w:cs="Times New Roman"/>
          <w:bCs/>
          <w:i/>
          <w:iCs/>
        </w:rPr>
        <w:t>P</w:t>
      </w:r>
      <w:r w:rsidRPr="001A5E92">
        <w:rPr>
          <w:rFonts w:ascii="Cambria" w:hAnsi="Cambria" w:cs="Times New Roman"/>
          <w:bCs/>
        </w:rPr>
        <w:t xml:space="preserve"> = 0.307) and distribution of Hp genotypes in ESRD (Hp: </w:t>
      </w:r>
      <w:r w:rsidRPr="001A5E92">
        <w:rPr>
          <w:rFonts w:ascii="Symbol" w:hAnsi="Symbol" w:cs="Times New Roman"/>
          <w:bCs/>
          <w:i/>
          <w:iCs/>
        </w:rPr>
        <w:sym w:font="Symbol" w:char="F063"/>
      </w:r>
      <w:r w:rsidRPr="001A5E92">
        <w:rPr>
          <w:rFonts w:ascii="Cambria" w:hAnsi="Cambria" w:cs="Times New Roman"/>
          <w:bCs/>
          <w:vertAlign w:val="superscript"/>
        </w:rPr>
        <w:t>2</w:t>
      </w:r>
      <w:r w:rsidRPr="001A5E92">
        <w:rPr>
          <w:rFonts w:ascii="Cambria" w:hAnsi="Cambria" w:cs="Times New Roman"/>
          <w:bCs/>
        </w:rPr>
        <w:t xml:space="preserve"> = 5.012, </w:t>
      </w:r>
      <w:r w:rsidRPr="001A5E92">
        <w:rPr>
          <w:rFonts w:ascii="Cambria" w:hAnsi="Cambria" w:cs="Times New Roman"/>
          <w:bCs/>
          <w:i/>
          <w:iCs/>
        </w:rPr>
        <w:t>P</w:t>
      </w:r>
      <w:r w:rsidRPr="001A5E92">
        <w:rPr>
          <w:rFonts w:ascii="Cambria" w:hAnsi="Cambria" w:cs="Times New Roman"/>
          <w:bCs/>
        </w:rPr>
        <w:t xml:space="preserve"> = 0.025) were not in Hardy–Weinberg equilibrium.</w:t>
      </w:r>
      <w:r w:rsidRPr="001A5E92">
        <w:rPr>
          <w:rFonts w:ascii="Cambria" w:hAnsi="Cambria" w:cs="Times New Roman"/>
        </w:rPr>
        <w:t xml:space="preserve"> * represents P &lt; 0.05</w:t>
      </w:r>
      <w:r w:rsidR="001A5E92">
        <w:rPr>
          <w:rFonts w:ascii="Cambria" w:hAnsi="Cambria" w:cs="Times New Roman"/>
        </w:rPr>
        <w:t>.</w:t>
      </w:r>
    </w:p>
    <w:p w:rsidR="0060324C" w:rsidRPr="001A5E92" w:rsidRDefault="0060324C" w:rsidP="001A5E92">
      <w:pPr>
        <w:jc w:val="both"/>
        <w:rPr>
          <w:rFonts w:ascii="Cambria" w:hAnsi="Cambria" w:cs="Times New Roman"/>
          <w:bCs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color w:val="000000" w:themeColor="text1"/>
          <w:u w:val="single"/>
          <w:lang w:val="en-IN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25577C" w:rsidRPr="009B192F" w:rsidRDefault="0025577C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  <w:bookmarkStart w:id="1" w:name="_GoBack"/>
      <w:bookmarkEnd w:id="1"/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  <w:u w:val="single"/>
        </w:rPr>
      </w:pPr>
    </w:p>
    <w:p w:rsidR="00EC100D" w:rsidRPr="009B192F" w:rsidRDefault="00D664BA" w:rsidP="00EC100D">
      <w:pPr>
        <w:jc w:val="both"/>
        <w:rPr>
          <w:rFonts w:ascii="Cambria" w:hAnsi="Cambria" w:cs="Times New Roman"/>
          <w:b/>
          <w:color w:val="000000" w:themeColor="text1"/>
          <w:u w:val="single"/>
          <w:lang w:val="en-IN"/>
        </w:rPr>
      </w:pPr>
      <w:r w:rsidRPr="009B192F">
        <w:rPr>
          <w:rFonts w:ascii="Cambria" w:hAnsi="Cambria" w:cs="Times New Roman"/>
          <w:b/>
          <w:color w:val="000000" w:themeColor="text1"/>
          <w:u w:val="single"/>
          <w:lang w:val="en-IN"/>
        </w:rPr>
        <w:lastRenderedPageBreak/>
        <w:t>Supplementary Table 3. Hp allele frequency distribution in Control and CKD subjects.</w:t>
      </w:r>
    </w:p>
    <w:tbl>
      <w:tblPr>
        <w:tblStyle w:val="TableGrid"/>
        <w:tblpPr w:leftFromText="180" w:rightFromText="180" w:vertAnchor="text" w:tblpXSpec="center" w:tblpY="1"/>
        <w:tblW w:w="8283" w:type="dxa"/>
        <w:tblLook w:val="04A0" w:firstRow="1" w:lastRow="0" w:firstColumn="1" w:lastColumn="0" w:noHBand="0" w:noVBand="1"/>
      </w:tblPr>
      <w:tblGrid>
        <w:gridCol w:w="1152"/>
        <w:gridCol w:w="1440"/>
        <w:gridCol w:w="1658"/>
        <w:gridCol w:w="1152"/>
        <w:gridCol w:w="1685"/>
        <w:gridCol w:w="1196"/>
      </w:tblGrid>
      <w:tr w:rsidR="004C5BD1" w:rsidTr="00F83659">
        <w:trPr>
          <w:trHeight w:hRule="exact" w:val="820"/>
        </w:trPr>
        <w:tc>
          <w:tcPr>
            <w:tcW w:w="1152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color w:val="000000" w:themeColor="text1"/>
              </w:rPr>
              <w:t xml:space="preserve">Hp 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Alleles</w:t>
            </w:r>
          </w:p>
        </w:tc>
        <w:tc>
          <w:tcPr>
            <w:tcW w:w="1440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Controls (n=202) </w:t>
            </w:r>
          </w:p>
        </w:tc>
        <w:tc>
          <w:tcPr>
            <w:tcW w:w="1658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CKD (n=392) </w:t>
            </w:r>
          </w:p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</w:p>
        </w:tc>
        <w:tc>
          <w:tcPr>
            <w:tcW w:w="1152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OR</w:t>
            </w:r>
          </w:p>
        </w:tc>
        <w:tc>
          <w:tcPr>
            <w:tcW w:w="1685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CI =95%</w:t>
            </w:r>
          </w:p>
        </w:tc>
        <w:tc>
          <w:tcPr>
            <w:tcW w:w="1196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4C5BD1" w:rsidTr="00F83659">
        <w:trPr>
          <w:trHeight w:hRule="exact" w:val="688"/>
        </w:trPr>
        <w:tc>
          <w:tcPr>
            <w:tcW w:w="1152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1</w:t>
            </w:r>
          </w:p>
        </w:tc>
        <w:tc>
          <w:tcPr>
            <w:tcW w:w="1440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0.16</w:t>
            </w:r>
          </w:p>
        </w:tc>
        <w:tc>
          <w:tcPr>
            <w:tcW w:w="1658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0.12</w:t>
            </w:r>
          </w:p>
        </w:tc>
        <w:tc>
          <w:tcPr>
            <w:tcW w:w="1152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 reference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hideMark/>
          </w:tcPr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hideMark/>
          </w:tcPr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Cs/>
                <w:i/>
                <w:iCs/>
                <w:color w:val="000000" w:themeColor="text1"/>
              </w:rPr>
            </w:pPr>
          </w:p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</w:tr>
      <w:tr w:rsidR="004C5BD1" w:rsidTr="00F83659">
        <w:trPr>
          <w:trHeight w:val="305"/>
        </w:trPr>
        <w:tc>
          <w:tcPr>
            <w:tcW w:w="1152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2</w:t>
            </w:r>
          </w:p>
        </w:tc>
        <w:tc>
          <w:tcPr>
            <w:tcW w:w="1440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0.84</w:t>
            </w:r>
          </w:p>
        </w:tc>
        <w:tc>
          <w:tcPr>
            <w:tcW w:w="1658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0.88</w:t>
            </w:r>
          </w:p>
        </w:tc>
        <w:tc>
          <w:tcPr>
            <w:tcW w:w="1152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1.4870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color w:val="000000" w:themeColor="text1"/>
              </w:rPr>
            </w:pPr>
            <w:r w:rsidRPr="009B192F">
              <w:rPr>
                <w:rFonts w:ascii="Cambria" w:hAnsi="Cambria" w:cs="Times New Roman"/>
                <w:color w:val="000000" w:themeColor="text1"/>
              </w:rPr>
              <w:t>1.0557 to 2.0945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i/>
                <w:iCs/>
                <w:color w:val="000000" w:themeColor="text1"/>
              </w:rPr>
              <w:t>P= 0.0232</w:t>
            </w:r>
            <w:r w:rsidR="0060324C" w:rsidRPr="0060324C">
              <w:rPr>
                <w:rFonts w:ascii="Cambria" w:hAnsi="Cambria" w:cs="Times New Roman"/>
                <w:bCs/>
                <w:i/>
                <w:iCs/>
                <w:color w:val="000000" w:themeColor="text1"/>
              </w:rPr>
              <w:t>*</w:t>
            </w:r>
          </w:p>
        </w:tc>
      </w:tr>
    </w:tbl>
    <w:p w:rsidR="00E55594" w:rsidRPr="009B192F" w:rsidRDefault="00E55594" w:rsidP="00EC100D">
      <w:pPr>
        <w:spacing w:after="0"/>
        <w:jc w:val="both"/>
        <w:rPr>
          <w:rFonts w:ascii="Cambria" w:hAnsi="Cambria" w:cs="Times New Roman"/>
          <w:bCs/>
          <w:color w:val="000000" w:themeColor="text1"/>
        </w:rPr>
      </w:pPr>
    </w:p>
    <w:p w:rsidR="00E55594" w:rsidRPr="009B192F" w:rsidRDefault="00E55594" w:rsidP="00EC100D">
      <w:pPr>
        <w:spacing w:after="0"/>
        <w:jc w:val="both"/>
        <w:rPr>
          <w:rFonts w:ascii="Cambria" w:hAnsi="Cambria" w:cs="Times New Roman"/>
          <w:bCs/>
          <w:color w:val="000000" w:themeColor="text1"/>
        </w:rPr>
      </w:pPr>
    </w:p>
    <w:p w:rsidR="00E55594" w:rsidRPr="009B192F" w:rsidRDefault="00E55594" w:rsidP="00EC100D">
      <w:pPr>
        <w:spacing w:after="0"/>
        <w:jc w:val="both"/>
        <w:rPr>
          <w:rFonts w:ascii="Cambria" w:hAnsi="Cambria" w:cs="Times New Roman"/>
          <w:bCs/>
          <w:color w:val="000000" w:themeColor="text1"/>
        </w:rPr>
      </w:pPr>
    </w:p>
    <w:p w:rsidR="00E55594" w:rsidRPr="009B192F" w:rsidRDefault="00E55594" w:rsidP="00EC100D">
      <w:pPr>
        <w:spacing w:after="0"/>
        <w:jc w:val="both"/>
        <w:rPr>
          <w:rFonts w:ascii="Cambria" w:hAnsi="Cambria" w:cs="Times New Roman"/>
          <w:bCs/>
          <w:color w:val="000000" w:themeColor="text1"/>
        </w:rPr>
      </w:pPr>
    </w:p>
    <w:p w:rsidR="00E55594" w:rsidRPr="009B192F" w:rsidRDefault="00E55594" w:rsidP="00EC100D">
      <w:pPr>
        <w:spacing w:after="0"/>
        <w:jc w:val="both"/>
        <w:rPr>
          <w:rFonts w:ascii="Cambria" w:hAnsi="Cambria" w:cs="Times New Roman"/>
          <w:bCs/>
          <w:color w:val="000000" w:themeColor="text1"/>
        </w:rPr>
      </w:pPr>
    </w:p>
    <w:p w:rsidR="00E55594" w:rsidRPr="009B192F" w:rsidRDefault="00E55594" w:rsidP="00EC100D">
      <w:pPr>
        <w:spacing w:after="0"/>
        <w:jc w:val="both"/>
        <w:rPr>
          <w:rFonts w:ascii="Cambria" w:hAnsi="Cambria" w:cs="Times New Roman"/>
          <w:bCs/>
          <w:color w:val="000000" w:themeColor="text1"/>
        </w:rPr>
      </w:pPr>
    </w:p>
    <w:p w:rsidR="00E55594" w:rsidRPr="009B192F" w:rsidRDefault="00E55594" w:rsidP="00EC100D">
      <w:pPr>
        <w:spacing w:after="0"/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1A5E92" w:rsidRDefault="00D664BA" w:rsidP="001A5E92">
      <w:pPr>
        <w:spacing w:after="0"/>
        <w:jc w:val="both"/>
        <w:rPr>
          <w:rFonts w:ascii="Cambria" w:hAnsi="Cambria" w:cs="Times New Roman"/>
          <w:bCs/>
        </w:rPr>
      </w:pPr>
      <w:r w:rsidRPr="001A5E92">
        <w:rPr>
          <w:rFonts w:ascii="Cambria" w:hAnsi="Cambria" w:cs="Times New Roman"/>
          <w:bCs/>
        </w:rPr>
        <w:t>ORs – odds ratio and CI – confidence interval from conditional logistic regression analysis</w:t>
      </w:r>
      <w:r w:rsidR="001A5E92">
        <w:rPr>
          <w:rFonts w:ascii="Cambria" w:hAnsi="Cambria" w:cs="Times New Roman"/>
          <w:bCs/>
        </w:rPr>
        <w:t>.</w:t>
      </w:r>
    </w:p>
    <w:p w:rsidR="0060324C" w:rsidRPr="001A5E92" w:rsidRDefault="00D664BA" w:rsidP="001A5E92">
      <w:pPr>
        <w:jc w:val="both"/>
        <w:rPr>
          <w:rFonts w:ascii="Cambria" w:hAnsi="Cambria" w:cs="Times New Roman"/>
          <w:b/>
          <w:u w:val="single"/>
        </w:rPr>
      </w:pPr>
      <w:r w:rsidRPr="001A5E92">
        <w:rPr>
          <w:rFonts w:ascii="Cambria" w:hAnsi="Cambria" w:cs="Times New Roman"/>
        </w:rPr>
        <w:t>* represents P &lt; 0.05</w:t>
      </w:r>
      <w:r w:rsidR="001A5E92">
        <w:rPr>
          <w:rFonts w:ascii="Cambria" w:hAnsi="Cambria" w:cs="Times New Roman"/>
        </w:rPr>
        <w:t>.</w:t>
      </w:r>
    </w:p>
    <w:p w:rsidR="0060324C" w:rsidRPr="009B192F" w:rsidRDefault="0060324C" w:rsidP="00EC100D">
      <w:pPr>
        <w:spacing w:after="0"/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  <w:bookmarkStart w:id="2" w:name="_Hlk10006370"/>
      <w:bookmarkEnd w:id="0"/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D664BA" w:rsidP="00EC100D">
      <w:pPr>
        <w:jc w:val="center"/>
        <w:rPr>
          <w:rFonts w:ascii="Cambria" w:hAnsi="Cambria" w:cs="Times New Roman"/>
          <w:b/>
          <w:bCs/>
          <w:color w:val="000000" w:themeColor="text1"/>
          <w:u w:val="single"/>
        </w:rPr>
      </w:pPr>
      <w:r w:rsidRPr="009B192F">
        <w:rPr>
          <w:rFonts w:ascii="Cambria" w:hAnsi="Cambria" w:cs="Times New Roman"/>
          <w:b/>
          <w:bCs/>
          <w:color w:val="000000" w:themeColor="text1"/>
          <w:u w:val="single"/>
        </w:rPr>
        <w:lastRenderedPageBreak/>
        <w:t>Supplementary Table 4</w:t>
      </w:r>
      <w:r w:rsidR="00FF5211" w:rsidRPr="009B192F">
        <w:rPr>
          <w:rFonts w:ascii="Cambria" w:hAnsi="Cambria" w:cs="Times New Roman"/>
          <w:b/>
          <w:bCs/>
          <w:color w:val="000000" w:themeColor="text1"/>
          <w:u w:val="single"/>
        </w:rPr>
        <w:t>.</w:t>
      </w:r>
      <w:r w:rsidRPr="009B192F">
        <w:rPr>
          <w:rFonts w:ascii="Cambria" w:hAnsi="Cambria" w:cs="Times New Roman"/>
          <w:b/>
          <w:bCs/>
          <w:color w:val="000000" w:themeColor="text1"/>
          <w:u w:val="single"/>
        </w:rPr>
        <w:t xml:space="preserve"> Frequency distributions of Hp genotypes and their relationship with the risk of nondialysis patients.</w:t>
      </w: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</w:rPr>
      </w:pPr>
    </w:p>
    <w:tbl>
      <w:tblPr>
        <w:tblStyle w:val="TableGrid"/>
        <w:tblW w:w="9234" w:type="dxa"/>
        <w:jc w:val="center"/>
        <w:tblLook w:val="04A0" w:firstRow="1" w:lastRow="0" w:firstColumn="1" w:lastColumn="0" w:noHBand="0" w:noVBand="1"/>
      </w:tblPr>
      <w:tblGrid>
        <w:gridCol w:w="1345"/>
        <w:gridCol w:w="1660"/>
        <w:gridCol w:w="1454"/>
        <w:gridCol w:w="1485"/>
        <w:gridCol w:w="1856"/>
        <w:gridCol w:w="1434"/>
      </w:tblGrid>
      <w:tr w:rsidR="004C5BD1" w:rsidTr="00F83659">
        <w:trPr>
          <w:trHeight w:val="789"/>
          <w:jc w:val="center"/>
        </w:trPr>
        <w:tc>
          <w:tcPr>
            <w:tcW w:w="1345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color w:val="000000" w:themeColor="text1"/>
              </w:rPr>
              <w:t xml:space="preserve">Hp 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Genotypes</w:t>
            </w:r>
          </w:p>
        </w:tc>
        <w:tc>
          <w:tcPr>
            <w:tcW w:w="1660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Controls (n=202) n (%) </w:t>
            </w:r>
          </w:p>
        </w:tc>
        <w:tc>
          <w:tcPr>
            <w:tcW w:w="1454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ND (n=170) n (%) </w:t>
            </w:r>
          </w:p>
        </w:tc>
        <w:tc>
          <w:tcPr>
            <w:tcW w:w="1485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OR </w:t>
            </w:r>
          </w:p>
        </w:tc>
        <w:tc>
          <w:tcPr>
            <w:tcW w:w="1856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CI =95% </w:t>
            </w:r>
          </w:p>
        </w:tc>
        <w:tc>
          <w:tcPr>
            <w:tcW w:w="1434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-Value </w:t>
            </w:r>
          </w:p>
        </w:tc>
      </w:tr>
      <w:tr w:rsidR="004C5BD1" w:rsidTr="00F83659">
        <w:trPr>
          <w:trHeight w:val="440"/>
          <w:jc w:val="center"/>
        </w:trPr>
        <w:tc>
          <w:tcPr>
            <w:tcW w:w="134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1-1 </w:t>
            </w:r>
          </w:p>
        </w:tc>
        <w:tc>
          <w:tcPr>
            <w:tcW w:w="1660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09  (4.46) </w:t>
            </w:r>
          </w:p>
        </w:tc>
        <w:tc>
          <w:tcPr>
            <w:tcW w:w="1454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5 (2.94)</w:t>
            </w:r>
          </w:p>
        </w:tc>
        <w:tc>
          <w:tcPr>
            <w:tcW w:w="1485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1 reference </w:t>
            </w:r>
          </w:p>
        </w:tc>
        <w:tc>
          <w:tcPr>
            <w:tcW w:w="1856" w:type="dxa"/>
            <w:hideMark/>
          </w:tcPr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  <w:tc>
          <w:tcPr>
            <w:tcW w:w="1434" w:type="dxa"/>
            <w:hideMark/>
          </w:tcPr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</w:tr>
      <w:tr w:rsidR="004C5BD1" w:rsidTr="00F83659">
        <w:trPr>
          <w:trHeight w:val="377"/>
          <w:jc w:val="center"/>
        </w:trPr>
        <w:tc>
          <w:tcPr>
            <w:tcW w:w="134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2-1 </w:t>
            </w:r>
          </w:p>
        </w:tc>
        <w:tc>
          <w:tcPr>
            <w:tcW w:w="1660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48 (23.76) </w:t>
            </w:r>
          </w:p>
        </w:tc>
        <w:tc>
          <w:tcPr>
            <w:tcW w:w="1454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38 (22.35)</w:t>
            </w:r>
          </w:p>
        </w:tc>
        <w:tc>
          <w:tcPr>
            <w:tcW w:w="1485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1.4250</w:t>
            </w:r>
          </w:p>
        </w:tc>
        <w:tc>
          <w:tcPr>
            <w:tcW w:w="1856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Arial"/>
                <w:color w:val="000000" w:themeColor="text1"/>
                <w:shd w:val="clear" w:color="auto" w:fill="FFFFFF"/>
              </w:rPr>
              <w:t>0.4409 to 4.6058</w:t>
            </w:r>
          </w:p>
        </w:tc>
        <w:tc>
          <w:tcPr>
            <w:tcW w:w="1434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i/>
                <w:iCs/>
                <w:color w:val="000000" w:themeColor="text1"/>
              </w:rPr>
              <w:t>P = 0.5540</w:t>
            </w:r>
          </w:p>
        </w:tc>
      </w:tr>
      <w:tr w:rsidR="004C5BD1" w:rsidTr="00F83659">
        <w:trPr>
          <w:trHeight w:val="422"/>
          <w:jc w:val="center"/>
        </w:trPr>
        <w:tc>
          <w:tcPr>
            <w:tcW w:w="134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i/>
                <w:i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iCs/>
                <w:color w:val="000000" w:themeColor="text1"/>
              </w:rPr>
              <w:t>Hp 2-2</w:t>
            </w:r>
          </w:p>
        </w:tc>
        <w:tc>
          <w:tcPr>
            <w:tcW w:w="1660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145(71.78)</w:t>
            </w:r>
          </w:p>
        </w:tc>
        <w:tc>
          <w:tcPr>
            <w:tcW w:w="1454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127 (74.71)</w:t>
            </w:r>
          </w:p>
        </w:tc>
        <w:tc>
          <w:tcPr>
            <w:tcW w:w="1485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1.5766</w:t>
            </w:r>
          </w:p>
        </w:tc>
        <w:tc>
          <w:tcPr>
            <w:tcW w:w="1856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Arial"/>
                <w:color w:val="000000" w:themeColor="text1"/>
                <w:shd w:val="clear" w:color="auto" w:fill="FFFFFF"/>
              </w:rPr>
              <w:t>0.5150 to 4.8265</w:t>
            </w:r>
          </w:p>
        </w:tc>
        <w:tc>
          <w:tcPr>
            <w:tcW w:w="1434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i/>
                <w:iCs/>
                <w:color w:val="000000" w:themeColor="text1"/>
              </w:rPr>
              <w:t>P = 0.4252</w:t>
            </w:r>
          </w:p>
        </w:tc>
      </w:tr>
      <w:tr w:rsidR="004C5BD1" w:rsidTr="00F83659">
        <w:trPr>
          <w:trHeight w:val="440"/>
          <w:jc w:val="center"/>
        </w:trPr>
        <w:tc>
          <w:tcPr>
            <w:tcW w:w="134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color w:val="000000" w:themeColor="text1"/>
              </w:rPr>
              <w:t>Non-</w:t>
            </w: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2-2 </w:t>
            </w:r>
          </w:p>
        </w:tc>
        <w:tc>
          <w:tcPr>
            <w:tcW w:w="1660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57 (28.22) </w:t>
            </w:r>
          </w:p>
        </w:tc>
        <w:tc>
          <w:tcPr>
            <w:tcW w:w="1454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43 (25.29)</w:t>
            </w:r>
          </w:p>
        </w:tc>
        <w:tc>
          <w:tcPr>
            <w:tcW w:w="1485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1 reference </w:t>
            </w:r>
          </w:p>
        </w:tc>
        <w:tc>
          <w:tcPr>
            <w:tcW w:w="1856" w:type="dxa"/>
            <w:hideMark/>
          </w:tcPr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  <w:tc>
          <w:tcPr>
            <w:tcW w:w="1434" w:type="dxa"/>
            <w:hideMark/>
          </w:tcPr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</w:tr>
      <w:tr w:rsidR="004C5BD1" w:rsidTr="00F83659">
        <w:trPr>
          <w:trHeight w:val="440"/>
          <w:jc w:val="center"/>
        </w:trPr>
        <w:tc>
          <w:tcPr>
            <w:tcW w:w="134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2-2 </w:t>
            </w:r>
          </w:p>
        </w:tc>
        <w:tc>
          <w:tcPr>
            <w:tcW w:w="1660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145 (71.78) </w:t>
            </w:r>
          </w:p>
        </w:tc>
        <w:tc>
          <w:tcPr>
            <w:tcW w:w="1454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127 (74.71)</w:t>
            </w:r>
          </w:p>
        </w:tc>
        <w:tc>
          <w:tcPr>
            <w:tcW w:w="1485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1.1610</w:t>
            </w:r>
          </w:p>
        </w:tc>
        <w:tc>
          <w:tcPr>
            <w:tcW w:w="1856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0.7314 to 1.8429</w:t>
            </w:r>
          </w:p>
        </w:tc>
        <w:tc>
          <w:tcPr>
            <w:tcW w:w="1434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i/>
                <w:iCs/>
                <w:color w:val="000000" w:themeColor="text1"/>
              </w:rPr>
              <w:t>P = 0.5265</w:t>
            </w:r>
          </w:p>
        </w:tc>
      </w:tr>
    </w:tbl>
    <w:p w:rsidR="00EC100D" w:rsidRPr="001A5E92" w:rsidRDefault="00EC100D" w:rsidP="001A5E92">
      <w:pPr>
        <w:jc w:val="both"/>
        <w:rPr>
          <w:rFonts w:ascii="Cambria" w:hAnsi="Cambria" w:cs="Times New Roman"/>
          <w:bCs/>
        </w:rPr>
      </w:pPr>
    </w:p>
    <w:p w:rsidR="0060324C" w:rsidRPr="001A5E92" w:rsidRDefault="00D664BA" w:rsidP="001A5E92">
      <w:pPr>
        <w:jc w:val="both"/>
        <w:rPr>
          <w:rFonts w:ascii="Cambria" w:hAnsi="Cambria" w:cs="Times New Roman"/>
          <w:b/>
          <w:u w:val="single"/>
        </w:rPr>
      </w:pPr>
      <w:bookmarkStart w:id="3" w:name="_Hlk10006334"/>
      <w:r w:rsidRPr="001A5E92">
        <w:rPr>
          <w:rFonts w:ascii="Cambria" w:hAnsi="Cambria" w:cs="Times New Roman"/>
          <w:bCs/>
        </w:rPr>
        <w:t>ORs – odds ratio and CI – confidence interval from conditional logistic regression analysis</w:t>
      </w:r>
      <w:bookmarkEnd w:id="3"/>
      <w:r w:rsidR="001A5E92" w:rsidRPr="001A5E92">
        <w:rPr>
          <w:rFonts w:ascii="Cambria" w:hAnsi="Cambria" w:cs="Times New Roman"/>
          <w:bCs/>
        </w:rPr>
        <w:t>.</w:t>
      </w:r>
      <w:r w:rsidR="00404FC6">
        <w:rPr>
          <w:rFonts w:ascii="Cambria" w:hAnsi="Cambria" w:cs="Times New Roman"/>
          <w:bCs/>
        </w:rPr>
        <w:t xml:space="preserve">              </w:t>
      </w:r>
      <w:r w:rsidRPr="001A5E92">
        <w:rPr>
          <w:rFonts w:ascii="Cambria" w:hAnsi="Cambria" w:cs="Times New Roman"/>
        </w:rPr>
        <w:t>* represents P &lt; 0.05</w:t>
      </w:r>
      <w:r w:rsidR="001A5E92" w:rsidRPr="001A5E92">
        <w:rPr>
          <w:rFonts w:ascii="Cambria" w:hAnsi="Cambria" w:cs="Times New Roman"/>
        </w:rPr>
        <w:t>.</w:t>
      </w:r>
    </w:p>
    <w:p w:rsidR="0060324C" w:rsidRPr="009B192F" w:rsidRDefault="0060324C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25577C" w:rsidRPr="009B192F" w:rsidRDefault="0025577C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404FC6" w:rsidRPr="009B192F" w:rsidRDefault="00404FC6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EC100D" w:rsidRPr="009B192F" w:rsidRDefault="00D664BA" w:rsidP="00EC100D">
      <w:pPr>
        <w:jc w:val="both"/>
        <w:rPr>
          <w:rFonts w:ascii="Cambria" w:hAnsi="Cambria" w:cs="Times New Roman"/>
          <w:bCs/>
          <w:color w:val="000000" w:themeColor="text1"/>
        </w:rPr>
      </w:pPr>
      <w:r w:rsidRPr="009B192F">
        <w:rPr>
          <w:rFonts w:ascii="Cambria" w:hAnsi="Cambria" w:cs="Times New Roman"/>
          <w:b/>
          <w:bCs/>
          <w:color w:val="000000" w:themeColor="text1"/>
          <w:u w:val="single"/>
        </w:rPr>
        <w:lastRenderedPageBreak/>
        <w:t xml:space="preserve">Supplementary Table 5. Frequency distributions of </w:t>
      </w:r>
      <w:r w:rsidRPr="009B192F">
        <w:rPr>
          <w:rFonts w:ascii="Cambria" w:hAnsi="Cambria" w:cs="Times New Roman"/>
          <w:b/>
          <w:bCs/>
          <w:i/>
          <w:color w:val="000000" w:themeColor="text1"/>
          <w:u w:val="single"/>
        </w:rPr>
        <w:t>Hp</w:t>
      </w:r>
      <w:r w:rsidRPr="009B192F">
        <w:rPr>
          <w:rFonts w:ascii="Cambria" w:hAnsi="Cambria" w:cs="Times New Roman"/>
          <w:b/>
          <w:bCs/>
          <w:color w:val="000000" w:themeColor="text1"/>
          <w:u w:val="single"/>
        </w:rPr>
        <w:t xml:space="preserve"> genotypes and their relationship with the risk of End Stage Renal disease.</w:t>
      </w:r>
    </w:p>
    <w:p w:rsidR="00EC100D" w:rsidRPr="009B192F" w:rsidRDefault="00EC100D" w:rsidP="00EC100D">
      <w:pPr>
        <w:jc w:val="both"/>
        <w:rPr>
          <w:rFonts w:ascii="Cambria" w:hAnsi="Cambria" w:cs="Times New Roman"/>
          <w:b/>
          <w:bCs/>
          <w:color w:val="000000" w:themeColor="text1"/>
        </w:rPr>
      </w:pPr>
    </w:p>
    <w:tbl>
      <w:tblPr>
        <w:tblStyle w:val="TableGrid"/>
        <w:tblW w:w="9535" w:type="dxa"/>
        <w:jc w:val="center"/>
        <w:tblLook w:val="04A0" w:firstRow="1" w:lastRow="0" w:firstColumn="1" w:lastColumn="0" w:noHBand="0" w:noVBand="1"/>
      </w:tblPr>
      <w:tblGrid>
        <w:gridCol w:w="1435"/>
        <w:gridCol w:w="1709"/>
        <w:gridCol w:w="1709"/>
        <w:gridCol w:w="1439"/>
        <w:gridCol w:w="1843"/>
        <w:gridCol w:w="1400"/>
      </w:tblGrid>
      <w:tr w:rsidR="004C5BD1" w:rsidTr="009B192F">
        <w:trPr>
          <w:trHeight w:hRule="exact" w:val="1410"/>
          <w:jc w:val="center"/>
        </w:trPr>
        <w:tc>
          <w:tcPr>
            <w:tcW w:w="1435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color w:val="000000" w:themeColor="text1"/>
              </w:rPr>
              <w:t xml:space="preserve">Hp 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Genotypes</w:t>
            </w:r>
          </w:p>
        </w:tc>
        <w:tc>
          <w:tcPr>
            <w:tcW w:w="1709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Controls (n=202) n (%) </w:t>
            </w:r>
          </w:p>
        </w:tc>
        <w:tc>
          <w:tcPr>
            <w:tcW w:w="1709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>
              <w:rPr>
                <w:rFonts w:ascii="Cambria" w:hAnsi="Cambria" w:cs="Times New Roman"/>
                <w:b/>
                <w:bCs/>
                <w:color w:val="000000" w:themeColor="text1"/>
              </w:rPr>
              <w:t xml:space="preserve">ESRD (n=222) 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439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OR</w:t>
            </w:r>
          </w:p>
        </w:tc>
        <w:tc>
          <w:tcPr>
            <w:tcW w:w="1843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CI =95%</w:t>
            </w:r>
          </w:p>
        </w:tc>
        <w:tc>
          <w:tcPr>
            <w:tcW w:w="1400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9B192F">
              <w:rPr>
                <w:rFonts w:ascii="Cambria" w:hAnsi="Cambria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4C5BD1" w:rsidTr="00F83659">
        <w:trPr>
          <w:trHeight w:val="431"/>
          <w:jc w:val="center"/>
        </w:trPr>
        <w:tc>
          <w:tcPr>
            <w:tcW w:w="143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1-1 </w:t>
            </w:r>
          </w:p>
        </w:tc>
        <w:tc>
          <w:tcPr>
            <w:tcW w:w="1709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09  (4.46) </w:t>
            </w:r>
          </w:p>
        </w:tc>
        <w:tc>
          <w:tcPr>
            <w:tcW w:w="1709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5(2.25) </w:t>
            </w:r>
          </w:p>
        </w:tc>
        <w:tc>
          <w:tcPr>
            <w:tcW w:w="1439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1 reference </w:t>
            </w:r>
          </w:p>
        </w:tc>
        <w:tc>
          <w:tcPr>
            <w:tcW w:w="1843" w:type="dxa"/>
            <w:hideMark/>
          </w:tcPr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  <w:tc>
          <w:tcPr>
            <w:tcW w:w="1400" w:type="dxa"/>
            <w:hideMark/>
          </w:tcPr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</w:tr>
      <w:tr w:rsidR="004C5BD1" w:rsidTr="00F83659">
        <w:trPr>
          <w:trHeight w:val="440"/>
          <w:jc w:val="center"/>
        </w:trPr>
        <w:tc>
          <w:tcPr>
            <w:tcW w:w="143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2-1 </w:t>
            </w:r>
          </w:p>
        </w:tc>
        <w:tc>
          <w:tcPr>
            <w:tcW w:w="1709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48 (23.76) </w:t>
            </w:r>
          </w:p>
        </w:tc>
        <w:tc>
          <w:tcPr>
            <w:tcW w:w="1709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33(14.86) </w:t>
            </w:r>
          </w:p>
        </w:tc>
        <w:tc>
          <w:tcPr>
            <w:tcW w:w="1439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1.2375</w:t>
            </w:r>
          </w:p>
        </w:tc>
        <w:tc>
          <w:tcPr>
            <w:tcW w:w="1843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Arial"/>
                <w:color w:val="000000" w:themeColor="text1"/>
                <w:shd w:val="clear" w:color="auto" w:fill="FFFFFF"/>
              </w:rPr>
              <w:t>0.3804 to 4.0259</w:t>
            </w:r>
          </w:p>
        </w:tc>
        <w:tc>
          <w:tcPr>
            <w:tcW w:w="1400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i/>
                <w:iCs/>
                <w:color w:val="000000" w:themeColor="text1"/>
              </w:rPr>
              <w:t>P = 0.7233</w:t>
            </w:r>
          </w:p>
        </w:tc>
      </w:tr>
      <w:tr w:rsidR="004C5BD1" w:rsidTr="00F83659">
        <w:trPr>
          <w:trHeight w:val="440"/>
          <w:jc w:val="center"/>
        </w:trPr>
        <w:tc>
          <w:tcPr>
            <w:tcW w:w="143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i/>
                <w:i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bCs/>
                <w:i/>
                <w:iCs/>
                <w:color w:val="000000" w:themeColor="text1"/>
              </w:rPr>
              <w:t>Hp 2-2</w:t>
            </w:r>
          </w:p>
        </w:tc>
        <w:tc>
          <w:tcPr>
            <w:tcW w:w="1709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145(71.78)</w:t>
            </w:r>
          </w:p>
        </w:tc>
        <w:tc>
          <w:tcPr>
            <w:tcW w:w="1709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184(82.88)</w:t>
            </w:r>
          </w:p>
        </w:tc>
        <w:tc>
          <w:tcPr>
            <w:tcW w:w="1439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2.2841</w:t>
            </w:r>
          </w:p>
        </w:tc>
        <w:tc>
          <w:tcPr>
            <w:tcW w:w="1843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0.7492 to 6.9635</w:t>
            </w:r>
          </w:p>
        </w:tc>
        <w:tc>
          <w:tcPr>
            <w:tcW w:w="1400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i/>
                <w:iCs/>
                <w:color w:val="000000" w:themeColor="text1"/>
              </w:rPr>
              <w:t>P = 0.1464</w:t>
            </w:r>
          </w:p>
        </w:tc>
      </w:tr>
      <w:tr w:rsidR="004C5BD1" w:rsidTr="00F83659">
        <w:trPr>
          <w:trHeight w:val="440"/>
          <w:jc w:val="center"/>
        </w:trPr>
        <w:tc>
          <w:tcPr>
            <w:tcW w:w="143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color w:val="000000" w:themeColor="text1"/>
              </w:rPr>
              <w:t>Non-</w:t>
            </w: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2-2 </w:t>
            </w:r>
          </w:p>
        </w:tc>
        <w:tc>
          <w:tcPr>
            <w:tcW w:w="1709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57 (28.22) </w:t>
            </w:r>
          </w:p>
        </w:tc>
        <w:tc>
          <w:tcPr>
            <w:tcW w:w="1709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38(17.12) </w:t>
            </w:r>
          </w:p>
        </w:tc>
        <w:tc>
          <w:tcPr>
            <w:tcW w:w="1439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1 reference </w:t>
            </w:r>
          </w:p>
        </w:tc>
        <w:tc>
          <w:tcPr>
            <w:tcW w:w="1843" w:type="dxa"/>
            <w:hideMark/>
          </w:tcPr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  <w:tc>
          <w:tcPr>
            <w:tcW w:w="1400" w:type="dxa"/>
            <w:hideMark/>
          </w:tcPr>
          <w:p w:rsidR="00EC100D" w:rsidRPr="009B192F" w:rsidRDefault="00EC100D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</w:p>
        </w:tc>
      </w:tr>
      <w:tr w:rsidR="004C5BD1" w:rsidTr="00F83659">
        <w:trPr>
          <w:trHeight w:val="359"/>
          <w:jc w:val="center"/>
        </w:trPr>
        <w:tc>
          <w:tcPr>
            <w:tcW w:w="1435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/>
                <w:color w:val="000000" w:themeColor="text1"/>
              </w:rPr>
            </w:pPr>
            <w:r w:rsidRPr="009B192F">
              <w:rPr>
                <w:rFonts w:ascii="Cambria" w:hAnsi="Cambria" w:cs="Times New Roman"/>
                <w:b/>
                <w:i/>
                <w:color w:val="000000" w:themeColor="text1"/>
              </w:rPr>
              <w:t>Hp</w:t>
            </w:r>
            <w:r w:rsidRPr="009B192F">
              <w:rPr>
                <w:rFonts w:ascii="Cambria" w:hAnsi="Cambria" w:cs="Times New Roman"/>
                <w:b/>
                <w:color w:val="000000" w:themeColor="text1"/>
              </w:rPr>
              <w:t xml:space="preserve"> 2-2 </w:t>
            </w:r>
          </w:p>
        </w:tc>
        <w:tc>
          <w:tcPr>
            <w:tcW w:w="1709" w:type="dxa"/>
            <w:hideMark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145 (71.78) </w:t>
            </w:r>
          </w:p>
        </w:tc>
        <w:tc>
          <w:tcPr>
            <w:tcW w:w="1709" w:type="dxa"/>
          </w:tcPr>
          <w:p w:rsidR="00EC100D" w:rsidRPr="009B192F" w:rsidRDefault="00D664BA" w:rsidP="00F83659">
            <w:pPr>
              <w:spacing w:line="360" w:lineRule="auto"/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 xml:space="preserve">184(82.88) </w:t>
            </w:r>
          </w:p>
        </w:tc>
        <w:tc>
          <w:tcPr>
            <w:tcW w:w="1439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1.9034</w:t>
            </w:r>
          </w:p>
        </w:tc>
        <w:tc>
          <w:tcPr>
            <w:tcW w:w="1843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color w:val="000000" w:themeColor="text1"/>
              </w:rPr>
              <w:t>1.1961 to 3.0291</w:t>
            </w:r>
          </w:p>
        </w:tc>
        <w:tc>
          <w:tcPr>
            <w:tcW w:w="1400" w:type="dxa"/>
            <w:hideMark/>
          </w:tcPr>
          <w:p w:rsidR="00EC100D" w:rsidRPr="009B192F" w:rsidRDefault="00D664BA" w:rsidP="00F83659">
            <w:pPr>
              <w:jc w:val="both"/>
              <w:rPr>
                <w:rFonts w:ascii="Cambria" w:hAnsi="Cambria" w:cs="Times New Roman"/>
                <w:bCs/>
                <w:color w:val="000000" w:themeColor="text1"/>
              </w:rPr>
            </w:pPr>
            <w:r w:rsidRPr="009B192F">
              <w:rPr>
                <w:rFonts w:ascii="Cambria" w:hAnsi="Cambria" w:cs="Times New Roman"/>
                <w:bCs/>
                <w:i/>
                <w:iCs/>
                <w:color w:val="000000" w:themeColor="text1"/>
              </w:rPr>
              <w:t>P = 0.0066*</w:t>
            </w:r>
          </w:p>
        </w:tc>
      </w:tr>
    </w:tbl>
    <w:p w:rsidR="00EC100D" w:rsidRPr="009B192F" w:rsidRDefault="00EC100D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p w:rsidR="0060324C" w:rsidRPr="001A5E92" w:rsidRDefault="00D664BA" w:rsidP="001A5E92">
      <w:pPr>
        <w:jc w:val="both"/>
        <w:rPr>
          <w:rFonts w:ascii="Cambria" w:hAnsi="Cambria" w:cs="Times New Roman"/>
          <w:b/>
          <w:u w:val="single"/>
        </w:rPr>
      </w:pPr>
      <w:bookmarkStart w:id="4" w:name="_Hlk10006378"/>
      <w:r w:rsidRPr="001A5E92">
        <w:rPr>
          <w:rFonts w:ascii="Cambria" w:hAnsi="Cambria" w:cs="Times New Roman"/>
          <w:bCs/>
        </w:rPr>
        <w:t>ORs – odds ratio and CI – confidence interval from conditional logistic regression analysis</w:t>
      </w:r>
      <w:bookmarkEnd w:id="2"/>
      <w:bookmarkEnd w:id="4"/>
      <w:r w:rsidR="001A5E92" w:rsidRPr="001A5E92">
        <w:rPr>
          <w:rFonts w:ascii="Cambria" w:hAnsi="Cambria" w:cs="Times New Roman"/>
          <w:bCs/>
        </w:rPr>
        <w:t>.</w:t>
      </w:r>
      <w:r w:rsidR="00404FC6">
        <w:rPr>
          <w:rFonts w:ascii="Cambria" w:hAnsi="Cambria" w:cs="Times New Roman"/>
          <w:bCs/>
        </w:rPr>
        <w:t xml:space="preserve">           </w:t>
      </w:r>
      <w:r w:rsidRPr="001A5E92">
        <w:rPr>
          <w:rFonts w:ascii="Cambria" w:hAnsi="Cambria" w:cs="Times New Roman"/>
        </w:rPr>
        <w:t>* represents P &lt; 0.05</w:t>
      </w:r>
      <w:r w:rsidR="001A5E92" w:rsidRPr="001A5E92">
        <w:rPr>
          <w:rFonts w:ascii="Cambria" w:hAnsi="Cambria" w:cs="Times New Roman"/>
        </w:rPr>
        <w:t>.</w:t>
      </w:r>
    </w:p>
    <w:p w:rsidR="0060324C" w:rsidRPr="009B192F" w:rsidRDefault="0060324C" w:rsidP="00EC100D">
      <w:pPr>
        <w:jc w:val="both"/>
        <w:rPr>
          <w:rFonts w:ascii="Cambria" w:hAnsi="Cambria" w:cs="Times New Roman"/>
          <w:bCs/>
          <w:color w:val="000000" w:themeColor="text1"/>
        </w:rPr>
      </w:pPr>
    </w:p>
    <w:sectPr w:rsidR="0060324C" w:rsidRPr="009B192F" w:rsidSect="00D53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590" w:rsidRDefault="005C7590">
      <w:pPr>
        <w:spacing w:before="0" w:after="0"/>
      </w:pPr>
      <w:r>
        <w:separator/>
      </w:r>
    </w:p>
  </w:endnote>
  <w:endnote w:type="continuationSeparator" w:id="0">
    <w:p w:rsidR="005C7590" w:rsidRDefault="005C75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4BA" w:rsidRPr="00577C4C" w:rsidRDefault="005C7590">
    <w:pPr>
      <w:pStyle w:val="Footer"/>
      <w:rPr>
        <w:color w:val="C00000"/>
        <w:szCs w:val="24"/>
      </w:rPr>
    </w:pPr>
    <w:r>
      <w:rPr>
        <w:noProof/>
        <w:lang w:bidi="ta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074" type="#_x0000_t202" style="position:absolute;margin-left:484.4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filled="f" stroked="f" strokeweight=".5pt">
          <v:textbox style="mso-fit-shape-to-text:t">
            <w:txbxContent>
              <w:p w:rsidR="00D664BA" w:rsidRPr="00577C4C" w:rsidRDefault="00D664BA">
                <w:pPr>
                  <w:pStyle w:val="Footer"/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7857AD" w:rsidRPr="007857AD">
                  <w:rPr>
                    <w:noProof/>
                    <w:color w:val="000000" w:themeColor="text1"/>
                    <w:sz w:val="22"/>
                    <w:szCs w:val="40"/>
                  </w:rPr>
                  <w:t>4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4BA" w:rsidRPr="00577C4C" w:rsidRDefault="005C7590">
    <w:pPr>
      <w:pStyle w:val="Footer"/>
      <w:rPr>
        <w:b/>
        <w:sz w:val="20"/>
        <w:szCs w:val="24"/>
      </w:rPr>
    </w:pPr>
    <w:r>
      <w:rPr>
        <w:noProof/>
        <w:lang w:bidi="ta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3075" type="#_x0000_t202" style="position:absolute;margin-left:484.4pt;margin-top:0;width:118.8pt;height:31.15pt;z-index:251658240;visibility:visible;mso-position-horizontal:right;mso-position-horizontal-relative:margin;mso-position-vertical:top;mso-position-vertical-relative:bottom-margin-area;mso-width-relative:margin;mso-height-relative:margin" filled="f" stroked="f" strokeweight=".5pt">
          <v:textbox style="mso-fit-shape-to-text:t">
            <w:txbxContent>
              <w:p w:rsidR="00D664BA" w:rsidRPr="00577C4C" w:rsidRDefault="00D664BA">
                <w:pPr>
                  <w:pStyle w:val="Footer"/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7857AD" w:rsidRPr="007857AD">
                  <w:rPr>
                    <w:noProof/>
                    <w:color w:val="000000" w:themeColor="text1"/>
                    <w:sz w:val="22"/>
                    <w:szCs w:val="40"/>
                  </w:rPr>
                  <w:t>3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590" w:rsidRDefault="005C7590">
      <w:pPr>
        <w:spacing w:before="0" w:after="0"/>
      </w:pPr>
      <w:r>
        <w:separator/>
      </w:r>
    </w:p>
  </w:footnote>
  <w:footnote w:type="continuationSeparator" w:id="0">
    <w:p w:rsidR="005C7590" w:rsidRDefault="005C75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4BA" w:rsidRPr="00C12CA0" w:rsidRDefault="00D664BA" w:rsidP="00C12CA0">
    <w:pPr>
      <w:pStyle w:val="Header"/>
      <w:jc w:val="right"/>
      <w:rPr>
        <w:i/>
        <w:iCs/>
      </w:rPr>
    </w:pPr>
    <w:r w:rsidRPr="00C12CA0">
      <w:rPr>
        <w:rFonts w:ascii="Myriad Pro" w:hAnsi="Myriad Pro" w:cs="Times New Roman"/>
        <w:i/>
        <w:iCs/>
        <w:color w:val="000000" w:themeColor="text1"/>
      </w:rPr>
      <w:t>Hp polymorphism predicts mortality of ESRD patients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4BA" w:rsidRPr="00C12CA0" w:rsidRDefault="00D664BA" w:rsidP="00AD1F36">
    <w:pPr>
      <w:pStyle w:val="Header"/>
      <w:jc w:val="right"/>
      <w:rPr>
        <w:i/>
        <w:iCs/>
      </w:rPr>
    </w:pPr>
    <w:r>
      <w:ptab w:relativeTo="margin" w:alignment="center" w:leader="none"/>
    </w:r>
    <w:r w:rsidRPr="00C12CA0">
      <w:rPr>
        <w:rFonts w:ascii="Myriad Pro" w:hAnsi="Myriad Pro" w:cs="Times New Roman"/>
        <w:i/>
        <w:iCs/>
        <w:color w:val="000000" w:themeColor="text1"/>
      </w:rPr>
      <w:t>Hp polymorphism predicts mortality of ESRD patients</w:t>
    </w:r>
  </w:p>
  <w:p w:rsidR="00D664BA" w:rsidRPr="00A53000" w:rsidRDefault="00D664BA" w:rsidP="00A53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4BA" w:rsidRDefault="00D664BA" w:rsidP="00A5300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56F0A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633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1EA3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8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460E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CA93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E5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C4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029E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9CE806E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5545B8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DD821F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B10446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514008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710CCE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E4239A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5C6298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8EC1C8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1A301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899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44A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80D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2E77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0EB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26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6FE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26A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66C06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CF9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A66D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259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227F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7840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205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FCDB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942B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24BC8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9C6C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A8A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C6D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8649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E6A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AD9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60C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CF2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CDCC9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580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269E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ED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64B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0E16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81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8BC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4EF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F9246612">
      <w:start w:val="1"/>
      <w:numFmt w:val="decimal"/>
      <w:lvlText w:val="%1."/>
      <w:lvlJc w:val="left"/>
      <w:pPr>
        <w:ind w:left="720" w:hanging="360"/>
      </w:pPr>
    </w:lvl>
    <w:lvl w:ilvl="1" w:tplc="2F9E38CC" w:tentative="1">
      <w:start w:val="1"/>
      <w:numFmt w:val="lowerLetter"/>
      <w:lvlText w:val="%2."/>
      <w:lvlJc w:val="left"/>
      <w:pPr>
        <w:ind w:left="1440" w:hanging="360"/>
      </w:pPr>
    </w:lvl>
    <w:lvl w:ilvl="2" w:tplc="41C8006A" w:tentative="1">
      <w:start w:val="1"/>
      <w:numFmt w:val="lowerRoman"/>
      <w:lvlText w:val="%3."/>
      <w:lvlJc w:val="right"/>
      <w:pPr>
        <w:ind w:left="2160" w:hanging="180"/>
      </w:pPr>
    </w:lvl>
    <w:lvl w:ilvl="3" w:tplc="44D4EB4E" w:tentative="1">
      <w:start w:val="1"/>
      <w:numFmt w:val="decimal"/>
      <w:lvlText w:val="%4."/>
      <w:lvlJc w:val="left"/>
      <w:pPr>
        <w:ind w:left="2880" w:hanging="360"/>
      </w:pPr>
    </w:lvl>
    <w:lvl w:ilvl="4" w:tplc="C220C264" w:tentative="1">
      <w:start w:val="1"/>
      <w:numFmt w:val="lowerLetter"/>
      <w:lvlText w:val="%5."/>
      <w:lvlJc w:val="left"/>
      <w:pPr>
        <w:ind w:left="3600" w:hanging="360"/>
      </w:pPr>
    </w:lvl>
    <w:lvl w:ilvl="5" w:tplc="16EEF898" w:tentative="1">
      <w:start w:val="1"/>
      <w:numFmt w:val="lowerRoman"/>
      <w:lvlText w:val="%6."/>
      <w:lvlJc w:val="right"/>
      <w:pPr>
        <w:ind w:left="4320" w:hanging="180"/>
      </w:pPr>
    </w:lvl>
    <w:lvl w:ilvl="6" w:tplc="92AC6884" w:tentative="1">
      <w:start w:val="1"/>
      <w:numFmt w:val="decimal"/>
      <w:lvlText w:val="%7."/>
      <w:lvlJc w:val="left"/>
      <w:pPr>
        <w:ind w:left="5040" w:hanging="360"/>
      </w:pPr>
    </w:lvl>
    <w:lvl w:ilvl="7" w:tplc="0E3694B0" w:tentative="1">
      <w:start w:val="1"/>
      <w:numFmt w:val="lowerLetter"/>
      <w:lvlText w:val="%8."/>
      <w:lvlJc w:val="left"/>
      <w:pPr>
        <w:ind w:left="5760" w:hanging="360"/>
      </w:pPr>
    </w:lvl>
    <w:lvl w:ilvl="8" w:tplc="9ABE0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F1D82"/>
    <w:multiLevelType w:val="hybridMultilevel"/>
    <w:tmpl w:val="734A7706"/>
    <w:lvl w:ilvl="0" w:tplc="06D69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A031F8" w:tentative="1">
      <w:start w:val="1"/>
      <w:numFmt w:val="lowerLetter"/>
      <w:lvlText w:val="%2."/>
      <w:lvlJc w:val="left"/>
      <w:pPr>
        <w:ind w:left="1440" w:hanging="360"/>
      </w:pPr>
    </w:lvl>
    <w:lvl w:ilvl="2" w:tplc="45A064B0" w:tentative="1">
      <w:start w:val="1"/>
      <w:numFmt w:val="lowerRoman"/>
      <w:lvlText w:val="%3."/>
      <w:lvlJc w:val="right"/>
      <w:pPr>
        <w:ind w:left="2160" w:hanging="180"/>
      </w:pPr>
    </w:lvl>
    <w:lvl w:ilvl="3" w:tplc="2D60262A" w:tentative="1">
      <w:start w:val="1"/>
      <w:numFmt w:val="decimal"/>
      <w:lvlText w:val="%4."/>
      <w:lvlJc w:val="left"/>
      <w:pPr>
        <w:ind w:left="2880" w:hanging="360"/>
      </w:pPr>
    </w:lvl>
    <w:lvl w:ilvl="4" w:tplc="A29CA7BA" w:tentative="1">
      <w:start w:val="1"/>
      <w:numFmt w:val="lowerLetter"/>
      <w:lvlText w:val="%5."/>
      <w:lvlJc w:val="left"/>
      <w:pPr>
        <w:ind w:left="3600" w:hanging="360"/>
      </w:pPr>
    </w:lvl>
    <w:lvl w:ilvl="5" w:tplc="074A1162" w:tentative="1">
      <w:start w:val="1"/>
      <w:numFmt w:val="lowerRoman"/>
      <w:lvlText w:val="%6."/>
      <w:lvlJc w:val="right"/>
      <w:pPr>
        <w:ind w:left="4320" w:hanging="180"/>
      </w:pPr>
    </w:lvl>
    <w:lvl w:ilvl="6" w:tplc="3CE47210" w:tentative="1">
      <w:start w:val="1"/>
      <w:numFmt w:val="decimal"/>
      <w:lvlText w:val="%7."/>
      <w:lvlJc w:val="left"/>
      <w:pPr>
        <w:ind w:left="5040" w:hanging="360"/>
      </w:pPr>
    </w:lvl>
    <w:lvl w:ilvl="7" w:tplc="4D7CEDF8" w:tentative="1">
      <w:start w:val="1"/>
      <w:numFmt w:val="lowerLetter"/>
      <w:lvlText w:val="%8."/>
      <w:lvlJc w:val="left"/>
      <w:pPr>
        <w:ind w:left="5760" w:hanging="360"/>
      </w:pPr>
    </w:lvl>
    <w:lvl w:ilvl="8" w:tplc="058075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0D83"/>
    <w:multiLevelType w:val="hybridMultilevel"/>
    <w:tmpl w:val="D1E4BA92"/>
    <w:lvl w:ilvl="0" w:tplc="92E838E0">
      <w:start w:val="1"/>
      <w:numFmt w:val="decimal"/>
      <w:lvlText w:val="%1."/>
      <w:lvlJc w:val="left"/>
      <w:pPr>
        <w:ind w:left="1080" w:hanging="360"/>
      </w:pPr>
    </w:lvl>
    <w:lvl w:ilvl="1" w:tplc="5E2056FA" w:tentative="1">
      <w:start w:val="1"/>
      <w:numFmt w:val="lowerLetter"/>
      <w:lvlText w:val="%2."/>
      <w:lvlJc w:val="left"/>
      <w:pPr>
        <w:ind w:left="1800" w:hanging="360"/>
      </w:pPr>
    </w:lvl>
    <w:lvl w:ilvl="2" w:tplc="4E267288" w:tentative="1">
      <w:start w:val="1"/>
      <w:numFmt w:val="lowerRoman"/>
      <w:lvlText w:val="%3."/>
      <w:lvlJc w:val="right"/>
      <w:pPr>
        <w:ind w:left="2520" w:hanging="180"/>
      </w:pPr>
    </w:lvl>
    <w:lvl w:ilvl="3" w:tplc="3FD666C6" w:tentative="1">
      <w:start w:val="1"/>
      <w:numFmt w:val="decimal"/>
      <w:lvlText w:val="%4."/>
      <w:lvlJc w:val="left"/>
      <w:pPr>
        <w:ind w:left="3240" w:hanging="360"/>
      </w:pPr>
    </w:lvl>
    <w:lvl w:ilvl="4" w:tplc="51C44996" w:tentative="1">
      <w:start w:val="1"/>
      <w:numFmt w:val="lowerLetter"/>
      <w:lvlText w:val="%5."/>
      <w:lvlJc w:val="left"/>
      <w:pPr>
        <w:ind w:left="3960" w:hanging="360"/>
      </w:pPr>
    </w:lvl>
    <w:lvl w:ilvl="5" w:tplc="60646280" w:tentative="1">
      <w:start w:val="1"/>
      <w:numFmt w:val="lowerRoman"/>
      <w:lvlText w:val="%6."/>
      <w:lvlJc w:val="right"/>
      <w:pPr>
        <w:ind w:left="4680" w:hanging="180"/>
      </w:pPr>
    </w:lvl>
    <w:lvl w:ilvl="6" w:tplc="630AE674" w:tentative="1">
      <w:start w:val="1"/>
      <w:numFmt w:val="decimal"/>
      <w:lvlText w:val="%7."/>
      <w:lvlJc w:val="left"/>
      <w:pPr>
        <w:ind w:left="5400" w:hanging="360"/>
      </w:pPr>
    </w:lvl>
    <w:lvl w:ilvl="7" w:tplc="7FE4C2A8" w:tentative="1">
      <w:start w:val="1"/>
      <w:numFmt w:val="lowerLetter"/>
      <w:lvlText w:val="%8."/>
      <w:lvlJc w:val="left"/>
      <w:pPr>
        <w:ind w:left="6120" w:hanging="360"/>
      </w:pPr>
    </w:lvl>
    <w:lvl w:ilvl="8" w:tplc="48FA085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A170B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4D3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0814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A9F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07C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1C8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0B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817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9EC6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C6F29"/>
    <w:multiLevelType w:val="multilevel"/>
    <w:tmpl w:val="C6A8CCEA"/>
    <w:numStyleLink w:val="Headings"/>
  </w:abstractNum>
  <w:abstractNum w:abstractNumId="17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17"/>
  </w:num>
  <w:num w:numId="13">
    <w:abstractNumId w:val="12"/>
  </w:num>
  <w:num w:numId="14">
    <w:abstractNumId w:val="4"/>
  </w:num>
  <w:num w:numId="15">
    <w:abstractNumId w:val="11"/>
  </w:num>
  <w:num w:numId="16">
    <w:abstractNumId w:val="14"/>
  </w:num>
  <w:num w:numId="1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6"/>
  </w:num>
  <w:num w:numId="21">
    <w:abstractNumId w:val="3"/>
  </w:num>
  <w:num w:numId="22">
    <w:abstractNumId w:val="3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evenAndOddHeaders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 in Neuroendo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rdxtzxvzvxxcedtz252t2pv9xd9rdt9vsf&quot;&gt;Untitl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/record-ids&gt;&lt;/item&gt;&lt;/Libraries&gt;"/>
  </w:docVars>
  <w:rsids>
    <w:rsidRoot w:val="00681821"/>
    <w:rsid w:val="000276F7"/>
    <w:rsid w:val="00034304"/>
    <w:rsid w:val="00035434"/>
    <w:rsid w:val="00045678"/>
    <w:rsid w:val="000458E4"/>
    <w:rsid w:val="00063D84"/>
    <w:rsid w:val="0006636D"/>
    <w:rsid w:val="00077D53"/>
    <w:rsid w:val="00081394"/>
    <w:rsid w:val="000B34BD"/>
    <w:rsid w:val="000C7E2A"/>
    <w:rsid w:val="000D3891"/>
    <w:rsid w:val="000D4C1C"/>
    <w:rsid w:val="000F34BC"/>
    <w:rsid w:val="000F4CFB"/>
    <w:rsid w:val="000F7772"/>
    <w:rsid w:val="00117666"/>
    <w:rsid w:val="001223A7"/>
    <w:rsid w:val="00134256"/>
    <w:rsid w:val="00147395"/>
    <w:rsid w:val="001552C9"/>
    <w:rsid w:val="00177D84"/>
    <w:rsid w:val="00182D5C"/>
    <w:rsid w:val="001964EF"/>
    <w:rsid w:val="001A5E92"/>
    <w:rsid w:val="001B1A2C"/>
    <w:rsid w:val="001B709F"/>
    <w:rsid w:val="001C0A3E"/>
    <w:rsid w:val="001D5C23"/>
    <w:rsid w:val="001F0BA2"/>
    <w:rsid w:val="001F39C1"/>
    <w:rsid w:val="001F4C07"/>
    <w:rsid w:val="00220AEA"/>
    <w:rsid w:val="00226954"/>
    <w:rsid w:val="00237810"/>
    <w:rsid w:val="0025577C"/>
    <w:rsid w:val="002629A3"/>
    <w:rsid w:val="00265660"/>
    <w:rsid w:val="00267D18"/>
    <w:rsid w:val="002868E2"/>
    <w:rsid w:val="002869C3"/>
    <w:rsid w:val="002936E4"/>
    <w:rsid w:val="00296B88"/>
    <w:rsid w:val="002C74CA"/>
    <w:rsid w:val="002F744D"/>
    <w:rsid w:val="00303DE6"/>
    <w:rsid w:val="00310124"/>
    <w:rsid w:val="00312D63"/>
    <w:rsid w:val="003544FB"/>
    <w:rsid w:val="00365D63"/>
    <w:rsid w:val="0036793B"/>
    <w:rsid w:val="00372682"/>
    <w:rsid w:val="00376CC5"/>
    <w:rsid w:val="0039693B"/>
    <w:rsid w:val="003D2F2D"/>
    <w:rsid w:val="00401590"/>
    <w:rsid w:val="00404FC6"/>
    <w:rsid w:val="00422C94"/>
    <w:rsid w:val="00424AB3"/>
    <w:rsid w:val="00463E3D"/>
    <w:rsid w:val="004645AE"/>
    <w:rsid w:val="00483A67"/>
    <w:rsid w:val="004C0129"/>
    <w:rsid w:val="004C5BD1"/>
    <w:rsid w:val="004D3E33"/>
    <w:rsid w:val="005250F2"/>
    <w:rsid w:val="00531367"/>
    <w:rsid w:val="00577C4C"/>
    <w:rsid w:val="005A1B6A"/>
    <w:rsid w:val="005A1D84"/>
    <w:rsid w:val="005A70EA"/>
    <w:rsid w:val="005C3963"/>
    <w:rsid w:val="005C7590"/>
    <w:rsid w:val="005D1840"/>
    <w:rsid w:val="005D35E4"/>
    <w:rsid w:val="005D7910"/>
    <w:rsid w:val="005E5CE4"/>
    <w:rsid w:val="005F69C5"/>
    <w:rsid w:val="0060324C"/>
    <w:rsid w:val="00610F4F"/>
    <w:rsid w:val="0062154F"/>
    <w:rsid w:val="00631A8C"/>
    <w:rsid w:val="00651CA2"/>
    <w:rsid w:val="00653D60"/>
    <w:rsid w:val="00660D05"/>
    <w:rsid w:val="00671D9A"/>
    <w:rsid w:val="00673952"/>
    <w:rsid w:val="00681821"/>
    <w:rsid w:val="00686C9D"/>
    <w:rsid w:val="006B2D5B"/>
    <w:rsid w:val="006B7D14"/>
    <w:rsid w:val="006D5B93"/>
    <w:rsid w:val="006E74EC"/>
    <w:rsid w:val="006F1D7B"/>
    <w:rsid w:val="00725A7D"/>
    <w:rsid w:val="0073085C"/>
    <w:rsid w:val="00733784"/>
    <w:rsid w:val="00736403"/>
    <w:rsid w:val="00746505"/>
    <w:rsid w:val="00770DB4"/>
    <w:rsid w:val="007857AD"/>
    <w:rsid w:val="007875A9"/>
    <w:rsid w:val="00790BB3"/>
    <w:rsid w:val="00792043"/>
    <w:rsid w:val="00797EDD"/>
    <w:rsid w:val="007B0322"/>
    <w:rsid w:val="007B0E71"/>
    <w:rsid w:val="007C0E3F"/>
    <w:rsid w:val="007C206C"/>
    <w:rsid w:val="007C5729"/>
    <w:rsid w:val="007D14DA"/>
    <w:rsid w:val="007D41B9"/>
    <w:rsid w:val="008111E4"/>
    <w:rsid w:val="0081301C"/>
    <w:rsid w:val="00817DD6"/>
    <w:rsid w:val="00822AAF"/>
    <w:rsid w:val="008629A9"/>
    <w:rsid w:val="0088513A"/>
    <w:rsid w:val="00893C19"/>
    <w:rsid w:val="008A6709"/>
    <w:rsid w:val="008D6C8D"/>
    <w:rsid w:val="008E2B54"/>
    <w:rsid w:val="008E4404"/>
    <w:rsid w:val="008E58C7"/>
    <w:rsid w:val="008F5021"/>
    <w:rsid w:val="00932BE9"/>
    <w:rsid w:val="00943573"/>
    <w:rsid w:val="009545DD"/>
    <w:rsid w:val="00971B61"/>
    <w:rsid w:val="00980C31"/>
    <w:rsid w:val="009955FF"/>
    <w:rsid w:val="009B192F"/>
    <w:rsid w:val="009D259D"/>
    <w:rsid w:val="00A34D10"/>
    <w:rsid w:val="00A46673"/>
    <w:rsid w:val="00A50D9D"/>
    <w:rsid w:val="00A53000"/>
    <w:rsid w:val="00A545C6"/>
    <w:rsid w:val="00A652D0"/>
    <w:rsid w:val="00A75F87"/>
    <w:rsid w:val="00A95D8B"/>
    <w:rsid w:val="00AC0270"/>
    <w:rsid w:val="00AC3EA3"/>
    <w:rsid w:val="00AC792D"/>
    <w:rsid w:val="00AD1F36"/>
    <w:rsid w:val="00B13745"/>
    <w:rsid w:val="00B657B8"/>
    <w:rsid w:val="00B84920"/>
    <w:rsid w:val="00B8556A"/>
    <w:rsid w:val="00C012A3"/>
    <w:rsid w:val="00C12CA0"/>
    <w:rsid w:val="00C142A4"/>
    <w:rsid w:val="00C16F19"/>
    <w:rsid w:val="00C52A7B"/>
    <w:rsid w:val="00C6324C"/>
    <w:rsid w:val="00C679AA"/>
    <w:rsid w:val="00C724CF"/>
    <w:rsid w:val="00C75972"/>
    <w:rsid w:val="00C82792"/>
    <w:rsid w:val="00C948FD"/>
    <w:rsid w:val="00CB43D5"/>
    <w:rsid w:val="00CB57A5"/>
    <w:rsid w:val="00CC3D97"/>
    <w:rsid w:val="00CC76F9"/>
    <w:rsid w:val="00CD066B"/>
    <w:rsid w:val="00CD46E2"/>
    <w:rsid w:val="00CE724F"/>
    <w:rsid w:val="00CF56A9"/>
    <w:rsid w:val="00CF5B6F"/>
    <w:rsid w:val="00D00D0B"/>
    <w:rsid w:val="00D04B69"/>
    <w:rsid w:val="00D33F7E"/>
    <w:rsid w:val="00D537FA"/>
    <w:rsid w:val="00D5547D"/>
    <w:rsid w:val="00D664BA"/>
    <w:rsid w:val="00D72F5D"/>
    <w:rsid w:val="00D80D99"/>
    <w:rsid w:val="00D9503C"/>
    <w:rsid w:val="00DB441A"/>
    <w:rsid w:val="00DD73EF"/>
    <w:rsid w:val="00DE23E8"/>
    <w:rsid w:val="00DE2ECD"/>
    <w:rsid w:val="00E0128B"/>
    <w:rsid w:val="00E23AE5"/>
    <w:rsid w:val="00E3676D"/>
    <w:rsid w:val="00E47A7E"/>
    <w:rsid w:val="00E55594"/>
    <w:rsid w:val="00E64E17"/>
    <w:rsid w:val="00E9561B"/>
    <w:rsid w:val="00EA0144"/>
    <w:rsid w:val="00EA3D3C"/>
    <w:rsid w:val="00EC100D"/>
    <w:rsid w:val="00EC7CC3"/>
    <w:rsid w:val="00ED02ED"/>
    <w:rsid w:val="00F16BC0"/>
    <w:rsid w:val="00F46494"/>
    <w:rsid w:val="00F558AB"/>
    <w:rsid w:val="00F61D89"/>
    <w:rsid w:val="00F653F6"/>
    <w:rsid w:val="00F65CB2"/>
    <w:rsid w:val="00F70303"/>
    <w:rsid w:val="00F83659"/>
    <w:rsid w:val="00F86ABB"/>
    <w:rsid w:val="00FA0B06"/>
    <w:rsid w:val="00FC312C"/>
    <w:rsid w:val="00FC779D"/>
    <w:rsid w:val="00FD7648"/>
    <w:rsid w:val="00FF5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5:docId w15:val="{77657779-4D92-4D84-A475-B3FB88DF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24C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5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Abstract,Keywords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AD1F36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D1F36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AD1F36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D1F36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9C658E9-1CB9-4F1E-BD76-B0157854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1381</TotalTime>
  <Pages>5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Ramprasath Tharmarajan</dc:creator>
  <cp:lastModifiedBy>Ramprasath Tharmarajan</cp:lastModifiedBy>
  <cp:revision>42</cp:revision>
  <cp:lastPrinted>2013-10-03T12:51:00Z</cp:lastPrinted>
  <dcterms:created xsi:type="dcterms:W3CDTF">2021-04-27T18:49:00Z</dcterms:created>
  <dcterms:modified xsi:type="dcterms:W3CDTF">2021-06-05T17:48:00Z</dcterms:modified>
</cp:coreProperties>
</file>