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261" w:rsidRPr="00AC0DB6" w:rsidRDefault="000D4261" w:rsidP="00AC0DB6">
      <w:pPr>
        <w:spacing w:line="480" w:lineRule="auto"/>
        <w:jc w:val="both"/>
        <w:rPr>
          <w:rFonts w:asciiTheme="majorBidi" w:hAnsiTheme="majorBidi" w:cstheme="majorBidi"/>
          <w:b/>
          <w:bCs/>
          <w:sz w:val="24"/>
          <w:szCs w:val="24"/>
        </w:rPr>
      </w:pPr>
      <w:bookmarkStart w:id="0" w:name="_GoBack"/>
      <w:bookmarkEnd w:id="0"/>
      <w:r w:rsidRPr="00AC0DB6">
        <w:rPr>
          <w:rFonts w:asciiTheme="majorBidi" w:hAnsiTheme="majorBidi" w:cstheme="majorBidi"/>
          <w:b/>
          <w:bCs/>
          <w:sz w:val="24"/>
          <w:szCs w:val="24"/>
        </w:rPr>
        <w:t xml:space="preserve">METHODS </w:t>
      </w:r>
    </w:p>
    <w:p w:rsidR="000D4261" w:rsidRDefault="000D4261" w:rsidP="000D4261">
      <w:pPr>
        <w:spacing w:line="480" w:lineRule="auto"/>
        <w:jc w:val="both"/>
        <w:rPr>
          <w:rFonts w:asciiTheme="majorBidi" w:hAnsiTheme="majorBidi" w:cstheme="majorBidi"/>
          <w:b/>
          <w:bCs/>
          <w:sz w:val="24"/>
          <w:szCs w:val="24"/>
        </w:rPr>
      </w:pPr>
      <w:r>
        <w:rPr>
          <w:rFonts w:asciiTheme="majorBidi" w:hAnsiTheme="majorBidi" w:cstheme="majorBidi"/>
          <w:b/>
          <w:bCs/>
          <w:i/>
          <w:iCs/>
          <w:sz w:val="24"/>
          <w:szCs w:val="24"/>
        </w:rPr>
        <w:t xml:space="preserve">S. </w:t>
      </w:r>
      <w:proofErr w:type="spellStart"/>
      <w:r>
        <w:rPr>
          <w:rFonts w:asciiTheme="majorBidi" w:hAnsiTheme="majorBidi" w:cstheme="majorBidi"/>
          <w:b/>
          <w:bCs/>
          <w:i/>
          <w:iCs/>
          <w:sz w:val="24"/>
          <w:szCs w:val="24"/>
        </w:rPr>
        <w:t>nigrum</w:t>
      </w:r>
      <w:proofErr w:type="spellEnd"/>
      <w:r>
        <w:rPr>
          <w:rFonts w:asciiTheme="majorBidi" w:hAnsiTheme="majorBidi" w:cstheme="majorBidi"/>
          <w:b/>
          <w:bCs/>
          <w:i/>
          <w:iCs/>
          <w:sz w:val="24"/>
          <w:szCs w:val="24"/>
        </w:rPr>
        <w:t xml:space="preserve"> </w:t>
      </w:r>
      <w:r>
        <w:rPr>
          <w:rFonts w:asciiTheme="majorBidi" w:hAnsiTheme="majorBidi" w:cstheme="majorBidi"/>
          <w:b/>
          <w:bCs/>
          <w:sz w:val="24"/>
          <w:szCs w:val="24"/>
        </w:rPr>
        <w:t>extract preparation</w:t>
      </w:r>
    </w:p>
    <w:p w:rsidR="000D4261" w:rsidRDefault="000D4261" w:rsidP="00374F8C">
      <w:pPr>
        <w:spacing w:line="480" w:lineRule="auto"/>
        <w:ind w:right="248"/>
        <w:jc w:val="both"/>
        <w:rPr>
          <w:rFonts w:asciiTheme="majorBidi" w:hAnsiTheme="majorBidi" w:cstheme="majorBidi"/>
          <w:sz w:val="24"/>
          <w:szCs w:val="24"/>
        </w:rPr>
      </w:pPr>
      <w:r>
        <w:rPr>
          <w:rFonts w:asciiTheme="majorBidi" w:hAnsiTheme="majorBidi" w:cstheme="majorBidi"/>
          <w:sz w:val="24"/>
          <w:szCs w:val="24"/>
        </w:rPr>
        <w:t xml:space="preserve">For </w:t>
      </w:r>
      <w:proofErr w:type="spellStart"/>
      <w:r>
        <w:rPr>
          <w:rFonts w:asciiTheme="majorBidi" w:hAnsiTheme="majorBidi" w:cstheme="majorBidi"/>
          <w:sz w:val="24"/>
          <w:szCs w:val="24"/>
        </w:rPr>
        <w:t>ethanolic</w:t>
      </w:r>
      <w:proofErr w:type="spellEnd"/>
      <w:r>
        <w:rPr>
          <w:rFonts w:asciiTheme="majorBidi" w:hAnsiTheme="majorBidi" w:cstheme="majorBidi"/>
          <w:sz w:val="24"/>
          <w:szCs w:val="24"/>
        </w:rPr>
        <w:t xml:space="preserve"> extraction of </w:t>
      </w:r>
      <w:r>
        <w:rPr>
          <w:rFonts w:asciiTheme="majorBidi" w:hAnsiTheme="majorBidi" w:cstheme="majorBidi"/>
          <w:i/>
          <w:iCs/>
          <w:sz w:val="24"/>
          <w:szCs w:val="24"/>
        </w:rPr>
        <w:t xml:space="preserve">S. </w:t>
      </w:r>
      <w:proofErr w:type="spellStart"/>
      <w:r>
        <w:rPr>
          <w:rFonts w:asciiTheme="majorBidi" w:hAnsiTheme="majorBidi" w:cstheme="majorBidi"/>
          <w:i/>
          <w:iCs/>
          <w:sz w:val="24"/>
          <w:szCs w:val="24"/>
        </w:rPr>
        <w:t>nigrum</w:t>
      </w:r>
      <w:proofErr w:type="spellEnd"/>
      <w:r>
        <w:rPr>
          <w:rFonts w:asciiTheme="majorBidi" w:hAnsiTheme="majorBidi" w:cstheme="majorBidi"/>
          <w:sz w:val="24"/>
          <w:szCs w:val="24"/>
        </w:rPr>
        <w:t xml:space="preserve">, a protocol by </w:t>
      </w:r>
      <w:r>
        <w:rPr>
          <w:rFonts w:asciiTheme="majorBidi" w:hAnsiTheme="majorBidi" w:cstheme="majorBidi"/>
          <w:sz w:val="24"/>
          <w:szCs w:val="24"/>
          <w:shd w:val="clear" w:color="auto" w:fill="FFFFFF"/>
        </w:rPr>
        <w:fldChar w:fldCharType="begin"/>
      </w:r>
      <w:r w:rsidR="00374F8C">
        <w:rPr>
          <w:rFonts w:asciiTheme="majorBidi" w:hAnsiTheme="majorBidi" w:cstheme="majorBidi"/>
          <w:sz w:val="24"/>
          <w:szCs w:val="24"/>
          <w:shd w:val="clear" w:color="auto" w:fill="FFFFFF"/>
        </w:rPr>
        <w:instrText xml:space="preserve"> ADDIN EN.CITE &lt;EndNote&gt;&lt;Cite&gt;&lt;Author&gt;Sasidharan&lt;/Author&gt;&lt;Year&gt;2011&lt;/Year&gt;&lt;RecNum&gt;17&lt;/RecNum&gt;&lt;DisplayText&gt;[1]&lt;/DisplayText&gt;&lt;record&gt;&lt;rec-number&gt;17&lt;/rec-number&gt;&lt;foreign-keys&gt;&lt;key app="EN" db-id="e02avvaxz555aaeze9pp9xess0902te5xzdt" timestamp="1644222157"&gt;17&lt;/key&gt;&lt;/foreign-keys&gt;&lt;ref-type name="Journal Article"&gt;17&lt;/ref-type&gt;&lt;contributors&gt;&lt;authors&gt;&lt;author&gt;Sasidharan, Sreenivasan&lt;/author&gt;&lt;author&gt;Chen, Y&lt;/author&gt;&lt;author&gt;Saravanan, D&lt;/author&gt;&lt;author&gt;Sundram, KM&lt;/author&gt;&lt;author&gt;Latha, L Yoga &lt;/author&gt;&lt;/authors&gt;&lt;/contributors&gt;&lt;titles&gt;&lt;title&gt;Extraction, isolation and characterization of bioactive compounds from plants’ extracts&lt;/title&gt;&lt;secondary-title&gt;Afr J Tradit Complement Altern Med .&lt;/secondary-title&gt;&lt;/titles&gt;&lt;periodical&gt;&lt;full-title&gt;Afr J Tradit Complement Altern Med .&lt;/full-title&gt;&lt;/periodical&gt;&lt;volume&gt;8&lt;/volume&gt;&lt;number&gt;1&lt;/number&gt;&lt;dates&gt;&lt;year&gt;2011&lt;/year&gt;&lt;/dates&gt;&lt;isbn&gt;0189-6016&lt;/isbn&gt;&lt;urls&gt;&lt;/urls&gt;&lt;/record&gt;&lt;/Cite&gt;&lt;/EndNote&gt;</w:instrText>
      </w:r>
      <w:r>
        <w:rPr>
          <w:rFonts w:asciiTheme="majorBidi" w:hAnsiTheme="majorBidi" w:cstheme="majorBidi"/>
          <w:sz w:val="24"/>
          <w:szCs w:val="24"/>
          <w:shd w:val="clear" w:color="auto" w:fill="FFFFFF"/>
        </w:rPr>
        <w:fldChar w:fldCharType="separate"/>
      </w:r>
      <w:r w:rsidR="00374F8C">
        <w:rPr>
          <w:rFonts w:asciiTheme="majorBidi" w:hAnsiTheme="majorBidi" w:cstheme="majorBidi"/>
          <w:noProof/>
          <w:sz w:val="24"/>
          <w:szCs w:val="24"/>
          <w:shd w:val="clear" w:color="auto" w:fill="FFFFFF"/>
        </w:rPr>
        <w:t>[1]</w:t>
      </w:r>
      <w:r>
        <w:rPr>
          <w:rFonts w:asciiTheme="majorBidi" w:hAnsiTheme="majorBidi" w:cstheme="majorBidi"/>
          <w:sz w:val="24"/>
          <w:szCs w:val="24"/>
          <w:shd w:val="clear" w:color="auto" w:fill="FFFFFF"/>
        </w:rPr>
        <w:fldChar w:fldCharType="end"/>
      </w:r>
      <w:r>
        <w:rPr>
          <w:rFonts w:asciiTheme="majorBidi" w:hAnsiTheme="majorBidi" w:cstheme="majorBidi"/>
          <w:sz w:val="24"/>
          <w:szCs w:val="24"/>
          <w:shd w:val="clear" w:color="auto" w:fill="FFFFFF"/>
        </w:rPr>
        <w:t xml:space="preserve"> was used</w:t>
      </w:r>
      <w:r>
        <w:rPr>
          <w:rFonts w:asciiTheme="majorBidi" w:hAnsiTheme="majorBidi" w:cstheme="majorBidi"/>
          <w:i/>
          <w:iCs/>
          <w:sz w:val="24"/>
          <w:szCs w:val="24"/>
        </w:rPr>
        <w:t>,</w:t>
      </w:r>
      <w:r>
        <w:rPr>
          <w:rFonts w:asciiTheme="majorBidi" w:hAnsiTheme="majorBidi" w:cstheme="majorBidi"/>
          <w:sz w:val="24"/>
          <w:szCs w:val="24"/>
        </w:rPr>
        <w:t xml:space="preserve"> 10 g sample of the herb was taken. Each sample was mixed with 60% ethanol to make a solution up to 100ml. After that, the samples were subjected to an orbital shaker (KS-260 Edmund Buhler </w:t>
      </w:r>
      <w:proofErr w:type="spellStart"/>
      <w:r>
        <w:rPr>
          <w:rFonts w:asciiTheme="majorBidi" w:hAnsiTheme="majorBidi" w:cstheme="majorBidi"/>
          <w:sz w:val="24"/>
          <w:szCs w:val="24"/>
        </w:rPr>
        <w:t>Gmg</w:t>
      </w:r>
      <w:proofErr w:type="spellEnd"/>
      <w:r>
        <w:rPr>
          <w:rFonts w:asciiTheme="majorBidi" w:hAnsiTheme="majorBidi" w:cstheme="majorBidi"/>
          <w:sz w:val="24"/>
          <w:szCs w:val="24"/>
        </w:rPr>
        <w:t xml:space="preserve"> H-Ks 15) at 280rpm for 3 hours at a constant temperature of 30ºC. After shaking, the samples were centrifuged at 2500 rpm at 30ºC for about 10 minutes followed by filtration of supernatant (solution containing precipitation). In the end, the solvent was evaporated using the EYELA Rotary evaporator. </w:t>
      </w:r>
    </w:p>
    <w:p w:rsidR="000D4261" w:rsidRDefault="000D4261" w:rsidP="000D4261">
      <w:pPr>
        <w:spacing w:line="480" w:lineRule="auto"/>
        <w:jc w:val="both"/>
        <w:rPr>
          <w:rFonts w:asciiTheme="majorBidi" w:hAnsiTheme="majorBidi" w:cstheme="majorBidi"/>
          <w:b/>
          <w:bCs/>
          <w:sz w:val="24"/>
          <w:szCs w:val="24"/>
        </w:rPr>
      </w:pPr>
      <w:r>
        <w:rPr>
          <w:rFonts w:ascii="Times New Roman" w:hAnsi="Times New Roman" w:cs="Times New Roman"/>
          <w:b/>
          <w:bCs/>
          <w:color w:val="202124"/>
          <w:sz w:val="24"/>
          <w:szCs w:val="24"/>
          <w:shd w:val="clear" w:color="auto" w:fill="FFFFFF"/>
        </w:rPr>
        <w:t>High performance liquid chromatography</w:t>
      </w:r>
      <w:r>
        <w:rPr>
          <w:rFonts w:asciiTheme="majorBidi" w:hAnsiTheme="majorBidi" w:cstheme="majorBidi"/>
          <w:b/>
          <w:bCs/>
          <w:sz w:val="24"/>
          <w:szCs w:val="24"/>
        </w:rPr>
        <w:t xml:space="preserve"> (HPLC) quantification of phenolic compounds</w:t>
      </w:r>
    </w:p>
    <w:p w:rsidR="000D4261" w:rsidRDefault="000D4261" w:rsidP="00374F8C">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phenolic acids in </w:t>
      </w:r>
      <w:r>
        <w:rPr>
          <w:rFonts w:asciiTheme="majorBidi" w:hAnsiTheme="majorBidi" w:cstheme="majorBidi"/>
          <w:i/>
          <w:iCs/>
          <w:sz w:val="24"/>
          <w:szCs w:val="24"/>
        </w:rPr>
        <w:t xml:space="preserve">S. </w:t>
      </w:r>
      <w:proofErr w:type="spellStart"/>
      <w:r>
        <w:rPr>
          <w:rFonts w:asciiTheme="majorBidi" w:hAnsiTheme="majorBidi" w:cstheme="majorBidi"/>
          <w:i/>
          <w:iCs/>
          <w:sz w:val="24"/>
          <w:szCs w:val="24"/>
        </w:rPr>
        <w:t>nigrum</w:t>
      </w:r>
      <w:proofErr w:type="spellEnd"/>
      <w:r>
        <w:rPr>
          <w:rFonts w:asciiTheme="majorBidi" w:hAnsiTheme="majorBidi" w:cstheme="majorBidi"/>
          <w:sz w:val="24"/>
          <w:szCs w:val="24"/>
        </w:rPr>
        <w:t xml:space="preserve"> were measured using the methodology of </w:t>
      </w:r>
      <w:r>
        <w:rPr>
          <w:rFonts w:asciiTheme="majorBidi" w:hAnsiTheme="majorBidi" w:cstheme="majorBidi"/>
          <w:sz w:val="24"/>
          <w:szCs w:val="24"/>
        </w:rPr>
        <w:fldChar w:fldCharType="begin"/>
      </w:r>
      <w:r w:rsidR="00374F8C">
        <w:rPr>
          <w:rFonts w:asciiTheme="majorBidi" w:hAnsiTheme="majorBidi" w:cstheme="majorBidi"/>
          <w:sz w:val="24"/>
          <w:szCs w:val="24"/>
        </w:rPr>
        <w:instrText xml:space="preserve"> ADDIN EN.CITE &lt;EndNote&gt;&lt;Cite&gt;&lt;Author&gt;Chang&lt;/Author&gt;&lt;Year&gt;2017&lt;/Year&gt;&lt;RecNum&gt;88&lt;/RecNum&gt;&lt;DisplayText&gt;[2]&lt;/DisplayText&gt;&lt;record&gt;&lt;rec-number&gt;88&lt;/rec-number&gt;&lt;foreign-keys&gt;&lt;key app="EN" db-id="e02avvaxz555aaeze9pp9xess0902te5xzdt" timestamp="1649261499"&gt;88&lt;/key&gt;&lt;/foreign-keys&gt;&lt;ref-type name="Journal Article"&gt;17&lt;/ref-type&gt;&lt;contributors&gt;&lt;authors&gt;&lt;author&gt;Chang, Ja-Jen&lt;/author&gt;&lt;author&gt;Chung, Dai-Jung&lt;/author&gt;&lt;author&gt;Lee, Yi-Ju&lt;/author&gt;&lt;author&gt;Wen, Bo-Han&lt;/author&gt;&lt;author&gt;Jao, Hsing-Yu&lt;/author&gt;&lt;author&gt;Wang, Chau-Jong %J Food&lt;/author&gt;&lt;/authors&gt;&lt;/contributors&gt;&lt;titles&gt;&lt;title&gt;Solanum nigrum polyphenol extracts inhibit hepatic inflammation, oxidative stress, and lipogenesis in high-fat-diet-treated mice&lt;/title&gt;&lt;/titles&gt;&lt;pages&gt;9255-9265&lt;/pages&gt;&lt;volume&gt;65&lt;/volume&gt;&lt;number&gt;42&lt;/number&gt;&lt;dates&gt;&lt;year&gt;2017&lt;/year&gt;&lt;/dates&gt;&lt;isbn&gt;0021-8561&lt;/isbn&gt;&lt;urls&gt;&lt;/urls&gt;&lt;/record&gt;&lt;/Cite&gt;&lt;/EndNote&gt;</w:instrText>
      </w:r>
      <w:r>
        <w:rPr>
          <w:rFonts w:asciiTheme="majorBidi" w:hAnsiTheme="majorBidi" w:cstheme="majorBidi"/>
          <w:sz w:val="24"/>
          <w:szCs w:val="24"/>
        </w:rPr>
        <w:fldChar w:fldCharType="separate"/>
      </w:r>
      <w:r w:rsidR="00374F8C">
        <w:rPr>
          <w:rFonts w:asciiTheme="majorBidi" w:hAnsiTheme="majorBidi" w:cstheme="majorBidi"/>
          <w:noProof/>
          <w:sz w:val="24"/>
          <w:szCs w:val="24"/>
        </w:rPr>
        <w:t>[2]</w:t>
      </w:r>
      <w:r>
        <w:rPr>
          <w:rFonts w:asciiTheme="majorBidi" w:hAnsiTheme="majorBidi" w:cstheme="majorBidi"/>
          <w:sz w:val="24"/>
          <w:szCs w:val="24"/>
        </w:rPr>
        <w:fldChar w:fldCharType="end"/>
      </w:r>
      <w:r>
        <w:rPr>
          <w:rFonts w:asciiTheme="majorBidi" w:hAnsiTheme="majorBidi" w:cstheme="majorBidi"/>
          <w:sz w:val="24"/>
          <w:szCs w:val="24"/>
        </w:rPr>
        <w:t xml:space="preserve">. A Shim-Pack CLC-ODS (C-18) column (5 m, 25 cm 4.6 mm) was included in this experiment. A UV-Vis detector (SPD-10 AV) with a wavelength between 210-400 nm was used in the analysis. For the gradient elusion, A (H2O: acetic acid-94:6) and B (H2O: acetic acid-94:6) were utilized as mobile phases (100 percent acetonitrile). With a sample injection volume of 5 L, a flow rate of 1 mL/min was maintained. A standard chromatogram has been used to determine the phenolic acids in </w:t>
      </w:r>
      <w:r>
        <w:rPr>
          <w:rFonts w:asciiTheme="majorBidi" w:hAnsiTheme="majorBidi" w:cstheme="majorBidi"/>
          <w:i/>
          <w:iCs/>
          <w:sz w:val="24"/>
          <w:szCs w:val="24"/>
        </w:rPr>
        <w:t xml:space="preserve">S. </w:t>
      </w:r>
      <w:proofErr w:type="spellStart"/>
      <w:r>
        <w:rPr>
          <w:rFonts w:asciiTheme="majorBidi" w:hAnsiTheme="majorBidi" w:cstheme="majorBidi"/>
          <w:i/>
          <w:iCs/>
          <w:sz w:val="24"/>
          <w:szCs w:val="24"/>
        </w:rPr>
        <w:t>nigrum</w:t>
      </w:r>
      <w:proofErr w:type="spellEnd"/>
      <w:r>
        <w:rPr>
          <w:rFonts w:asciiTheme="majorBidi" w:hAnsiTheme="majorBidi" w:cstheme="majorBidi"/>
          <w:sz w:val="24"/>
          <w:szCs w:val="24"/>
        </w:rPr>
        <w:t xml:space="preserve"> samples depending on the relative retention time. The peak </w:t>
      </w:r>
      <w:proofErr w:type="gramStart"/>
      <w:r>
        <w:rPr>
          <w:rFonts w:asciiTheme="majorBidi" w:hAnsiTheme="majorBidi" w:cstheme="majorBidi"/>
          <w:sz w:val="24"/>
          <w:szCs w:val="24"/>
        </w:rPr>
        <w:t>regions of each phenolic acid was</w:t>
      </w:r>
      <w:proofErr w:type="gramEnd"/>
      <w:r>
        <w:rPr>
          <w:rFonts w:asciiTheme="majorBidi" w:hAnsiTheme="majorBidi" w:cstheme="majorBidi"/>
          <w:sz w:val="24"/>
          <w:szCs w:val="24"/>
        </w:rPr>
        <w:t xml:space="preserve"> evaluated as well as the results were transformed to g/mg.</w:t>
      </w:r>
    </w:p>
    <w:p w:rsidR="000D4261" w:rsidRDefault="000D4261" w:rsidP="000D4261">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In vivo study</w:t>
      </w:r>
    </w:p>
    <w:p w:rsidR="000D4261" w:rsidRDefault="000D4261" w:rsidP="000D4261">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Sprague Dawley rats weighting the range of 200 to 250 g </w:t>
      </w:r>
      <w:proofErr w:type="spellStart"/>
      <w:r>
        <w:rPr>
          <w:rFonts w:asciiTheme="majorBidi" w:hAnsiTheme="majorBidi" w:cstheme="majorBidi"/>
          <w:sz w:val="24"/>
          <w:szCs w:val="24"/>
        </w:rPr>
        <w:t>b.w</w:t>
      </w:r>
      <w:proofErr w:type="spellEnd"/>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were purchased from the animal house of University of Agriculture, Faisalabad (UAF), Pakistan, for an experimental trial. The </w:t>
      </w:r>
      <w:r>
        <w:rPr>
          <w:rFonts w:asciiTheme="majorBidi" w:hAnsiTheme="majorBidi" w:cstheme="majorBidi"/>
          <w:sz w:val="24"/>
          <w:szCs w:val="24"/>
        </w:rPr>
        <w:lastRenderedPageBreak/>
        <w:t xml:space="preserve">present study was approved by the bioethics committee of the UAF. </w:t>
      </w:r>
      <w:r>
        <w:rPr>
          <w:rFonts w:asciiTheme="majorBidi" w:hAnsiTheme="majorBidi" w:cstheme="majorBidi"/>
          <w:color w:val="1C1D1E"/>
          <w:sz w:val="24"/>
          <w:szCs w:val="24"/>
          <w:shd w:val="clear" w:color="auto" w:fill="FFFFFF"/>
        </w:rPr>
        <w:t>The experimental trial was carried according to guidelines of the National Biosafety Committee 2005, Punjab Biosafety Rules 2014, Punjab Animal ACT 2019, and Bioethical Protocols. The study was approved by Institutional Biosafety and Bioethical Committee (IBC, Ethical Issue No. 1,315), UAF, Pakistan.</w:t>
      </w:r>
      <w:r>
        <w:rPr>
          <w:rFonts w:asciiTheme="majorBidi" w:hAnsiTheme="majorBidi" w:cstheme="majorBidi"/>
          <w:sz w:val="24"/>
          <w:szCs w:val="24"/>
        </w:rPr>
        <w:t xml:space="preserve"> </w:t>
      </w:r>
    </w:p>
    <w:p w:rsidR="000D4261" w:rsidRDefault="000D4261" w:rsidP="000D4261">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Treatment plan</w:t>
      </w:r>
    </w:p>
    <w:p w:rsidR="000D4261" w:rsidRDefault="000D4261" w:rsidP="000D426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Experimental protocols: </w:t>
      </w:r>
      <w:r>
        <w:rPr>
          <w:rFonts w:ascii="Times New Roman" w:hAnsi="Times New Roman" w:cs="Times New Roman"/>
          <w:sz w:val="24"/>
          <w:szCs w:val="24"/>
        </w:rPr>
        <w:t>Forty (40) Sprague Dawley rats were randomly distributed into 4 groups (n=10).</w:t>
      </w:r>
    </w:p>
    <w:p w:rsidR="000D4261" w:rsidRDefault="000D4261" w:rsidP="000D4261">
      <w:pPr>
        <w:tabs>
          <w:tab w:val="left" w:pos="2728"/>
        </w:tabs>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Group 1(G1):</w:t>
      </w:r>
      <w:r>
        <w:rPr>
          <w:rFonts w:ascii="Times New Roman" w:hAnsi="Times New Roman" w:cs="Times New Roman"/>
          <w:sz w:val="24"/>
          <w:szCs w:val="24"/>
        </w:rPr>
        <w:t xml:space="preserve"> Negative control group which remained untreated</w:t>
      </w:r>
    </w:p>
    <w:p w:rsidR="000D4261" w:rsidRDefault="000D4261" w:rsidP="00374F8C">
      <w:pPr>
        <w:tabs>
          <w:tab w:val="left" w:pos="2728"/>
        </w:tabs>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Group 2(G2):</w:t>
      </w:r>
      <w:r>
        <w:rPr>
          <w:rFonts w:ascii="Times New Roman" w:hAnsi="Times New Roman" w:cs="Times New Roman"/>
          <w:sz w:val="24"/>
          <w:szCs w:val="24"/>
        </w:rPr>
        <w:t xml:space="preserve"> Positive control group: </w:t>
      </w:r>
      <w:proofErr w:type="spellStart"/>
      <w:r>
        <w:rPr>
          <w:rFonts w:ascii="Times New Roman" w:hAnsi="Times New Roman" w:cs="Times New Roman"/>
          <w:sz w:val="24"/>
          <w:szCs w:val="24"/>
        </w:rPr>
        <w:t>Phenylhydrazine</w:t>
      </w:r>
      <w:proofErr w:type="spellEnd"/>
      <w:r>
        <w:rPr>
          <w:rFonts w:ascii="Times New Roman" w:hAnsi="Times New Roman" w:cs="Times New Roman"/>
          <w:sz w:val="24"/>
          <w:szCs w:val="24"/>
        </w:rPr>
        <w:t xml:space="preserve"> (65mg/kg </w:t>
      </w:r>
      <w:proofErr w:type="spellStart"/>
      <w:r>
        <w:rPr>
          <w:rFonts w:ascii="Times New Roman" w:hAnsi="Times New Roman" w:cs="Times New Roman"/>
          <w:sz w:val="24"/>
          <w:szCs w:val="24"/>
        </w:rPr>
        <w:t>b.w</w:t>
      </w:r>
      <w:proofErr w:type="spellEnd"/>
      <w:r>
        <w:rPr>
          <w:rFonts w:ascii="Times New Roman" w:hAnsi="Times New Roman" w:cs="Times New Roman"/>
          <w:sz w:val="24"/>
          <w:szCs w:val="24"/>
        </w:rPr>
        <w:t xml:space="preserve">. for 8 days) administrated rats (for the induction of acute liver toxicity) </w:t>
      </w:r>
      <w:r>
        <w:rPr>
          <w:rFonts w:ascii="Times New Roman" w:hAnsi="Times New Roman" w:cs="Times New Roman"/>
          <w:sz w:val="24"/>
          <w:szCs w:val="24"/>
        </w:rPr>
        <w:fldChar w:fldCharType="begin"/>
      </w:r>
      <w:r w:rsidR="00374F8C">
        <w:rPr>
          <w:rFonts w:ascii="Times New Roman" w:hAnsi="Times New Roman" w:cs="Times New Roman"/>
          <w:sz w:val="24"/>
          <w:szCs w:val="24"/>
        </w:rPr>
        <w:instrText xml:space="preserve"> ADDIN EN.CITE &lt;EndNote&gt;&lt;Cite&gt;&lt;Author&gt;Pandey&lt;/Author&gt;&lt;Year&gt;2014&lt;/Year&gt;&lt;RecNum&gt;20&lt;/RecNum&gt;&lt;DisplayText&gt;[3]&lt;/DisplayText&gt;&lt;record&gt;&lt;rec-number&gt;20&lt;/rec-number&gt;&lt;foreign-keys&gt;&lt;key app="EN" db-id="e02avvaxz555aaeze9pp9xess0902te5xzdt" timestamp="1644222649"&gt;20&lt;/key&gt;&lt;/foreign-keys&gt;&lt;ref-type name="Journal Article"&gt;17&lt;/ref-type&gt;&lt;contributors&gt;&lt;authors&gt;&lt;author&gt;Pandey, Keerti&lt;/author&gt;&lt;author&gt;Meena, Anil Kumar&lt;/author&gt;&lt;author&gt;Jain, Akansha&lt;/author&gt;&lt;author&gt;Singh, RK &lt;/author&gt;&lt;/authors&gt;&lt;/contributors&gt;&lt;titles&gt;&lt;title&gt;Molecular mechanism of phenylhydrazine induced haematotoxicity: A review&lt;/title&gt;&lt;secondary-title&gt;Ame J Phytomed Clin Therapeut&lt;/secondary-title&gt;&lt;/titles&gt;&lt;periodical&gt;&lt;full-title&gt;Ame J Phytomed Clin Therapeut&lt;/full-title&gt;&lt;/periodical&gt;&lt;pages&gt;390-394&lt;/pages&gt;&lt;volume&gt;2&lt;/volume&gt;&lt;number&gt;3&lt;/number&gt;&lt;dates&gt;&lt;year&gt;2014&lt;/year&gt;&lt;/dates&gt;&lt;urls&gt;&lt;/urls&gt;&lt;/record&gt;&lt;/Cite&gt;&lt;/EndNote&gt;</w:instrText>
      </w:r>
      <w:r>
        <w:rPr>
          <w:rFonts w:ascii="Times New Roman" w:hAnsi="Times New Roman" w:cs="Times New Roman"/>
          <w:sz w:val="24"/>
          <w:szCs w:val="24"/>
        </w:rPr>
        <w:fldChar w:fldCharType="separate"/>
      </w:r>
      <w:r w:rsidR="00374F8C">
        <w:rPr>
          <w:rFonts w:ascii="Times New Roman" w:hAnsi="Times New Roman" w:cs="Times New Roman"/>
          <w:noProof/>
          <w:sz w:val="24"/>
          <w:szCs w:val="24"/>
        </w:rPr>
        <w:t>[3]</w:t>
      </w:r>
      <w:r>
        <w:rPr>
          <w:rFonts w:ascii="Times New Roman" w:hAnsi="Times New Roman" w:cs="Times New Roman"/>
          <w:sz w:val="24"/>
          <w:szCs w:val="24"/>
        </w:rPr>
        <w:fldChar w:fldCharType="end"/>
      </w:r>
    </w:p>
    <w:p w:rsidR="000D4261" w:rsidRDefault="000D4261" w:rsidP="000D4261">
      <w:pPr>
        <w:tabs>
          <w:tab w:val="left" w:pos="2728"/>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Group </w:t>
      </w:r>
      <w:r>
        <w:rPr>
          <w:rFonts w:ascii="Times New Roman" w:hAnsi="Times New Roman" w:cs="Times New Roman"/>
          <w:b/>
          <w:sz w:val="24"/>
          <w:szCs w:val="24"/>
          <w:shd w:val="clear" w:color="auto" w:fill="FFFFFF"/>
        </w:rPr>
        <w:t>3(G3):</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Phenylhydrazine</w:t>
      </w:r>
      <w:proofErr w:type="spellEnd"/>
      <w:r>
        <w:rPr>
          <w:rFonts w:ascii="Times New Roman" w:hAnsi="Times New Roman" w:cs="Times New Roman"/>
          <w:sz w:val="24"/>
          <w:szCs w:val="24"/>
        </w:rPr>
        <w:t xml:space="preserve"> administrated rats with addition to the standard drug (</w:t>
      </w:r>
      <w:proofErr w:type="spellStart"/>
      <w:r>
        <w:rPr>
          <w:rFonts w:ascii="Times New Roman" w:hAnsi="Times New Roman" w:cs="Times New Roman"/>
          <w:sz w:val="24"/>
          <w:szCs w:val="24"/>
        </w:rPr>
        <w:t>Silymarin</w:t>
      </w:r>
      <w:proofErr w:type="spellEnd"/>
      <w:r>
        <w:rPr>
          <w:rFonts w:ascii="Times New Roman" w:hAnsi="Times New Roman" w:cs="Times New Roman"/>
          <w:sz w:val="24"/>
          <w:szCs w:val="24"/>
        </w:rPr>
        <w:t>)</w:t>
      </w:r>
    </w:p>
    <w:p w:rsidR="000D4261" w:rsidRDefault="000D4261" w:rsidP="000D4261">
      <w:pPr>
        <w:tabs>
          <w:tab w:val="left" w:pos="2728"/>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Group </w:t>
      </w:r>
      <w:r>
        <w:rPr>
          <w:rFonts w:ascii="Times New Roman" w:hAnsi="Times New Roman" w:cs="Times New Roman"/>
          <w:b/>
          <w:sz w:val="24"/>
          <w:szCs w:val="24"/>
          <w:shd w:val="clear" w:color="auto" w:fill="FFFFFF"/>
        </w:rPr>
        <w:t>4(G4):</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Phenylhydrazine</w:t>
      </w:r>
      <w:proofErr w:type="spellEnd"/>
      <w:r>
        <w:rPr>
          <w:rFonts w:ascii="Times New Roman" w:hAnsi="Times New Roman" w:cs="Times New Roman"/>
          <w:sz w:val="24"/>
          <w:szCs w:val="24"/>
        </w:rPr>
        <w:t xml:space="preserve"> administrated rats with </w:t>
      </w:r>
      <w:r>
        <w:rPr>
          <w:rFonts w:ascii="Times New Roman" w:hAnsi="Times New Roman" w:cs="Times New Roman"/>
          <w:i/>
          <w:iCs/>
          <w:sz w:val="24"/>
          <w:szCs w:val="24"/>
        </w:rPr>
        <w:t xml:space="preserve">S. </w:t>
      </w:r>
      <w:proofErr w:type="spellStart"/>
      <w:r>
        <w:rPr>
          <w:rFonts w:ascii="Times New Roman" w:hAnsi="Times New Roman" w:cs="Times New Roman"/>
          <w:i/>
          <w:iCs/>
          <w:sz w:val="24"/>
          <w:szCs w:val="24"/>
        </w:rPr>
        <w:t>nigrum</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extract</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(1.0g/kg </w:t>
      </w:r>
      <w:proofErr w:type="spellStart"/>
      <w:r>
        <w:rPr>
          <w:rFonts w:ascii="Times New Roman" w:hAnsi="Times New Roman" w:cs="Times New Roman"/>
          <w:iCs/>
          <w:sz w:val="24"/>
          <w:szCs w:val="24"/>
        </w:rPr>
        <w:t>b.w</w:t>
      </w:r>
      <w:proofErr w:type="spellEnd"/>
      <w:r>
        <w:rPr>
          <w:rFonts w:ascii="Times New Roman" w:hAnsi="Times New Roman" w:cs="Times New Roman"/>
          <w:iCs/>
          <w:sz w:val="24"/>
          <w:szCs w:val="24"/>
        </w:rPr>
        <w:t>.) for 30 consecutive days</w:t>
      </w:r>
      <w:r>
        <w:rPr>
          <w:rFonts w:ascii="Times New Roman" w:hAnsi="Times New Roman" w:cs="Times New Roman"/>
          <w:sz w:val="24"/>
          <w:szCs w:val="24"/>
        </w:rPr>
        <w:t xml:space="preserve"> with the help of gavage.</w:t>
      </w:r>
      <w:r>
        <w:rPr>
          <w:rFonts w:asciiTheme="majorBidi" w:hAnsiTheme="majorBidi" w:cstheme="majorBidi"/>
          <w:sz w:val="24"/>
          <w:szCs w:val="24"/>
        </w:rPr>
        <w:t xml:space="preserve"> </w:t>
      </w:r>
    </w:p>
    <w:p w:rsidR="000D4261" w:rsidRDefault="000D4261" w:rsidP="000D4261">
      <w:pPr>
        <w:tabs>
          <w:tab w:val="left" w:pos="2728"/>
        </w:tabs>
        <w:spacing w:after="0" w:line="480" w:lineRule="auto"/>
        <w:jc w:val="both"/>
        <w:rPr>
          <w:rFonts w:asciiTheme="majorBidi" w:hAnsiTheme="majorBidi" w:cstheme="majorBidi"/>
          <w:b/>
          <w:bCs/>
          <w:sz w:val="24"/>
          <w:szCs w:val="24"/>
        </w:rPr>
      </w:pPr>
      <w:r>
        <w:rPr>
          <w:rFonts w:asciiTheme="majorBidi" w:hAnsiTheme="majorBidi" w:cstheme="majorBidi"/>
          <w:b/>
          <w:bCs/>
          <w:sz w:val="24"/>
          <w:szCs w:val="24"/>
          <w:shd w:val="clear" w:color="auto" w:fill="FFFFFF"/>
        </w:rPr>
        <w:t>Alanine aminotransferase (ALT)</w:t>
      </w:r>
      <w:r>
        <w:rPr>
          <w:rFonts w:asciiTheme="majorBidi" w:hAnsiTheme="majorBidi" w:cstheme="majorBidi"/>
          <w:b/>
          <w:bCs/>
          <w:sz w:val="24"/>
          <w:szCs w:val="24"/>
        </w:rPr>
        <w:t xml:space="preserve">, </w:t>
      </w:r>
      <w:r>
        <w:rPr>
          <w:rFonts w:asciiTheme="majorBidi" w:hAnsiTheme="majorBidi" w:cstheme="majorBidi"/>
          <w:b/>
          <w:bCs/>
          <w:sz w:val="24"/>
          <w:szCs w:val="24"/>
          <w:shd w:val="clear" w:color="auto" w:fill="FFFFFF"/>
        </w:rPr>
        <w:t>aspartate transaminase (AST)</w:t>
      </w:r>
      <w:r>
        <w:rPr>
          <w:rFonts w:asciiTheme="majorBidi" w:hAnsiTheme="majorBidi" w:cstheme="majorBidi"/>
          <w:b/>
          <w:bCs/>
          <w:sz w:val="24"/>
          <w:szCs w:val="24"/>
        </w:rPr>
        <w:t>,</w:t>
      </w:r>
      <w:r>
        <w:rPr>
          <w:rFonts w:asciiTheme="majorBidi" w:hAnsiTheme="majorBidi" w:cstheme="majorBidi"/>
          <w:b/>
          <w:bCs/>
          <w:sz w:val="24"/>
          <w:szCs w:val="24"/>
          <w:shd w:val="clear" w:color="auto" w:fill="FFFFFF"/>
        </w:rPr>
        <w:t xml:space="preserve"> alkaline phosphatase</w:t>
      </w:r>
      <w:r>
        <w:rPr>
          <w:rFonts w:asciiTheme="majorBidi" w:hAnsiTheme="majorBidi" w:cstheme="majorBidi"/>
          <w:b/>
          <w:bCs/>
          <w:sz w:val="24"/>
          <w:szCs w:val="24"/>
        </w:rPr>
        <w:t xml:space="preserve"> (AP)</w:t>
      </w:r>
    </w:p>
    <w:p w:rsidR="000D4261" w:rsidRDefault="000D4261" w:rsidP="00374F8C">
      <w:pPr>
        <w:tabs>
          <w:tab w:val="left" w:pos="2728"/>
        </w:tabs>
        <w:spacing w:after="0" w:line="480" w:lineRule="auto"/>
        <w:jc w:val="both"/>
        <w:rPr>
          <w:rFonts w:asciiTheme="majorBidi" w:hAnsiTheme="majorBidi" w:cstheme="majorBidi"/>
          <w:sz w:val="24"/>
          <w:szCs w:val="24"/>
        </w:rPr>
      </w:pPr>
      <w:r>
        <w:rPr>
          <w:rFonts w:asciiTheme="majorBidi" w:hAnsiTheme="majorBidi" w:cstheme="majorBidi"/>
          <w:sz w:val="24"/>
          <w:szCs w:val="24"/>
        </w:rPr>
        <w:t>For the estimation of ALT and AST,</w:t>
      </w:r>
      <w:r>
        <w:rPr>
          <w:rFonts w:asciiTheme="majorBidi" w:hAnsiTheme="majorBidi" w:cstheme="majorBidi"/>
          <w:sz w:val="24"/>
          <w:szCs w:val="24"/>
        </w:rPr>
        <w:fldChar w:fldCharType="begin"/>
      </w:r>
      <w:r w:rsidR="00374F8C">
        <w:rPr>
          <w:rFonts w:asciiTheme="majorBidi" w:hAnsiTheme="majorBidi" w:cstheme="majorBidi"/>
          <w:sz w:val="24"/>
          <w:szCs w:val="24"/>
        </w:rPr>
        <w:instrText xml:space="preserve"> ADDIN EN.CITE &lt;EndNote&gt;&lt;Cite&gt;&lt;Author&gt;Reitman&lt;/Author&gt;&lt;Year&gt;1957&lt;/Year&gt;&lt;RecNum&gt;22&lt;/RecNum&gt;&lt;DisplayText&gt;[4]&lt;/DisplayText&gt;&lt;record&gt;&lt;rec-number&gt;22&lt;/rec-number&gt;&lt;foreign-keys&gt;&lt;key app="EN" db-id="e02avvaxz555aaeze9pp9xess0902te5xzdt" timestamp="1644223121"&gt;22&lt;/key&gt;&lt;/foreign-keys&gt;&lt;ref-type name="Journal Article"&gt;17&lt;/ref-type&gt;&lt;contributors&gt;&lt;authors&gt;&lt;author&gt;Reitman, Stanley&lt;/author&gt;&lt;author&gt;Frankel, Sam &lt;/author&gt;&lt;/authors&gt;&lt;/contributors&gt;&lt;titles&gt;&lt;title&gt;A colorimetric method for the determination of serum glutamic oxalacetic and glutamic pyruvic transaminases&lt;/title&gt;&lt;secondary-title&gt;Am. J. Clin. Pathol.&lt;/secondary-title&gt;&lt;/titles&gt;&lt;periodical&gt;&lt;full-title&gt;Am. J. Clin. Pathol.&lt;/full-title&gt;&lt;/periodical&gt;&lt;pages&gt;56-63&lt;/pages&gt;&lt;volume&gt;28&lt;/volume&gt;&lt;number&gt;1&lt;/number&gt;&lt;dates&gt;&lt;year&gt;1957&lt;/year&gt;&lt;/dates&gt;&lt;isbn&gt;1943-7722&lt;/isbn&gt;&lt;urls&gt;&lt;/urls&gt;&lt;/record&gt;&lt;/Cite&gt;&lt;/EndNote&gt;</w:instrText>
      </w:r>
      <w:r>
        <w:rPr>
          <w:rFonts w:asciiTheme="majorBidi" w:hAnsiTheme="majorBidi" w:cstheme="majorBidi"/>
          <w:sz w:val="24"/>
          <w:szCs w:val="24"/>
        </w:rPr>
        <w:fldChar w:fldCharType="separate"/>
      </w:r>
      <w:r w:rsidR="00374F8C">
        <w:rPr>
          <w:rFonts w:asciiTheme="majorBidi" w:hAnsiTheme="majorBidi" w:cstheme="majorBidi"/>
          <w:noProof/>
          <w:sz w:val="24"/>
          <w:szCs w:val="24"/>
        </w:rPr>
        <w:t>[4]</w:t>
      </w:r>
      <w:r>
        <w:rPr>
          <w:rFonts w:asciiTheme="majorBidi" w:hAnsiTheme="majorBidi" w:cstheme="majorBidi"/>
          <w:sz w:val="24"/>
          <w:szCs w:val="24"/>
        </w:rPr>
        <w:fldChar w:fldCharType="end"/>
      </w:r>
      <w:r>
        <w:rPr>
          <w:rFonts w:asciiTheme="majorBidi" w:hAnsiTheme="majorBidi" w:cstheme="majorBidi"/>
          <w:sz w:val="24"/>
          <w:szCs w:val="24"/>
        </w:rPr>
        <w:t xml:space="preserve"> method was used. AP level was assessed by using the protocols </w:t>
      </w:r>
      <w:r>
        <w:rPr>
          <w:rFonts w:asciiTheme="majorBidi" w:hAnsiTheme="majorBidi" w:cstheme="majorBidi"/>
          <w:sz w:val="24"/>
          <w:szCs w:val="24"/>
        </w:rPr>
        <w:fldChar w:fldCharType="begin"/>
      </w:r>
      <w:r w:rsidR="00374F8C">
        <w:rPr>
          <w:rFonts w:asciiTheme="majorBidi" w:hAnsiTheme="majorBidi" w:cstheme="majorBidi"/>
          <w:sz w:val="24"/>
          <w:szCs w:val="24"/>
        </w:rPr>
        <w:instrText xml:space="preserve"> ADDIN EN.CITE &lt;EndNote&gt;&lt;Cite&gt;&lt;Author&gt;King&lt;/Author&gt;&lt;Year&gt;1954&lt;/Year&gt;&lt;RecNum&gt;21&lt;/RecNum&gt;&lt;DisplayText&gt;[5]&lt;/DisplayText&gt;&lt;record&gt;&lt;rec-number&gt;21&lt;/rec-number&gt;&lt;foreign-keys&gt;&lt;key app="EN" db-id="e02avvaxz555aaeze9pp9xess0902te5xzdt" timestamp="1644222778"&gt;21&lt;/key&gt;&lt;/foreign-keys&gt;&lt;ref-type name="Journal Article"&gt;17&lt;/ref-type&gt;&lt;contributors&gt;&lt;authors&gt;&lt;author&gt;King, PRN&lt;/author&gt;&lt;author&gt;King, EJ &lt;/author&gt;&lt;/authors&gt;&lt;/contributors&gt;&lt;titles&gt;&lt;title&gt;Colorimetric method for the determination of serum/tissue homogenate Alkaline Phosphatase and Serum/tissue homogenate Alkaline Phosphatase&lt;/title&gt;&lt;secondary-title&gt;J Clin Path&lt;/secondary-title&gt;&lt;/titles&gt;&lt;periodical&gt;&lt;full-title&gt;J Clin Path&lt;/full-title&gt;&lt;/periodical&gt;&lt;pages&gt;132-136&lt;/pages&gt;&lt;volume&gt;7&lt;/volume&gt;&lt;dates&gt;&lt;year&gt;1954&lt;/year&gt;&lt;/dates&gt;&lt;urls&gt;&lt;/urls&gt;&lt;/record&gt;&lt;/Cite&gt;&lt;/EndNote&gt;</w:instrText>
      </w:r>
      <w:r>
        <w:rPr>
          <w:rFonts w:asciiTheme="majorBidi" w:hAnsiTheme="majorBidi" w:cstheme="majorBidi"/>
          <w:sz w:val="24"/>
          <w:szCs w:val="24"/>
        </w:rPr>
        <w:fldChar w:fldCharType="separate"/>
      </w:r>
      <w:r w:rsidR="00374F8C">
        <w:rPr>
          <w:rFonts w:asciiTheme="majorBidi" w:hAnsiTheme="majorBidi" w:cstheme="majorBidi"/>
          <w:noProof/>
          <w:sz w:val="24"/>
          <w:szCs w:val="24"/>
        </w:rPr>
        <w:t>[5]</w:t>
      </w:r>
      <w:r>
        <w:rPr>
          <w:rFonts w:asciiTheme="majorBidi" w:hAnsiTheme="majorBidi" w:cstheme="majorBidi"/>
          <w:sz w:val="24"/>
          <w:szCs w:val="24"/>
        </w:rPr>
        <w:fldChar w:fldCharType="end"/>
      </w:r>
      <w:r>
        <w:rPr>
          <w:rFonts w:asciiTheme="majorBidi" w:hAnsiTheme="majorBidi" w:cstheme="majorBidi"/>
          <w:sz w:val="24"/>
          <w:szCs w:val="24"/>
        </w:rPr>
        <w:t>. International Units per liter (I.U</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l) were used to estimate the enzyme activity. </w:t>
      </w:r>
    </w:p>
    <w:p w:rsidR="000D4261" w:rsidRDefault="000D4261" w:rsidP="000D4261">
      <w:pPr>
        <w:spacing w:after="0"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Serum bilirubin, </w:t>
      </w:r>
      <w:r>
        <w:rPr>
          <w:rFonts w:ascii="STIXGeneral-Regular" w:eastAsia="Times New Roman" w:hAnsi="STIXGeneral-Regular" w:cs="Times New Roman"/>
          <w:b/>
          <w:bCs/>
          <w:sz w:val="24"/>
          <w:szCs w:val="24"/>
        </w:rPr>
        <w:t xml:space="preserve">creatinine and </w:t>
      </w:r>
      <w:r>
        <w:rPr>
          <w:rFonts w:asciiTheme="majorBidi" w:hAnsiTheme="majorBidi" w:cstheme="majorBidi"/>
          <w:b/>
          <w:bCs/>
          <w:sz w:val="24"/>
          <w:szCs w:val="24"/>
        </w:rPr>
        <w:t>albumin</w:t>
      </w:r>
    </w:p>
    <w:p w:rsidR="000D4261" w:rsidRDefault="000D4261" w:rsidP="00374F8C">
      <w:pPr>
        <w:tabs>
          <w:tab w:val="left" w:pos="2728"/>
        </w:tabs>
        <w:spacing w:after="0" w:line="480" w:lineRule="auto"/>
        <w:jc w:val="both"/>
        <w:rPr>
          <w:rFonts w:asciiTheme="majorBidi" w:hAnsiTheme="majorBidi" w:cstheme="majorBidi"/>
          <w:b/>
          <w:bCs/>
          <w:sz w:val="24"/>
          <w:szCs w:val="24"/>
        </w:rPr>
      </w:pPr>
      <w:r>
        <w:rPr>
          <w:rFonts w:asciiTheme="majorBidi" w:hAnsiTheme="majorBidi" w:cstheme="majorBidi"/>
          <w:sz w:val="24"/>
          <w:szCs w:val="24"/>
        </w:rPr>
        <w:t xml:space="preserve">Serum bilirubin was estimated by following the method of </w:t>
      </w:r>
      <w:r>
        <w:rPr>
          <w:rFonts w:asciiTheme="majorBidi" w:hAnsiTheme="majorBidi" w:cstheme="majorBidi"/>
          <w:sz w:val="24"/>
          <w:szCs w:val="24"/>
        </w:rPr>
        <w:fldChar w:fldCharType="begin"/>
      </w:r>
      <w:r w:rsidR="00374F8C">
        <w:rPr>
          <w:rFonts w:asciiTheme="majorBidi" w:hAnsiTheme="majorBidi" w:cstheme="majorBidi"/>
          <w:sz w:val="24"/>
          <w:szCs w:val="24"/>
        </w:rPr>
        <w:instrText xml:space="preserve"> ADDIN EN.CITE &lt;EndNote&gt;&lt;Cite&gt;&lt;Author&gt;Walters&lt;/Author&gt;&lt;Year&gt;1970&lt;/Year&gt;&lt;RecNum&gt;23&lt;/RecNum&gt;&lt;DisplayText&gt;[6]&lt;/DisplayText&gt;&lt;record&gt;&lt;rec-number&gt;23&lt;/rec-number&gt;&lt;foreign-keys&gt;&lt;key app="EN" db-id="e02avvaxz555aaeze9pp9xess0902te5xzdt" timestamp="1644231595"&gt;23&lt;/key&gt;&lt;/foreign-keys&gt;&lt;ref-type name="Journal Article"&gt;17&lt;/ref-type&gt;&lt;contributors&gt;&lt;authors&gt;&lt;author&gt;Walters, Martha I&lt;/author&gt;&lt;author&gt;Gerarde, HW &lt;/author&gt;&lt;/authors&gt;&lt;/contributors&gt;&lt;titles&gt;&lt;title&gt;An ultramicromethod for the determination of conjugated and total bilirubin in serum or plasma&lt;/title&gt;&lt;secondary-title&gt;Microchem. J.&lt;/secondary-title&gt;&lt;/titles&gt;&lt;periodical&gt;&lt;full-title&gt;Microchem. J.&lt;/full-title&gt;&lt;/periodical&gt;&lt;pages&gt;231-243&lt;/pages&gt;&lt;volume&gt;15&lt;/volume&gt;&lt;number&gt;2&lt;/number&gt;&lt;dates&gt;&lt;year&gt;1970&lt;/year&gt;&lt;/dates&gt;&lt;isbn&gt;0026-265X&lt;/isbn&gt;&lt;urls&gt;&lt;/urls&gt;&lt;/record&gt;&lt;/Cite&gt;&lt;/EndNote&gt;</w:instrText>
      </w:r>
      <w:r>
        <w:rPr>
          <w:rFonts w:asciiTheme="majorBidi" w:hAnsiTheme="majorBidi" w:cstheme="majorBidi"/>
          <w:sz w:val="24"/>
          <w:szCs w:val="24"/>
        </w:rPr>
        <w:fldChar w:fldCharType="separate"/>
      </w:r>
      <w:r w:rsidR="00374F8C">
        <w:rPr>
          <w:rFonts w:asciiTheme="majorBidi" w:hAnsiTheme="majorBidi" w:cstheme="majorBidi"/>
          <w:noProof/>
          <w:sz w:val="24"/>
          <w:szCs w:val="24"/>
        </w:rPr>
        <w:t>[6]</w:t>
      </w:r>
      <w:r>
        <w:rPr>
          <w:rFonts w:asciiTheme="majorBidi" w:hAnsiTheme="majorBidi" w:cstheme="majorBidi"/>
          <w:sz w:val="24"/>
          <w:szCs w:val="24"/>
        </w:rPr>
        <w:fldChar w:fldCharType="end"/>
      </w:r>
      <w:r>
        <w:rPr>
          <w:rFonts w:asciiTheme="majorBidi" w:hAnsiTheme="majorBidi" w:cstheme="majorBidi"/>
          <w:sz w:val="24"/>
          <w:szCs w:val="24"/>
        </w:rPr>
        <w:t xml:space="preserve">. </w:t>
      </w:r>
      <w:r>
        <w:rPr>
          <w:rFonts w:ascii="STIXGeneral-Regular" w:eastAsia="Times New Roman" w:hAnsi="STIXGeneral-Regular" w:cs="Times New Roman"/>
          <w:sz w:val="24"/>
          <w:szCs w:val="24"/>
        </w:rPr>
        <w:t xml:space="preserve">A commercial kit (Biotechnical; </w:t>
      </w:r>
      <w:proofErr w:type="spellStart"/>
      <w:r>
        <w:rPr>
          <w:rFonts w:ascii="STIXGeneral-Regular" w:eastAsia="Times New Roman" w:hAnsi="STIXGeneral-Regular" w:cs="Times New Roman"/>
          <w:sz w:val="24"/>
          <w:szCs w:val="24"/>
        </w:rPr>
        <w:t>Varginha</w:t>
      </w:r>
      <w:proofErr w:type="spellEnd"/>
      <w:r>
        <w:rPr>
          <w:rFonts w:ascii="STIXGeneral-Regular" w:eastAsia="Times New Roman" w:hAnsi="STIXGeneral-Regular" w:cs="Times New Roman"/>
          <w:sz w:val="24"/>
          <w:szCs w:val="24"/>
        </w:rPr>
        <w:t xml:space="preserve">, Minas </w:t>
      </w:r>
      <w:proofErr w:type="spellStart"/>
      <w:r>
        <w:rPr>
          <w:rFonts w:ascii="STIXGeneral-Regular" w:eastAsia="Times New Roman" w:hAnsi="STIXGeneral-Regular" w:cs="Times New Roman"/>
          <w:sz w:val="24"/>
          <w:szCs w:val="24"/>
        </w:rPr>
        <w:t>Gerais</w:t>
      </w:r>
      <w:proofErr w:type="spellEnd"/>
      <w:r>
        <w:rPr>
          <w:rFonts w:ascii="STIXGeneral-Regular" w:eastAsia="Times New Roman" w:hAnsi="STIXGeneral-Regular" w:cs="Times New Roman"/>
          <w:sz w:val="24"/>
          <w:szCs w:val="24"/>
        </w:rPr>
        <w:t xml:space="preserve">, Brazil) was used to estimate the amount of creatinine in Dawley rats. It was calculated by following the method of </w:t>
      </w:r>
      <w:r>
        <w:rPr>
          <w:rFonts w:ascii="STIXGeneral-Regular" w:eastAsia="Times New Roman" w:hAnsi="STIXGeneral-Regular" w:cs="Times New Roman"/>
          <w:sz w:val="24"/>
          <w:szCs w:val="24"/>
        </w:rPr>
        <w:fldChar w:fldCharType="begin"/>
      </w:r>
      <w:r w:rsidR="00374F8C">
        <w:rPr>
          <w:rFonts w:ascii="STIXGeneral-Regular" w:eastAsia="Times New Roman" w:hAnsi="STIXGeneral-Regular" w:cs="Times New Roman"/>
          <w:sz w:val="24"/>
          <w:szCs w:val="24"/>
        </w:rPr>
        <w:instrText xml:space="preserve"> ADDIN EN.CITE &lt;EndNote&gt;&lt;Cite&gt;&lt;Author&gt;Rodrigues&lt;/Author&gt;&lt;Year&gt;2014&lt;/Year&gt;&lt;RecNum&gt;24&lt;/RecNum&gt;&lt;DisplayText&gt;[7]&lt;/DisplayText&gt;&lt;record&gt;&lt;rec-number&gt;24&lt;/rec-number&gt;&lt;foreign-keys&gt;&lt;key app="EN" db-id="e02avvaxz555aaeze9pp9xess0902te5xzdt" timestamp="1644231662"&gt;24&lt;/key&gt;&lt;/foreign-keys&gt;&lt;ref-type name="Journal Article"&gt;17&lt;/ref-type&gt;&lt;contributors&gt;&lt;authors&gt;&lt;author&gt;Rodrigues, Wellington Francisco&lt;/author&gt;&lt;author&gt;Miguel, Camila Botelho&lt;/author&gt;&lt;author&gt;Napimoga, Marcelo Henrique&lt;/author&gt;&lt;author&gt;Oliveira, Carlo Jose Freire&lt;/author&gt;&lt;author&gt;Lazo-Chica, Javier Emilio &lt;/author&gt;&lt;/authors&gt;&lt;/contributors&gt;&lt;titles&gt;&lt;title&gt;Establishing standards for studying renal function in mice through measurements of body size-adjusted creatinine and urea levels&lt;/title&gt;&lt;secondary-title&gt;Biomed Res. Int.&lt;/secondary-title&gt;&lt;/titles&gt;&lt;periodical&gt;&lt;full-title&gt;Biomed Res. Int.&lt;/full-title&gt;&lt;/periodical&gt;&lt;volume&gt;2014&lt;/volume&gt;&lt;dates&gt;&lt;year&gt;2014&lt;/year&gt;&lt;/dates&gt;&lt;isbn&gt;2314-6133&lt;/isbn&gt;&lt;urls&gt;&lt;/urls&gt;&lt;/record&gt;&lt;/Cite&gt;&lt;/EndNote&gt;</w:instrText>
      </w:r>
      <w:r>
        <w:rPr>
          <w:rFonts w:ascii="STIXGeneral-Regular" w:eastAsia="Times New Roman" w:hAnsi="STIXGeneral-Regular" w:cs="Times New Roman"/>
          <w:sz w:val="24"/>
          <w:szCs w:val="24"/>
        </w:rPr>
        <w:fldChar w:fldCharType="separate"/>
      </w:r>
      <w:r w:rsidR="00374F8C">
        <w:rPr>
          <w:rFonts w:ascii="STIXGeneral-Regular" w:eastAsia="Times New Roman" w:hAnsi="STIXGeneral-Regular" w:cs="Times New Roman"/>
          <w:noProof/>
          <w:sz w:val="24"/>
          <w:szCs w:val="24"/>
        </w:rPr>
        <w:t>[7]</w:t>
      </w:r>
      <w:r>
        <w:rPr>
          <w:rFonts w:ascii="STIXGeneral-Regular" w:eastAsia="Times New Roman" w:hAnsi="STIXGeneral-Regular" w:cs="Times New Roman"/>
          <w:sz w:val="24"/>
          <w:szCs w:val="24"/>
        </w:rPr>
        <w:fldChar w:fldCharType="end"/>
      </w:r>
      <w:r>
        <w:rPr>
          <w:rFonts w:ascii="STIXGeneral-Regular" w:eastAsia="Times New Roman" w:hAnsi="STIXGeneral-Regular" w:cs="Times New Roman"/>
          <w:sz w:val="24"/>
          <w:szCs w:val="24"/>
        </w:rPr>
        <w:t xml:space="preserve">. </w:t>
      </w:r>
      <w:r>
        <w:rPr>
          <w:rFonts w:asciiTheme="majorBidi" w:hAnsiTheme="majorBidi" w:cstheme="majorBidi"/>
          <w:sz w:val="24"/>
          <w:szCs w:val="24"/>
        </w:rPr>
        <w:t xml:space="preserve">The colorimetric method was used for the assessment of albumin in rats. For that purpose </w:t>
      </w:r>
      <w:r>
        <w:rPr>
          <w:rFonts w:asciiTheme="majorBidi" w:hAnsiTheme="majorBidi" w:cstheme="majorBidi"/>
          <w:sz w:val="24"/>
          <w:szCs w:val="24"/>
        </w:rPr>
        <w:fldChar w:fldCharType="begin"/>
      </w:r>
      <w:r w:rsidR="00374F8C">
        <w:rPr>
          <w:rFonts w:asciiTheme="majorBidi" w:hAnsiTheme="majorBidi" w:cstheme="majorBidi"/>
          <w:sz w:val="24"/>
          <w:szCs w:val="24"/>
        </w:rPr>
        <w:instrText xml:space="preserve"> ADDIN EN.CITE &lt;EndNote&gt;&lt;Cite&gt;&lt;Author&gt;Gornall&lt;/Author&gt;&lt;Year&gt;1949&lt;/Year&gt;&lt;RecNum&gt;25&lt;/RecNum&gt;&lt;DisplayText&gt;[8]&lt;/DisplayText&gt;&lt;record&gt;&lt;rec-number&gt;25&lt;/rec-number&gt;&lt;foreign-keys&gt;&lt;key app="EN" db-id="e02avvaxz555aaeze9pp9xess0902te5xzdt" timestamp="1644232002"&gt;25&lt;/key&gt;&lt;/foreign-keys&gt;&lt;ref-type name="Journal Article"&gt;17&lt;/ref-type&gt;&lt;contributors&gt;&lt;authors&gt;&lt;author&gt;Gornall, Allan G&lt;/author&gt;&lt;author&gt;Bardawill, Charles J&lt;/author&gt;&lt;author&gt;David, Maxima M &lt;/author&gt;&lt;/authors&gt;&lt;/contributors&gt;&lt;titles&gt;&lt;title&gt;Determination of serum proteins by means of the biuret reaction&lt;/title&gt;&lt;secondary-title&gt;J. biol. Chem&lt;/secondary-title&gt;&lt;/titles&gt;&lt;periodical&gt;&lt;full-title&gt;J. biol. Chem&lt;/full-title&gt;&lt;/periodical&gt;&lt;pages&gt;751-766&lt;/pages&gt;&lt;volume&gt;177&lt;/volume&gt;&lt;number&gt;2&lt;/number&gt;&lt;dates&gt;&lt;year&gt;1949&lt;/year&gt;&lt;/dates&gt;&lt;urls&gt;&lt;/urls&gt;&lt;/record&gt;&lt;/Cite&gt;&lt;/EndNote&gt;</w:instrText>
      </w:r>
      <w:r>
        <w:rPr>
          <w:rFonts w:asciiTheme="majorBidi" w:hAnsiTheme="majorBidi" w:cstheme="majorBidi"/>
          <w:sz w:val="24"/>
          <w:szCs w:val="24"/>
        </w:rPr>
        <w:fldChar w:fldCharType="separate"/>
      </w:r>
      <w:r w:rsidR="00374F8C">
        <w:rPr>
          <w:rFonts w:asciiTheme="majorBidi" w:hAnsiTheme="majorBidi" w:cstheme="majorBidi"/>
          <w:noProof/>
          <w:sz w:val="24"/>
          <w:szCs w:val="24"/>
        </w:rPr>
        <w:t>[8]</w:t>
      </w:r>
      <w:r>
        <w:rPr>
          <w:rFonts w:asciiTheme="majorBidi" w:hAnsiTheme="majorBidi" w:cstheme="majorBidi"/>
          <w:sz w:val="24"/>
          <w:szCs w:val="24"/>
        </w:rPr>
        <w:fldChar w:fldCharType="end"/>
      </w:r>
      <w:r>
        <w:rPr>
          <w:rFonts w:asciiTheme="majorBidi" w:hAnsiTheme="majorBidi" w:cstheme="majorBidi"/>
          <w:sz w:val="24"/>
          <w:szCs w:val="24"/>
        </w:rPr>
        <w:t xml:space="preserve"> method was used. </w:t>
      </w:r>
    </w:p>
    <w:p w:rsidR="000D4261" w:rsidRDefault="000D4261" w:rsidP="000D4261">
      <w:pPr>
        <w:spacing w:before="120" w:after="120" w:line="480" w:lineRule="auto"/>
        <w:ind w:right="26"/>
        <w:jc w:val="both"/>
        <w:rPr>
          <w:rFonts w:asciiTheme="majorBidi" w:hAnsiTheme="majorBidi" w:cstheme="majorBidi"/>
          <w:b/>
          <w:bCs/>
          <w:sz w:val="24"/>
          <w:szCs w:val="24"/>
        </w:rPr>
      </w:pPr>
      <w:r>
        <w:rPr>
          <w:rFonts w:asciiTheme="majorBidi" w:hAnsiTheme="majorBidi" w:cstheme="majorBidi"/>
          <w:b/>
          <w:bCs/>
          <w:sz w:val="24"/>
          <w:szCs w:val="24"/>
        </w:rPr>
        <w:t>Superoxide dismutase</w:t>
      </w:r>
      <w:r>
        <w:rPr>
          <w:rFonts w:asciiTheme="majorBidi" w:hAnsiTheme="majorBidi" w:cstheme="majorBidi"/>
          <w:b/>
          <w:bCs/>
          <w:spacing w:val="-3"/>
          <w:sz w:val="24"/>
          <w:szCs w:val="24"/>
        </w:rPr>
        <w:t xml:space="preserve"> </w:t>
      </w:r>
      <w:r>
        <w:rPr>
          <w:rFonts w:asciiTheme="majorBidi" w:hAnsiTheme="majorBidi" w:cstheme="majorBidi"/>
          <w:b/>
          <w:bCs/>
          <w:sz w:val="24"/>
          <w:szCs w:val="24"/>
        </w:rPr>
        <w:t>(SOD) and Catalase (CAT)</w:t>
      </w:r>
    </w:p>
    <w:p w:rsidR="000D4261" w:rsidRDefault="000D4261" w:rsidP="00374F8C">
      <w:pPr>
        <w:pStyle w:val="BodyText"/>
        <w:spacing w:before="1" w:line="480" w:lineRule="auto"/>
        <w:ind w:right="117"/>
        <w:jc w:val="both"/>
        <w:rPr>
          <w:rFonts w:asciiTheme="majorBidi" w:hAnsiTheme="majorBidi" w:cstheme="majorBidi"/>
        </w:rPr>
      </w:pPr>
      <w:r>
        <w:rPr>
          <w:rFonts w:asciiTheme="majorBidi" w:hAnsiTheme="majorBidi" w:cstheme="majorBidi"/>
        </w:rPr>
        <w:lastRenderedPageBreak/>
        <w:t xml:space="preserve">The activity of superoxide dismutase was found through a spectrophotometer as described by </w:t>
      </w:r>
      <w:r>
        <w:rPr>
          <w:rFonts w:asciiTheme="majorBidi" w:hAnsiTheme="majorBidi" w:cstheme="majorBidi"/>
        </w:rPr>
        <w:fldChar w:fldCharType="begin"/>
      </w:r>
      <w:r w:rsidR="00374F8C">
        <w:rPr>
          <w:rFonts w:asciiTheme="majorBidi" w:hAnsiTheme="majorBidi" w:cstheme="majorBidi"/>
        </w:rPr>
        <w:instrText xml:space="preserve"> ADDIN EN.CITE &lt;EndNote&gt;&lt;Cite&gt;&lt;Author&gt;Abdel-Latif&lt;/Author&gt;&lt;Year&gt;2020&lt;/Year&gt;&lt;RecNum&gt;27&lt;/RecNum&gt;&lt;DisplayText&gt;[9]&lt;/DisplayText&gt;&lt;record&gt;&lt;rec-number&gt;27&lt;/rec-number&gt;&lt;foreign-keys&gt;&lt;key app="EN" db-id="e02avvaxz555aaeze9pp9xess0902te5xzdt" timestamp="1644232268"&gt;27&lt;/key&gt;&lt;/foreign-keys&gt;&lt;ref-type name="Journal Article"&gt;17&lt;/ref-type&gt;&lt;contributors&gt;&lt;authors&gt;&lt;author&gt;Abdel-Latif, Hany MR&lt;/author&gt;&lt;author&gt;Soliman, Ali A&lt;/author&gt;&lt;author&gt;Sewilam, Hani&lt;/author&gt;&lt;author&gt;Almeer, Rafa&lt;/author&gt;&lt;author&gt;Van Doan, Hien&lt;/author&gt;&lt;author&gt;Alagawany, Mahmoud&lt;/author&gt;&lt;author&gt;Dawood, Mahmoud AO &lt;/author&gt;&lt;/authors&gt;&lt;/contributors&gt;&lt;titles&gt;&lt;title&gt;The influence of raffinose on the growth performance, oxidative status, and immunity in Nile tilapia (Oreochromis niloticus)&lt;/title&gt;&lt;secondary-title&gt;Aquac&lt;/secondary-title&gt;&lt;/titles&gt;&lt;periodical&gt;&lt;full-title&gt;Aquac&lt;/full-title&gt;&lt;/periodical&gt;&lt;pages&gt;100457&lt;/pages&gt;&lt;volume&gt;18&lt;/volume&gt;&lt;dates&gt;&lt;year&gt;2020&lt;/year&gt;&lt;/dates&gt;&lt;isbn&gt;2352-5134&lt;/isbn&gt;&lt;urls&gt;&lt;/urls&gt;&lt;/record&gt;&lt;/Cite&gt;&lt;/EndNote&gt;</w:instrText>
      </w:r>
      <w:r>
        <w:rPr>
          <w:rFonts w:asciiTheme="majorBidi" w:hAnsiTheme="majorBidi" w:cstheme="majorBidi"/>
        </w:rPr>
        <w:fldChar w:fldCharType="separate"/>
      </w:r>
      <w:r w:rsidR="00374F8C">
        <w:rPr>
          <w:rFonts w:asciiTheme="majorBidi" w:hAnsiTheme="majorBidi" w:cstheme="majorBidi"/>
          <w:noProof/>
        </w:rPr>
        <w:t>[9]</w:t>
      </w:r>
      <w:r>
        <w:rPr>
          <w:rFonts w:asciiTheme="majorBidi" w:hAnsiTheme="majorBidi" w:cstheme="majorBidi"/>
        </w:rPr>
        <w:fldChar w:fldCharType="end"/>
      </w:r>
      <w:r>
        <w:rPr>
          <w:rFonts w:asciiTheme="majorBidi" w:hAnsiTheme="majorBidi" w:cstheme="majorBidi"/>
        </w:rPr>
        <w:t xml:space="preserve">. The catalase activity in the liver tissues of rats was assessed by the method described </w:t>
      </w:r>
      <w:r>
        <w:rPr>
          <w:rFonts w:asciiTheme="majorBidi" w:hAnsiTheme="majorBidi" w:cstheme="majorBidi"/>
        </w:rPr>
        <w:fldChar w:fldCharType="begin"/>
      </w:r>
      <w:r w:rsidR="00374F8C">
        <w:rPr>
          <w:rFonts w:asciiTheme="majorBidi" w:hAnsiTheme="majorBidi" w:cstheme="majorBidi"/>
        </w:rPr>
        <w:instrText xml:space="preserve"> ADDIN EN.CITE &lt;EndNote&gt;&lt;Cite&gt;&lt;Author&gt;Krishnamoorthy&lt;/Author&gt;&lt;Year&gt;2016&lt;/Year&gt;&lt;RecNum&gt;28&lt;/RecNum&gt;&lt;DisplayText&gt;[10]&lt;/DisplayText&gt;&lt;record&gt;&lt;rec-number&gt;28&lt;/rec-number&gt;&lt;foreign-keys&gt;&lt;key app="EN" db-id="e02avvaxz555aaeze9pp9xess0902te5xzdt" timestamp="1644232376"&gt;28&lt;/key&gt;&lt;/foreign-keys&gt;&lt;ref-type name="Journal Article"&gt;17&lt;/ref-type&gt;&lt;contributors&gt;&lt;authors&gt;&lt;author&gt;Krishnamoorthy, Deepalakshmi&lt;/author&gt;&lt;author&gt;Sankaran, Mirunalini &lt;/author&gt;&lt;/authors&gt;&lt;/contributors&gt;&lt;titles&gt;&lt;title&gt;Modulatory effect of Pleurotus ostreatus on oxidant/antioxidant status in 7, 12-dimethylbenz (a) anthracene induced mammary carcinoma in experimental rats-A dose-response study&lt;/title&gt;&lt;secondary-title&gt;J. Cancer Res. Ther.&lt;/secondary-title&gt;&lt;/titles&gt;&lt;periodical&gt;&lt;full-title&gt;J. Cancer Res. Ther.&lt;/full-title&gt;&lt;/periodical&gt;&lt;pages&gt;386&lt;/pages&gt;&lt;volume&gt;12&lt;/volume&gt;&lt;number&gt;1&lt;/number&gt;&lt;dates&gt;&lt;year&gt;2016&lt;/year&gt;&lt;/dates&gt;&lt;isbn&gt;0973-1482&lt;/isbn&gt;&lt;urls&gt;&lt;/urls&gt;&lt;/record&gt;&lt;/Cite&gt;&lt;/EndNote&gt;</w:instrText>
      </w:r>
      <w:r>
        <w:rPr>
          <w:rFonts w:asciiTheme="majorBidi" w:hAnsiTheme="majorBidi" w:cstheme="majorBidi"/>
        </w:rPr>
        <w:fldChar w:fldCharType="separate"/>
      </w:r>
      <w:r w:rsidR="00374F8C">
        <w:rPr>
          <w:rFonts w:asciiTheme="majorBidi" w:hAnsiTheme="majorBidi" w:cstheme="majorBidi"/>
          <w:noProof/>
        </w:rPr>
        <w:t>[10]</w:t>
      </w:r>
      <w:r>
        <w:rPr>
          <w:rFonts w:asciiTheme="majorBidi" w:hAnsiTheme="majorBidi" w:cstheme="majorBidi"/>
        </w:rPr>
        <w:fldChar w:fldCharType="end"/>
      </w:r>
      <w:r>
        <w:rPr>
          <w:rFonts w:asciiTheme="majorBidi" w:hAnsiTheme="majorBidi" w:cstheme="majorBidi"/>
        </w:rPr>
        <w:t xml:space="preserve">. </w:t>
      </w:r>
    </w:p>
    <w:p w:rsidR="000D4261" w:rsidRDefault="000D4261" w:rsidP="000D4261">
      <w:pPr>
        <w:pStyle w:val="BodyText"/>
        <w:spacing w:before="1" w:line="480" w:lineRule="auto"/>
        <w:ind w:right="117"/>
        <w:jc w:val="both"/>
        <w:rPr>
          <w:rFonts w:asciiTheme="majorBidi" w:hAnsiTheme="majorBidi" w:cstheme="majorBidi"/>
          <w:b/>
          <w:bCs/>
        </w:rPr>
      </w:pPr>
      <w:r>
        <w:rPr>
          <w:rFonts w:asciiTheme="majorBidi" w:hAnsiTheme="majorBidi" w:cstheme="majorBidi"/>
          <w:b/>
          <w:bCs/>
        </w:rPr>
        <w:t>Histological Examination</w:t>
      </w:r>
    </w:p>
    <w:p w:rsidR="000D4261" w:rsidRDefault="000D4261" w:rsidP="00374F8C">
      <w:pPr>
        <w:pStyle w:val="BodyText"/>
        <w:spacing w:before="1" w:line="480" w:lineRule="auto"/>
        <w:ind w:right="117"/>
        <w:jc w:val="both"/>
        <w:rPr>
          <w:rFonts w:asciiTheme="majorBidi" w:hAnsiTheme="majorBidi" w:cstheme="majorBidi"/>
        </w:rPr>
      </w:pPr>
      <w:r>
        <w:rPr>
          <w:rFonts w:asciiTheme="majorBidi" w:hAnsiTheme="majorBidi" w:cstheme="majorBidi"/>
        </w:rPr>
        <w:t xml:space="preserve">The process includes fixation, dehydration, clearing, blocking out, embedding followed by </w:t>
      </w:r>
      <w:proofErr w:type="spellStart"/>
      <w:r>
        <w:rPr>
          <w:rFonts w:asciiTheme="majorBidi" w:hAnsiTheme="majorBidi" w:cstheme="majorBidi"/>
        </w:rPr>
        <w:t>microtomy</w:t>
      </w:r>
      <w:proofErr w:type="spellEnd"/>
      <w:r>
        <w:rPr>
          <w:rFonts w:asciiTheme="majorBidi" w:hAnsiTheme="majorBidi" w:cstheme="majorBidi"/>
        </w:rPr>
        <w:t xml:space="preserve">, mounting and sectioning. A microtome was used to slice the thick sections (5 </w:t>
      </w:r>
      <w:proofErr w:type="spellStart"/>
      <w:r>
        <w:rPr>
          <w:rFonts w:asciiTheme="majorBidi" w:hAnsiTheme="majorBidi" w:cstheme="majorBidi"/>
        </w:rPr>
        <w:t>μm</w:t>
      </w:r>
      <w:proofErr w:type="spellEnd"/>
      <w:r>
        <w:rPr>
          <w:rFonts w:asciiTheme="majorBidi" w:hAnsiTheme="majorBidi" w:cstheme="majorBidi"/>
        </w:rPr>
        <w:t xml:space="preserve">) of liver tissues on glass slides. After that process of staining was done by using hematoxylin-eosin and periodic acid- Schiff </w:t>
      </w:r>
      <w:r>
        <w:rPr>
          <w:rFonts w:asciiTheme="majorBidi" w:hAnsiTheme="majorBidi" w:cstheme="majorBidi"/>
        </w:rPr>
        <w:fldChar w:fldCharType="begin"/>
      </w:r>
      <w:r w:rsidR="00374F8C">
        <w:rPr>
          <w:rFonts w:asciiTheme="majorBidi" w:hAnsiTheme="majorBidi" w:cstheme="majorBidi"/>
        </w:rPr>
        <w:instrText xml:space="preserve"> ADDIN EN.CITE &lt;EndNote&gt;&lt;Cite&gt;&lt;Author&gt;Chen&lt;/Author&gt;&lt;Year&gt;2020&lt;/Year&gt;&lt;RecNum&gt;30&lt;/RecNum&gt;&lt;DisplayText&gt;[11]&lt;/DisplayText&gt;&lt;record&gt;&lt;rec-number&gt;30&lt;/rec-number&gt;&lt;foreign-keys&gt;&lt;key app="EN" db-id="e02avvaxz555aaeze9pp9xess0902te5xzdt" timestamp="1644232561"&gt;30&lt;/key&gt;&lt;/foreign-keys&gt;&lt;ref-type name="Journal Article"&gt;17&lt;/ref-type&gt;&lt;contributors&gt;&lt;authors&gt;&lt;author&gt;Chen, Mingyu&lt;/author&gt;&lt;author&gt;Zhang, Bin&lt;/author&gt;&lt;author&gt;Topatana, Win&lt;/author&gt;&lt;author&gt;Cao, Jiasheng&lt;/author&gt;&lt;author&gt;Zhu, Hepan&lt;/author&gt;&lt;author&gt;Juengpanich, Sarun&lt;/author&gt;&lt;author&gt;Mao, Qijiang&lt;/author&gt;&lt;author&gt;Yu, Hong&lt;/author&gt;&lt;author&gt;Cai, Xiujun&lt;/author&gt;&lt;/authors&gt;&lt;/contributors&gt;&lt;titles&gt;&lt;title&gt;Classification and mutation prediction based on histopathology H&amp;amp;E images in liver cancer using deep learning&lt;/title&gt;&lt;secondary-title&gt;NPJ precision oncology&lt;/secondary-title&gt;&lt;/titles&gt;&lt;periodical&gt;&lt;full-title&gt;NPJ precision oncology&lt;/full-title&gt;&lt;/periodical&gt;&lt;pages&gt;1-7&lt;/pages&gt;&lt;volume&gt;4&lt;/volume&gt;&lt;number&gt;1&lt;/number&gt;&lt;dates&gt;&lt;year&gt;2020&lt;/year&gt;&lt;/dates&gt;&lt;isbn&gt;2397-768X&lt;/isbn&gt;&lt;urls&gt;&lt;/urls&gt;&lt;/record&gt;&lt;/Cite&gt;&lt;/EndNote&gt;</w:instrText>
      </w:r>
      <w:r>
        <w:rPr>
          <w:rFonts w:asciiTheme="majorBidi" w:hAnsiTheme="majorBidi" w:cstheme="majorBidi"/>
        </w:rPr>
        <w:fldChar w:fldCharType="separate"/>
      </w:r>
      <w:r w:rsidR="00374F8C">
        <w:rPr>
          <w:rFonts w:asciiTheme="majorBidi" w:hAnsiTheme="majorBidi" w:cstheme="majorBidi"/>
          <w:noProof/>
        </w:rPr>
        <w:t>[11]</w:t>
      </w:r>
      <w:r>
        <w:rPr>
          <w:rFonts w:asciiTheme="majorBidi" w:hAnsiTheme="majorBidi" w:cstheme="majorBidi"/>
        </w:rPr>
        <w:fldChar w:fldCharType="end"/>
      </w:r>
      <w:r>
        <w:rPr>
          <w:rFonts w:asciiTheme="majorBidi" w:hAnsiTheme="majorBidi" w:cstheme="majorBidi"/>
        </w:rPr>
        <w:t xml:space="preserve">. The images of the slides were taken by using the light microscope (MCX 100, Micros Austria). </w:t>
      </w:r>
    </w:p>
    <w:p w:rsidR="000D4261" w:rsidRDefault="000D4261" w:rsidP="000D4261">
      <w:pPr>
        <w:pStyle w:val="BodyText"/>
        <w:spacing w:before="1" w:line="480" w:lineRule="auto"/>
        <w:ind w:right="117"/>
        <w:jc w:val="both"/>
        <w:rPr>
          <w:rFonts w:asciiTheme="majorBidi" w:hAnsiTheme="majorBidi" w:cstheme="majorBidi"/>
          <w:b/>
          <w:bCs/>
        </w:rPr>
      </w:pPr>
      <w:r>
        <w:rPr>
          <w:rFonts w:asciiTheme="majorBidi" w:hAnsiTheme="majorBidi" w:cstheme="majorBidi"/>
          <w:b/>
          <w:bCs/>
        </w:rPr>
        <w:t>Gene expression analysis</w:t>
      </w:r>
    </w:p>
    <w:p w:rsidR="000D4261" w:rsidRDefault="000D4261" w:rsidP="00374F8C">
      <w:pPr>
        <w:pStyle w:val="BodyText"/>
        <w:spacing w:line="480" w:lineRule="auto"/>
        <w:jc w:val="both"/>
        <w:rPr>
          <w:rFonts w:asciiTheme="majorBidi" w:hAnsiTheme="majorBidi" w:cstheme="majorBidi"/>
        </w:rPr>
      </w:pPr>
      <w:r>
        <w:rPr>
          <w:rFonts w:asciiTheme="majorBidi" w:hAnsiTheme="majorBidi" w:cstheme="majorBidi"/>
        </w:rPr>
        <w:t>Liver tissue homogenates were quantified with the help of quantitative real-time PCR (</w:t>
      </w:r>
      <w:proofErr w:type="spellStart"/>
      <w:r>
        <w:rPr>
          <w:rFonts w:asciiTheme="majorBidi" w:hAnsiTheme="majorBidi" w:cstheme="majorBidi"/>
        </w:rPr>
        <w:t>qRT</w:t>
      </w:r>
      <w:proofErr w:type="spellEnd"/>
      <w:r>
        <w:rPr>
          <w:rFonts w:asciiTheme="majorBidi" w:hAnsiTheme="majorBidi" w:cstheme="majorBidi"/>
        </w:rPr>
        <w:t>-PCR). For this purpose, Maxima SYBR Green/ROX Master Mix on the iQ5 Bio-Rad</w:t>
      </w:r>
      <w:r>
        <w:rPr>
          <w:rFonts w:asciiTheme="majorBidi" w:hAnsiTheme="majorBidi" w:cstheme="majorBidi"/>
        </w:rPr>
        <w:tab/>
        <w:t>system was used. RNA was isolated from liver tissues by using the TRIZOL method (</w:t>
      </w:r>
      <w:proofErr w:type="spellStart"/>
      <w:r>
        <w:rPr>
          <w:rFonts w:asciiTheme="majorBidi" w:hAnsiTheme="majorBidi" w:cstheme="majorBidi"/>
        </w:rPr>
        <w:t>ThermoFisher</w:t>
      </w:r>
      <w:proofErr w:type="spellEnd"/>
      <w:r>
        <w:rPr>
          <w:rFonts w:asciiTheme="majorBidi" w:hAnsiTheme="majorBidi" w:cstheme="majorBidi"/>
        </w:rPr>
        <w:t xml:space="preserve"> Scientific), by this way cDNA was prepared. Beta-actin as a housekeeping gene was used. During PCR, for 15sec at 94°C </w:t>
      </w:r>
      <w:proofErr w:type="spellStart"/>
      <w:r>
        <w:rPr>
          <w:rFonts w:asciiTheme="majorBidi" w:hAnsiTheme="majorBidi" w:cstheme="majorBidi"/>
        </w:rPr>
        <w:t>denaturations</w:t>
      </w:r>
      <w:proofErr w:type="spellEnd"/>
      <w:r>
        <w:rPr>
          <w:rFonts w:asciiTheme="majorBidi" w:hAnsiTheme="majorBidi" w:cstheme="majorBidi"/>
        </w:rPr>
        <w:t xml:space="preserve"> of the template (cDNA) were done. The temperature for annealing and extension was 59°C and 94°C respectively. Analyzation of values was done using the 2*(−</w:t>
      </w:r>
      <w:proofErr w:type="spellStart"/>
      <w:r>
        <w:rPr>
          <w:rFonts w:asciiTheme="majorBidi" w:hAnsiTheme="majorBidi" w:cstheme="majorBidi"/>
        </w:rPr>
        <w:t>ΔΔct</w:t>
      </w:r>
      <w:proofErr w:type="spellEnd"/>
      <w:r>
        <w:rPr>
          <w:rFonts w:asciiTheme="majorBidi" w:hAnsiTheme="majorBidi" w:cstheme="majorBidi"/>
        </w:rPr>
        <w:t xml:space="preserve">) method </w:t>
      </w:r>
      <w:r>
        <w:rPr>
          <w:rFonts w:asciiTheme="majorBidi" w:hAnsiTheme="majorBidi" w:cstheme="majorBidi"/>
        </w:rPr>
        <w:fldChar w:fldCharType="begin"/>
      </w:r>
      <w:r w:rsidR="00374F8C">
        <w:rPr>
          <w:rFonts w:asciiTheme="majorBidi" w:hAnsiTheme="majorBidi" w:cstheme="majorBidi"/>
        </w:rPr>
        <w:instrText xml:space="preserve"> ADDIN EN.CITE &lt;EndNote&gt;&lt;Cite&gt;&lt;Author&gt;Orvis&lt;/Author&gt;&lt;Year&gt;2021&lt;/Year&gt;&lt;RecNum&gt;31&lt;/RecNum&gt;&lt;DisplayText&gt;[12]&lt;/DisplayText&gt;&lt;record&gt;&lt;rec-number&gt;31&lt;/rec-number&gt;&lt;foreign-keys&gt;&lt;key app="EN" db-id="e02avvaxz555aaeze9pp9xess0902te5xzdt" timestamp="1644232993"&gt;31&lt;/key&gt;&lt;/foreign-keys&gt;&lt;ref-type name="Journal Article"&gt;17&lt;/ref-type&gt;&lt;contributors&gt;&lt;authors&gt;&lt;author&gt;Orvis, Joshua&lt;/author&gt;&lt;author&gt;Gottfried, Brian&lt;/author&gt;&lt;author&gt;Kancherla, Jayaram&lt;/author&gt;&lt;author&gt;Adkins, Ricky S&lt;/author&gt;&lt;author&gt;Song, Yang&lt;/author&gt;&lt;author&gt;Dror, Amiel A&lt;/author&gt;&lt;author&gt;Olley, Dustin&lt;/author&gt;&lt;author&gt;Rose, Kevin&lt;/author&gt;&lt;author&gt;Chrysostomou, Elena&lt;/author&gt;&lt;author&gt;Kelly, Michael C&lt;/author&gt;&lt;/authors&gt;&lt;/contributors&gt;&lt;titles&gt;&lt;title&gt;gEAR: Gene Expression Analysis Resource portal for community-driven, multi-omic data exploration&lt;/title&gt;&lt;secondary-title&gt;Nat. Methods&lt;/secondary-title&gt;&lt;/titles&gt;&lt;periodical&gt;&lt;full-title&gt;Nat. Methods&lt;/full-title&gt;&lt;/periodical&gt;&lt;pages&gt;843-844&lt;/pages&gt;&lt;volume&gt;18&lt;/volume&gt;&lt;number&gt;8&lt;/number&gt;&lt;dates&gt;&lt;year&gt;2021&lt;/year&gt;&lt;/dates&gt;&lt;isbn&gt;1548-7105&lt;/isbn&gt;&lt;urls&gt;&lt;/urls&gt;&lt;/record&gt;&lt;/Cite&gt;&lt;/EndNote&gt;</w:instrText>
      </w:r>
      <w:r>
        <w:rPr>
          <w:rFonts w:asciiTheme="majorBidi" w:hAnsiTheme="majorBidi" w:cstheme="majorBidi"/>
        </w:rPr>
        <w:fldChar w:fldCharType="separate"/>
      </w:r>
      <w:r w:rsidR="00374F8C">
        <w:rPr>
          <w:rFonts w:asciiTheme="majorBidi" w:hAnsiTheme="majorBidi" w:cstheme="majorBidi"/>
          <w:noProof/>
        </w:rPr>
        <w:t>[12]</w:t>
      </w:r>
      <w:r>
        <w:rPr>
          <w:rFonts w:asciiTheme="majorBidi" w:hAnsiTheme="majorBidi" w:cstheme="majorBidi"/>
        </w:rPr>
        <w:fldChar w:fldCharType="end"/>
      </w:r>
      <w:r>
        <w:rPr>
          <w:rFonts w:asciiTheme="majorBidi" w:hAnsiTheme="majorBidi" w:cstheme="majorBidi"/>
        </w:rPr>
        <w:t>. The base pairs were used as shown in Tab</w:t>
      </w:r>
      <w:r w:rsidR="00620862">
        <w:rPr>
          <w:rFonts w:asciiTheme="majorBidi" w:hAnsiTheme="majorBidi" w:cstheme="majorBidi"/>
        </w:rPr>
        <w:t>le 2</w:t>
      </w:r>
      <w:r>
        <w:rPr>
          <w:rFonts w:asciiTheme="majorBidi" w:hAnsiTheme="majorBidi" w:cstheme="majorBidi"/>
        </w:rPr>
        <w:t xml:space="preserve">. </w:t>
      </w:r>
    </w:p>
    <w:p w:rsidR="00444F7D" w:rsidRDefault="00444F7D" w:rsidP="000D4261">
      <w:pPr>
        <w:pStyle w:val="BodyText"/>
        <w:spacing w:line="480" w:lineRule="auto"/>
        <w:jc w:val="both"/>
        <w:rPr>
          <w:rFonts w:asciiTheme="majorBidi" w:hAnsiTheme="majorBidi" w:cstheme="majorBidi"/>
        </w:rPr>
      </w:pPr>
    </w:p>
    <w:p w:rsidR="00444F7D" w:rsidRDefault="00444F7D" w:rsidP="00444F7D">
      <w:pPr>
        <w:rPr>
          <w:rFonts w:asciiTheme="majorBidi" w:hAnsiTheme="majorBidi" w:cstheme="majorBidi"/>
          <w:b/>
          <w:bCs/>
          <w:sz w:val="24"/>
          <w:szCs w:val="24"/>
          <w:shd w:val="clear" w:color="auto" w:fill="FFFFFF"/>
        </w:rPr>
      </w:pPr>
      <w:proofErr w:type="gramStart"/>
      <w:r>
        <w:rPr>
          <w:rFonts w:asciiTheme="majorBidi" w:hAnsiTheme="majorBidi" w:cstheme="majorBidi"/>
          <w:b/>
          <w:bCs/>
          <w:sz w:val="24"/>
          <w:szCs w:val="24"/>
          <w:shd w:val="clear" w:color="auto" w:fill="FFFFFF"/>
        </w:rPr>
        <w:t>Table 2.</w:t>
      </w:r>
      <w:proofErr w:type="gramEnd"/>
      <w:r>
        <w:rPr>
          <w:rFonts w:asciiTheme="majorBidi" w:hAnsiTheme="majorBidi" w:cstheme="majorBidi"/>
          <w:b/>
          <w:bCs/>
          <w:sz w:val="24"/>
          <w:szCs w:val="24"/>
          <w:shd w:val="clear" w:color="auto" w:fill="FFFFFF"/>
        </w:rPr>
        <w:t xml:space="preserve"> The sequence of primers for antioxidant, apoptosis and anti-apoptosis gene markers</w:t>
      </w:r>
    </w:p>
    <w:tbl>
      <w:tblPr>
        <w:tblW w:w="0" w:type="auto"/>
        <w:tblLook w:val="04A0" w:firstRow="1" w:lastRow="0" w:firstColumn="1" w:lastColumn="0" w:noHBand="0" w:noVBand="1"/>
      </w:tblPr>
      <w:tblGrid>
        <w:gridCol w:w="2463"/>
        <w:gridCol w:w="3643"/>
        <w:gridCol w:w="3470"/>
      </w:tblGrid>
      <w:tr w:rsidR="00444F7D" w:rsidTr="00444F7D">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Gene</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Sense primers</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Antisense primers</w:t>
            </w:r>
          </w:p>
        </w:tc>
      </w:tr>
      <w:tr w:rsidR="00444F7D" w:rsidTr="00444F7D">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NrF2</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CAAATCCATGTCCTGCTGGGA</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CTCCGACTAGCCATTGACGC</w:t>
            </w:r>
          </w:p>
        </w:tc>
      </w:tr>
      <w:tr w:rsidR="00444F7D" w:rsidTr="00444F7D">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BCl2</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GAAGAGTTCCTCCACCACCG</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GGGGATGACTTCTCTCGTCG</w:t>
            </w:r>
          </w:p>
        </w:tc>
      </w:tr>
      <w:tr w:rsidR="00444F7D" w:rsidTr="00444F7D">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BAX</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TAGGAAAGGAGGCCATCCCA</w:t>
            </w:r>
          </w:p>
        </w:tc>
        <w:tc>
          <w:tcPr>
            <w:tcW w:w="3192" w:type="dxa"/>
            <w:tcBorders>
              <w:top w:val="single" w:sz="4" w:space="0" w:color="auto"/>
              <w:left w:val="single" w:sz="4" w:space="0" w:color="auto"/>
              <w:bottom w:val="single" w:sz="4" w:space="0" w:color="auto"/>
              <w:right w:val="single" w:sz="4" w:space="0" w:color="auto"/>
            </w:tcBorders>
            <w:hideMark/>
          </w:tcPr>
          <w:p w:rsidR="00444F7D" w:rsidRDefault="00444F7D">
            <w:pPr>
              <w:spacing w:line="480" w:lineRule="auto"/>
              <w:jc w:val="both"/>
              <w:rPr>
                <w:rFonts w:asciiTheme="majorBidi" w:hAnsiTheme="majorBidi" w:cstheme="majorBidi"/>
                <w:sz w:val="24"/>
                <w:szCs w:val="24"/>
              </w:rPr>
            </w:pPr>
            <w:r>
              <w:rPr>
                <w:rFonts w:asciiTheme="majorBidi" w:hAnsiTheme="majorBidi" w:cstheme="majorBidi"/>
                <w:sz w:val="24"/>
                <w:szCs w:val="24"/>
              </w:rPr>
              <w:t>CACGTCTGCGGGGAGTCA</w:t>
            </w:r>
          </w:p>
        </w:tc>
      </w:tr>
    </w:tbl>
    <w:p w:rsidR="00444F7D" w:rsidRDefault="00444F7D" w:rsidP="000D4261">
      <w:pPr>
        <w:pStyle w:val="BodyText"/>
        <w:spacing w:line="480" w:lineRule="auto"/>
        <w:jc w:val="both"/>
        <w:rPr>
          <w:rFonts w:asciiTheme="majorBidi" w:hAnsiTheme="majorBidi" w:cstheme="majorBidi"/>
        </w:rPr>
      </w:pPr>
    </w:p>
    <w:p w:rsidR="000D4261" w:rsidRDefault="000D4261" w:rsidP="000D4261">
      <w:pPr>
        <w:pStyle w:val="BodyText"/>
        <w:spacing w:before="1" w:line="480" w:lineRule="auto"/>
        <w:ind w:right="117"/>
        <w:jc w:val="both"/>
        <w:rPr>
          <w:rFonts w:asciiTheme="majorBidi" w:hAnsiTheme="majorBidi" w:cstheme="majorBidi"/>
        </w:rPr>
      </w:pPr>
      <w:r>
        <w:rPr>
          <w:rFonts w:asciiTheme="majorBidi" w:hAnsiTheme="majorBidi" w:cstheme="majorBidi"/>
          <w:b/>
          <w:bCs/>
        </w:rPr>
        <w:t>Statistical analysis</w:t>
      </w:r>
    </w:p>
    <w:p w:rsidR="000D4261" w:rsidRDefault="000D4261" w:rsidP="000D4261">
      <w:pPr>
        <w:spacing w:before="120" w:after="120" w:line="480" w:lineRule="auto"/>
        <w:ind w:right="26"/>
        <w:jc w:val="both"/>
        <w:rPr>
          <w:rFonts w:asciiTheme="majorBidi" w:hAnsiTheme="majorBidi" w:cstheme="majorBidi"/>
          <w:sz w:val="24"/>
          <w:szCs w:val="24"/>
        </w:rPr>
      </w:pPr>
      <w:r>
        <w:rPr>
          <w:rFonts w:asciiTheme="majorBidi" w:hAnsiTheme="majorBidi" w:cstheme="majorBidi"/>
          <w:sz w:val="24"/>
          <w:szCs w:val="24"/>
        </w:rPr>
        <w:t xml:space="preserve">All the data were statistically studied by two-way ANOVA and reported as mean ± SE followed by Tuckey’s HSD test. Values were considered significant when p &lt; 0.05. </w:t>
      </w:r>
    </w:p>
    <w:p w:rsidR="00374F8C" w:rsidRPr="00B03628" w:rsidRDefault="00B03628" w:rsidP="00B03628">
      <w:pPr>
        <w:spacing w:before="120" w:after="120" w:line="480" w:lineRule="auto"/>
        <w:ind w:right="26"/>
        <w:jc w:val="both"/>
        <w:rPr>
          <w:rFonts w:asciiTheme="majorBidi" w:eastAsia="Times New Roman" w:hAnsiTheme="majorBidi" w:cstheme="majorBidi"/>
          <w:b/>
          <w:bCs/>
          <w:sz w:val="24"/>
          <w:szCs w:val="24"/>
          <w:lang w:val="en-GB" w:eastAsia="en-GB"/>
        </w:rPr>
      </w:pPr>
      <w:r>
        <w:rPr>
          <w:rFonts w:asciiTheme="majorBidi" w:hAnsiTheme="majorBidi" w:cstheme="majorBidi"/>
          <w:b/>
          <w:bCs/>
          <w:sz w:val="24"/>
          <w:szCs w:val="24"/>
        </w:rPr>
        <w:t>Reference</w:t>
      </w:r>
      <w:r w:rsidR="00B350A9">
        <w:rPr>
          <w:rFonts w:asciiTheme="majorBidi" w:hAnsiTheme="majorBidi" w:cstheme="majorBidi"/>
          <w:b/>
          <w:bCs/>
          <w:sz w:val="24"/>
          <w:szCs w:val="24"/>
        </w:rPr>
        <w:t>s</w:t>
      </w:r>
    </w:p>
    <w:p w:rsidR="00374F8C" w:rsidRPr="00374F8C" w:rsidRDefault="00374F8C" w:rsidP="00374F8C">
      <w:pPr>
        <w:pStyle w:val="EndNoteBibliography"/>
        <w:spacing w:after="0"/>
      </w:pPr>
      <w:r>
        <w:fldChar w:fldCharType="begin"/>
      </w:r>
      <w:r>
        <w:instrText xml:space="preserve"> ADDIN EN.REFLIST </w:instrText>
      </w:r>
      <w:r>
        <w:fldChar w:fldCharType="separate"/>
      </w:r>
      <w:r w:rsidR="00B03628">
        <w:t>1</w:t>
      </w:r>
      <w:r w:rsidR="00B03628">
        <w:tab/>
        <w:t xml:space="preserve">Sasidharan S, Y Chen </w:t>
      </w:r>
      <w:r w:rsidRPr="00374F8C">
        <w:t>,</w:t>
      </w:r>
      <w:r w:rsidR="00B03628">
        <w:t xml:space="preserve"> D Saravanan </w:t>
      </w:r>
      <w:r w:rsidRPr="00374F8C">
        <w:t>,</w:t>
      </w:r>
      <w:r w:rsidR="00B03628">
        <w:t xml:space="preserve"> K Sundram</w:t>
      </w:r>
      <w:r w:rsidRPr="00374F8C">
        <w:t xml:space="preserve"> and </w:t>
      </w:r>
      <w:r w:rsidR="00B03628">
        <w:t xml:space="preserve">LY Latha (2011) </w:t>
      </w:r>
      <w:r w:rsidRPr="00374F8C">
        <w:t>Extraction, isolation and characterization of bioactive co</w:t>
      </w:r>
      <w:r w:rsidR="00B03628">
        <w:t xml:space="preserve">mpounds from plants’ extracts. </w:t>
      </w:r>
      <w:r w:rsidRPr="00374F8C">
        <w:t xml:space="preserve">Afr </w:t>
      </w:r>
      <w:r w:rsidR="00B03628">
        <w:t>J Tradit Complement Altern Med 8:1-8.</w:t>
      </w:r>
    </w:p>
    <w:p w:rsidR="00374F8C" w:rsidRPr="00374F8C" w:rsidRDefault="00B03628" w:rsidP="00B03628">
      <w:pPr>
        <w:pStyle w:val="EndNoteBibliography"/>
        <w:spacing w:after="0"/>
      </w:pPr>
      <w:r>
        <w:t>2</w:t>
      </w:r>
      <w:r>
        <w:tab/>
        <w:t>Chang JJ</w:t>
      </w:r>
      <w:r w:rsidR="00374F8C" w:rsidRPr="00374F8C">
        <w:t>,</w:t>
      </w:r>
      <w:r>
        <w:t>DJ Chung, Y Lee</w:t>
      </w:r>
      <w:r w:rsidR="00374F8C" w:rsidRPr="00374F8C">
        <w:t xml:space="preserve">, </w:t>
      </w:r>
      <w:r>
        <w:t>B Wen</w:t>
      </w:r>
      <w:r w:rsidR="00374F8C" w:rsidRPr="00374F8C">
        <w:t xml:space="preserve">, </w:t>
      </w:r>
      <w:r>
        <w:t xml:space="preserve">HY Jao </w:t>
      </w:r>
      <w:r w:rsidR="00374F8C" w:rsidRPr="00374F8C">
        <w:t xml:space="preserve">and </w:t>
      </w:r>
      <w:r>
        <w:t xml:space="preserve">CJF Wang (2017) </w:t>
      </w:r>
      <w:r w:rsidR="00374F8C" w:rsidRPr="00374F8C">
        <w:t xml:space="preserve">Solanum nigrum polyphenol extracts inhibit hepatic inflammation, oxidative stress, and lipogenesis </w:t>
      </w:r>
      <w:r>
        <w:t>in high-fat-diet-treated mice.65:</w:t>
      </w:r>
      <w:r w:rsidR="00374F8C" w:rsidRPr="00374F8C">
        <w:t xml:space="preserve"> 9255-9265</w:t>
      </w:r>
      <w:r w:rsidR="00B350A9">
        <w:t>.</w:t>
      </w:r>
    </w:p>
    <w:p w:rsidR="00374F8C" w:rsidRPr="00374F8C" w:rsidRDefault="00B03628" w:rsidP="00B03628">
      <w:pPr>
        <w:pStyle w:val="EndNoteBibliography"/>
        <w:spacing w:after="0"/>
      </w:pPr>
      <w:r>
        <w:t>3</w:t>
      </w:r>
      <w:r>
        <w:tab/>
        <w:t>Pandey K</w:t>
      </w:r>
      <w:r w:rsidR="00374F8C" w:rsidRPr="00374F8C">
        <w:t>,</w:t>
      </w:r>
      <w:r>
        <w:t>AK Meena</w:t>
      </w:r>
      <w:r w:rsidR="00374F8C" w:rsidRPr="00374F8C">
        <w:t>,</w:t>
      </w:r>
      <w:r>
        <w:t>A Jain</w:t>
      </w:r>
      <w:r w:rsidR="00374F8C" w:rsidRPr="00374F8C">
        <w:t xml:space="preserve"> and</w:t>
      </w:r>
      <w:r>
        <w:t xml:space="preserve">R  Singh, R (2014) </w:t>
      </w:r>
      <w:r w:rsidR="00374F8C" w:rsidRPr="00374F8C">
        <w:t>Molecular mechanism of phenylhydrazine induced haematotoxicity:</w:t>
      </w:r>
      <w:r>
        <w:t xml:space="preserve"> A review. Ame J Phytomed Clin Therapeut 2:</w:t>
      </w:r>
      <w:r w:rsidR="00374F8C" w:rsidRPr="00374F8C">
        <w:t>390-394</w:t>
      </w:r>
      <w:r w:rsidR="00B350A9">
        <w:t>.</w:t>
      </w:r>
    </w:p>
    <w:p w:rsidR="00374F8C" w:rsidRPr="00374F8C" w:rsidRDefault="002F0439" w:rsidP="00374F8C">
      <w:pPr>
        <w:pStyle w:val="EndNoteBibliography"/>
        <w:spacing w:after="0"/>
      </w:pPr>
      <w:r>
        <w:t>4</w:t>
      </w:r>
      <w:r>
        <w:tab/>
        <w:t>Reitman S</w:t>
      </w:r>
      <w:r w:rsidR="00374F8C" w:rsidRPr="00374F8C">
        <w:t xml:space="preserve">, and </w:t>
      </w:r>
      <w:r>
        <w:t xml:space="preserve">S FrankelS (1957) </w:t>
      </w:r>
      <w:r w:rsidR="00374F8C" w:rsidRPr="00374F8C">
        <w:t>A colorimetric method for the determination of serum glutamic oxalacetic and g</w:t>
      </w:r>
      <w:r>
        <w:t>lutamic pyruvic transaminases. Am J Clin Pathol 28:</w:t>
      </w:r>
      <w:r w:rsidR="00374F8C" w:rsidRPr="00374F8C">
        <w:t>56-63</w:t>
      </w:r>
      <w:r w:rsidR="00B350A9">
        <w:t>.</w:t>
      </w:r>
    </w:p>
    <w:p w:rsidR="00374F8C" w:rsidRPr="00374F8C" w:rsidRDefault="002F0439" w:rsidP="00DC55FB">
      <w:pPr>
        <w:pStyle w:val="EndNoteBibliography"/>
        <w:spacing w:after="0"/>
      </w:pPr>
      <w:r>
        <w:t>5</w:t>
      </w:r>
      <w:r>
        <w:tab/>
        <w:t xml:space="preserve">King P </w:t>
      </w:r>
      <w:r w:rsidR="00374F8C" w:rsidRPr="00374F8C">
        <w:t xml:space="preserve">and </w:t>
      </w:r>
      <w:r>
        <w:t>E King (1954</w:t>
      </w:r>
      <w:r w:rsidR="00DC55FB">
        <w:t xml:space="preserve">) </w:t>
      </w:r>
      <w:r w:rsidR="00374F8C" w:rsidRPr="00374F8C">
        <w:t>Colorimetric method for the determinat</w:t>
      </w:r>
      <w:r w:rsidR="00DC55FB">
        <w:t>ion of serum/tissue homogenate alkaline p</w:t>
      </w:r>
      <w:r w:rsidR="00374F8C" w:rsidRPr="00374F8C">
        <w:t>hosphatase and</w:t>
      </w:r>
      <w:r w:rsidR="00DC55FB" w:rsidRPr="00374F8C">
        <w:t xml:space="preserve"> serum/tissue homogenate alkaline phosphatase</w:t>
      </w:r>
      <w:r w:rsidR="00DC55FB">
        <w:t>. J Clin Path 7:</w:t>
      </w:r>
      <w:r w:rsidR="00374F8C" w:rsidRPr="00374F8C">
        <w:t>132-136</w:t>
      </w:r>
      <w:r w:rsidR="00B350A9">
        <w:t>.</w:t>
      </w:r>
    </w:p>
    <w:p w:rsidR="00374F8C" w:rsidRPr="00374F8C" w:rsidRDefault="00DC55FB" w:rsidP="00374F8C">
      <w:pPr>
        <w:pStyle w:val="EndNoteBibliography"/>
        <w:spacing w:after="0"/>
      </w:pPr>
      <w:r>
        <w:t>6</w:t>
      </w:r>
      <w:r>
        <w:tab/>
        <w:t>Walters MI</w:t>
      </w:r>
      <w:r w:rsidR="00374F8C" w:rsidRPr="00374F8C">
        <w:t xml:space="preserve"> and </w:t>
      </w:r>
      <w:r>
        <w:t xml:space="preserve">H Gerarde (1970) </w:t>
      </w:r>
      <w:r w:rsidR="00374F8C" w:rsidRPr="00374F8C">
        <w:t>An ultramicromethod for the determination of conjugated and total</w:t>
      </w:r>
      <w:r>
        <w:t xml:space="preserve"> bilirubin in serum or plasma. Microchem J 15:</w:t>
      </w:r>
      <w:r w:rsidR="00374F8C" w:rsidRPr="00374F8C">
        <w:t>231-243</w:t>
      </w:r>
      <w:r w:rsidR="00B350A9">
        <w:t>.</w:t>
      </w:r>
    </w:p>
    <w:p w:rsidR="00374F8C" w:rsidRPr="00374F8C" w:rsidRDefault="00DC55FB" w:rsidP="00A345A1">
      <w:pPr>
        <w:pStyle w:val="EndNoteBibliography"/>
        <w:spacing w:after="0"/>
      </w:pPr>
      <w:r>
        <w:t>7</w:t>
      </w:r>
      <w:r>
        <w:tab/>
        <w:t>Rodrigues WF</w:t>
      </w:r>
      <w:r w:rsidR="00374F8C" w:rsidRPr="00374F8C">
        <w:t xml:space="preserve">, </w:t>
      </w:r>
      <w:r>
        <w:t>CB Miguel, MH Napimoga</w:t>
      </w:r>
      <w:r w:rsidR="00374F8C" w:rsidRPr="00374F8C">
        <w:t>,</w:t>
      </w:r>
      <w:r>
        <w:t xml:space="preserve">CJF Oliveira </w:t>
      </w:r>
      <w:r w:rsidR="00374F8C" w:rsidRPr="00374F8C">
        <w:t xml:space="preserve">and </w:t>
      </w:r>
      <w:r w:rsidR="00C969F4">
        <w:t xml:space="preserve">JE Lazo-Chica (2014) </w:t>
      </w:r>
      <w:r w:rsidR="00374F8C" w:rsidRPr="00374F8C">
        <w:t>Establishing standards for studying renal function in mice through measurements of body size-adjusted creatinine and urea level</w:t>
      </w:r>
      <w:r w:rsidR="00C969F4">
        <w:t>s. Biomed Res Int 23-32.</w:t>
      </w:r>
    </w:p>
    <w:p w:rsidR="00374F8C" w:rsidRPr="00374F8C" w:rsidRDefault="00C969F4" w:rsidP="00374F8C">
      <w:pPr>
        <w:pStyle w:val="EndNoteBibliography"/>
        <w:spacing w:after="0"/>
      </w:pPr>
      <w:r>
        <w:t>8</w:t>
      </w:r>
      <w:r>
        <w:tab/>
        <w:t>Gornall AG</w:t>
      </w:r>
      <w:r w:rsidR="00374F8C" w:rsidRPr="00374F8C">
        <w:t xml:space="preserve">, </w:t>
      </w:r>
      <w:r>
        <w:t xml:space="preserve">CJ Bardawill </w:t>
      </w:r>
      <w:r w:rsidR="00374F8C" w:rsidRPr="00374F8C">
        <w:t xml:space="preserve">and </w:t>
      </w:r>
      <w:r>
        <w:t xml:space="preserve">MM David (1949) </w:t>
      </w:r>
      <w:r w:rsidR="00374F8C" w:rsidRPr="00374F8C">
        <w:t>Determination of serum proteins by means of the biure</w:t>
      </w:r>
      <w:r>
        <w:t>t reaction J biol Chem 177:</w:t>
      </w:r>
      <w:r w:rsidR="00374F8C" w:rsidRPr="00374F8C">
        <w:t>751-766</w:t>
      </w:r>
      <w:r>
        <w:t>.</w:t>
      </w:r>
    </w:p>
    <w:p w:rsidR="00374F8C" w:rsidRPr="00374F8C" w:rsidRDefault="00C969F4" w:rsidP="00374F8C">
      <w:pPr>
        <w:pStyle w:val="EndNoteBibliography"/>
        <w:spacing w:after="0"/>
      </w:pPr>
      <w:r>
        <w:t>9</w:t>
      </w:r>
      <w:r>
        <w:tab/>
        <w:t>Abdel-Latif HM</w:t>
      </w:r>
      <w:r w:rsidR="00374F8C" w:rsidRPr="00374F8C">
        <w:t>,</w:t>
      </w:r>
      <w:r>
        <w:t>AA Soliman</w:t>
      </w:r>
      <w:r w:rsidR="00374F8C" w:rsidRPr="00374F8C">
        <w:t>,</w:t>
      </w:r>
      <w:r>
        <w:t xml:space="preserve">H Sewilam, R Almeer, D Van, H Alagawany </w:t>
      </w:r>
      <w:r w:rsidR="00374F8C" w:rsidRPr="00374F8C">
        <w:t xml:space="preserve">and </w:t>
      </w:r>
      <w:r>
        <w:t xml:space="preserve">MA Dawood (2020) </w:t>
      </w:r>
      <w:r w:rsidR="00374F8C" w:rsidRPr="00374F8C">
        <w:t>The influence of raffinose on the growth performance, oxidative status, and immunity in Nile ti</w:t>
      </w:r>
      <w:r>
        <w:t>lapia (Oreochromis niloticus). Aquac 18:</w:t>
      </w:r>
      <w:r w:rsidR="00374F8C" w:rsidRPr="00374F8C">
        <w:t>100457</w:t>
      </w:r>
      <w:r w:rsidR="00B350A9">
        <w:t>.</w:t>
      </w:r>
    </w:p>
    <w:p w:rsidR="00374F8C" w:rsidRPr="00374F8C" w:rsidRDefault="00C969F4" w:rsidP="00374F8C">
      <w:pPr>
        <w:pStyle w:val="EndNoteBibliography"/>
        <w:spacing w:after="0"/>
      </w:pPr>
      <w:r>
        <w:t>10</w:t>
      </w:r>
      <w:r>
        <w:tab/>
        <w:t xml:space="preserve">Krishnamoorthy D </w:t>
      </w:r>
      <w:r w:rsidR="00374F8C" w:rsidRPr="00374F8C">
        <w:t xml:space="preserve">and </w:t>
      </w:r>
      <w:r>
        <w:t xml:space="preserve">M Sankaran (2016) </w:t>
      </w:r>
      <w:r w:rsidR="00374F8C" w:rsidRPr="00374F8C">
        <w:t xml:space="preserve">Modulatory effect of Pleurotus ostreatus on oxidant/antioxidant status in 7, 12-dimethylbenz (a) anthracene induced mammary carcinoma in experimental </w:t>
      </w:r>
      <w:r>
        <w:t>rats-A dose-response study. J Cancer Res The 12:</w:t>
      </w:r>
      <w:r w:rsidR="00374F8C" w:rsidRPr="00374F8C">
        <w:t>386</w:t>
      </w:r>
      <w:r w:rsidR="00B350A9">
        <w:t>.</w:t>
      </w:r>
    </w:p>
    <w:p w:rsidR="00374F8C" w:rsidRPr="00374F8C" w:rsidRDefault="00356F82" w:rsidP="00374F8C">
      <w:pPr>
        <w:pStyle w:val="EndNoteBibliography"/>
        <w:spacing w:after="0"/>
      </w:pPr>
      <w:r>
        <w:t>11</w:t>
      </w:r>
      <w:r>
        <w:tab/>
        <w:t>Chen M</w:t>
      </w:r>
      <w:r w:rsidR="00374F8C" w:rsidRPr="00374F8C">
        <w:t xml:space="preserve">, </w:t>
      </w:r>
      <w:r>
        <w:t>B Zhang</w:t>
      </w:r>
      <w:r w:rsidR="00374F8C" w:rsidRPr="00374F8C">
        <w:t>,</w:t>
      </w:r>
      <w:r>
        <w:t>W Topatana</w:t>
      </w:r>
      <w:r w:rsidR="00374F8C" w:rsidRPr="00374F8C">
        <w:t>,</w:t>
      </w:r>
      <w:r>
        <w:t>J Cao</w:t>
      </w:r>
      <w:r w:rsidR="00374F8C" w:rsidRPr="00374F8C">
        <w:t>,</w:t>
      </w:r>
      <w:r>
        <w:t>H Zhu, S Juengpanich</w:t>
      </w:r>
      <w:r w:rsidR="00374F8C" w:rsidRPr="00374F8C">
        <w:t>,</w:t>
      </w:r>
      <w:r>
        <w:t xml:space="preserve">Q  Mao,H Yu </w:t>
      </w:r>
      <w:r w:rsidR="00374F8C" w:rsidRPr="00374F8C">
        <w:t>and</w:t>
      </w:r>
      <w:r>
        <w:t xml:space="preserve"> X Cai (2020) </w:t>
      </w:r>
      <w:r w:rsidR="00374F8C" w:rsidRPr="00374F8C">
        <w:t>Classification and mutation prediction based on histopathology H&amp;E images in liv</w:t>
      </w:r>
      <w:r>
        <w:t>er cancer using deep learning. NPJ Precision Oncology 4:</w:t>
      </w:r>
      <w:r w:rsidR="00374F8C" w:rsidRPr="00374F8C">
        <w:t>1-7</w:t>
      </w:r>
      <w:r w:rsidR="00B350A9">
        <w:t>.</w:t>
      </w:r>
    </w:p>
    <w:p w:rsidR="00374F8C" w:rsidRPr="00374F8C" w:rsidRDefault="00356F82" w:rsidP="00374F8C">
      <w:pPr>
        <w:pStyle w:val="EndNoteBibliography"/>
      </w:pPr>
      <w:r>
        <w:t>12</w:t>
      </w:r>
      <w:r>
        <w:tab/>
        <w:t>Orvis J</w:t>
      </w:r>
      <w:r w:rsidR="00374F8C" w:rsidRPr="00374F8C">
        <w:t>,</w:t>
      </w:r>
      <w:r>
        <w:t>B Gottfried</w:t>
      </w:r>
      <w:r w:rsidR="00374F8C" w:rsidRPr="00374F8C">
        <w:t>,</w:t>
      </w:r>
      <w:r>
        <w:t>J Kancherla, RS Adkins, Y Song, AA Dror,D Olley, K Rose,E Chrysostomou</w:t>
      </w:r>
      <w:r w:rsidR="00374F8C" w:rsidRPr="00374F8C">
        <w:t xml:space="preserve"> and </w:t>
      </w:r>
      <w:r>
        <w:t xml:space="preserve">MC Kelly (2021) </w:t>
      </w:r>
      <w:r w:rsidR="00374F8C" w:rsidRPr="00374F8C">
        <w:t>Gene Expression Analysis Resource portal for community-driven</w:t>
      </w:r>
      <w:r>
        <w:t>, multi-omic data exploration. Nat. Methods 18:</w:t>
      </w:r>
      <w:r w:rsidR="00374F8C" w:rsidRPr="00374F8C">
        <w:t>843-844</w:t>
      </w:r>
      <w:r w:rsidR="00B350A9">
        <w:t>.</w:t>
      </w:r>
    </w:p>
    <w:p w:rsidR="00A345A1" w:rsidRDefault="00374F8C" w:rsidP="00374F8C">
      <w:r>
        <w:fldChar w:fldCharType="end"/>
      </w:r>
    </w:p>
    <w:sectPr w:rsidR="00A345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TIXGeneral-Regula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85C86"/>
    <w:multiLevelType w:val="multilevel"/>
    <w:tmpl w:val="98127372"/>
    <w:lvl w:ilvl="0">
      <w:start w:val="1"/>
      <w:numFmt w:val="decimal"/>
      <w:lvlText w:val="%1."/>
      <w:lvlJc w:val="left"/>
      <w:pPr>
        <w:ind w:left="720" w:hanging="360"/>
      </w:pPr>
    </w:lvl>
    <w:lvl w:ilvl="1">
      <w:start w:val="2"/>
      <w:numFmt w:val="decimal"/>
      <w:isLgl/>
      <w:lvlText w:val="%1.%2"/>
      <w:lvlJc w:val="left"/>
      <w:pPr>
        <w:ind w:left="750" w:hanging="39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IEEE Proceeding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2avvaxz555aaeze9pp9xess0902te5xzdt&quot;&gt;My EndNote Library&lt;record-ids&gt;&lt;item&gt;17&lt;/item&gt;&lt;item&gt;20&lt;/item&gt;&lt;item&gt;21&lt;/item&gt;&lt;item&gt;22&lt;/item&gt;&lt;item&gt;23&lt;/item&gt;&lt;item&gt;24&lt;/item&gt;&lt;item&gt;25&lt;/item&gt;&lt;item&gt;27&lt;/item&gt;&lt;item&gt;28&lt;/item&gt;&lt;item&gt;30&lt;/item&gt;&lt;item&gt;31&lt;/item&gt;&lt;item&gt;88&lt;/item&gt;&lt;/record-ids&gt;&lt;/item&gt;&lt;/Libraries&gt;"/>
  </w:docVars>
  <w:rsids>
    <w:rsidRoot w:val="000D4261"/>
    <w:rsid w:val="000D4261"/>
    <w:rsid w:val="002F0439"/>
    <w:rsid w:val="00356F82"/>
    <w:rsid w:val="00374F8C"/>
    <w:rsid w:val="00444F7D"/>
    <w:rsid w:val="00604FFF"/>
    <w:rsid w:val="00620862"/>
    <w:rsid w:val="00A345A1"/>
    <w:rsid w:val="00AC0DB6"/>
    <w:rsid w:val="00B03628"/>
    <w:rsid w:val="00B350A9"/>
    <w:rsid w:val="00C969F4"/>
    <w:rsid w:val="00DC55FB"/>
    <w:rsid w:val="00ED3B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0D426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0D4261"/>
    <w:rPr>
      <w:rFonts w:ascii="Times New Roman" w:eastAsia="Times New Roman" w:hAnsi="Times New Roman" w:cs="Times New Roman"/>
      <w:sz w:val="24"/>
      <w:szCs w:val="24"/>
    </w:rPr>
  </w:style>
  <w:style w:type="paragraph" w:styleId="ListParagraph">
    <w:name w:val="List Paragraph"/>
    <w:basedOn w:val="Normal"/>
    <w:uiPriority w:val="34"/>
    <w:qFormat/>
    <w:rsid w:val="000D4261"/>
    <w:pPr>
      <w:ind w:left="720"/>
      <w:contextualSpacing/>
    </w:pPr>
  </w:style>
  <w:style w:type="paragraph" w:customStyle="1" w:styleId="EndNoteBibliographyTitle">
    <w:name w:val="EndNote Bibliography Title"/>
    <w:basedOn w:val="Normal"/>
    <w:link w:val="EndNoteBibliographyTitleChar"/>
    <w:rsid w:val="00374F8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374F8C"/>
    <w:rPr>
      <w:rFonts w:ascii="Calibri" w:hAnsi="Calibri"/>
      <w:noProof/>
    </w:rPr>
  </w:style>
  <w:style w:type="paragraph" w:customStyle="1" w:styleId="EndNoteBibliography">
    <w:name w:val="EndNote Bibliography"/>
    <w:basedOn w:val="Normal"/>
    <w:link w:val="EndNoteBibliographyChar"/>
    <w:rsid w:val="00374F8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374F8C"/>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0D426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0D4261"/>
    <w:rPr>
      <w:rFonts w:ascii="Times New Roman" w:eastAsia="Times New Roman" w:hAnsi="Times New Roman" w:cs="Times New Roman"/>
      <w:sz w:val="24"/>
      <w:szCs w:val="24"/>
    </w:rPr>
  </w:style>
  <w:style w:type="paragraph" w:styleId="ListParagraph">
    <w:name w:val="List Paragraph"/>
    <w:basedOn w:val="Normal"/>
    <w:uiPriority w:val="34"/>
    <w:qFormat/>
    <w:rsid w:val="000D4261"/>
    <w:pPr>
      <w:ind w:left="720"/>
      <w:contextualSpacing/>
    </w:pPr>
  </w:style>
  <w:style w:type="paragraph" w:customStyle="1" w:styleId="EndNoteBibliographyTitle">
    <w:name w:val="EndNote Bibliography Title"/>
    <w:basedOn w:val="Normal"/>
    <w:link w:val="EndNoteBibliographyTitleChar"/>
    <w:rsid w:val="00374F8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374F8C"/>
    <w:rPr>
      <w:rFonts w:ascii="Calibri" w:hAnsi="Calibri"/>
      <w:noProof/>
    </w:rPr>
  </w:style>
  <w:style w:type="paragraph" w:customStyle="1" w:styleId="EndNoteBibliography">
    <w:name w:val="EndNote Bibliography"/>
    <w:basedOn w:val="Normal"/>
    <w:link w:val="EndNoteBibliographyChar"/>
    <w:rsid w:val="00374F8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374F8C"/>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462734">
      <w:bodyDiv w:val="1"/>
      <w:marLeft w:val="0"/>
      <w:marRight w:val="0"/>
      <w:marTop w:val="0"/>
      <w:marBottom w:val="0"/>
      <w:divBdr>
        <w:top w:val="none" w:sz="0" w:space="0" w:color="auto"/>
        <w:left w:val="none" w:sz="0" w:space="0" w:color="auto"/>
        <w:bottom w:val="none" w:sz="0" w:space="0" w:color="auto"/>
        <w:right w:val="none" w:sz="0" w:space="0" w:color="auto"/>
      </w:divBdr>
    </w:div>
    <w:div w:id="166042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2741</Words>
  <Characters>15626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11</cp:revision>
  <dcterms:created xsi:type="dcterms:W3CDTF">2022-04-24T09:28:00Z</dcterms:created>
  <dcterms:modified xsi:type="dcterms:W3CDTF">2022-04-24T16:33:00Z</dcterms:modified>
</cp:coreProperties>
</file>