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F80" w:rsidRPr="00F27331" w:rsidRDefault="005A6F80" w:rsidP="005A6F80">
      <w:pPr>
        <w:spacing w:line="480" w:lineRule="auto"/>
        <w:jc w:val="center"/>
        <w:rPr>
          <w:rFonts w:ascii="Times New Roman" w:hAnsi="Times New Roman"/>
          <w:b/>
          <w:bCs/>
          <w:szCs w:val="21"/>
          <w:lang w:eastAsia="zh-CN"/>
        </w:rPr>
      </w:pPr>
      <w:r w:rsidRPr="00022086">
        <w:rPr>
          <w:rFonts w:ascii="Times New Roman" w:hAnsi="Times New Roman"/>
          <w:b/>
          <w:bCs/>
          <w:szCs w:val="21"/>
          <w:lang w:eastAsia="zh-CN"/>
        </w:rPr>
        <w:t>Table 2 GO enrichment analysis of KXS in treating depression</w:t>
      </w:r>
    </w:p>
    <w:tbl>
      <w:tblPr>
        <w:tblW w:w="89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1994"/>
        <w:gridCol w:w="2160"/>
        <w:gridCol w:w="2868"/>
        <w:gridCol w:w="1222"/>
      </w:tblGrid>
      <w:tr w:rsidR="005A6F80" w:rsidRPr="0089195B" w:rsidTr="00C117EE">
        <w:trPr>
          <w:trHeight w:val="123"/>
          <w:jc w:val="center"/>
        </w:trPr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>Score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>Enriched genes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>Cluster network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 w:bidi="ar"/>
              </w:rPr>
              <w:t>GO biological process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 w:bidi="ar"/>
              </w:rPr>
              <w:t>Log(p-value)</w:t>
            </w:r>
          </w:p>
        </w:tc>
      </w:tr>
      <w:tr w:rsidR="005A6F80" w:rsidRPr="0089195B" w:rsidTr="00C117EE">
        <w:trPr>
          <w:trHeight w:val="552"/>
          <w:jc w:val="center"/>
        </w:trPr>
        <w:tc>
          <w:tcPr>
            <w:tcW w:w="65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 w:bidi="ar"/>
              </w:rPr>
              <w:t>7.8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 w:bidi="ar"/>
              </w:rPr>
              <w:t>ADRA2A,APP,HTR1A,CXCL8,DRD2,ADRA2C,DRD4,HTR1B,DRD3,OPRD1,OPRK1,BDKRB1,MTNR1A,NPY5R,HCAR2,P2RY12,CNR1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  <w:r w:rsidRPr="0089195B">
              <w:rPr>
                <w:rFonts w:ascii="Times New Roman" w:eastAsia="SimSun" w:hAnsi="Times New Roman"/>
                <w:noProof/>
                <w:color w:val="000000"/>
                <w:szCs w:val="24"/>
                <w:lang w:val="en-US"/>
              </w:rPr>
              <w:drawing>
                <wp:inline distT="0" distB="0" distL="0" distR="0" wp14:anchorId="5B8C1681" wp14:editId="28483878">
                  <wp:extent cx="1252398" cy="679010"/>
                  <wp:effectExtent l="0" t="0" r="5080" b="6985"/>
                  <wp:docPr id="17" name="图片 17" descr="Cluster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" descr="Cluster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864" cy="677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 w:bidi="ar"/>
              </w:rPr>
              <w:t>Adenylate cyclase-modulating G protein-coupled receptor signaling pathway  (GO:0007188)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 w:bidi="ar"/>
              </w:rPr>
              <w:t>-21</w:t>
            </w:r>
          </w:p>
        </w:tc>
      </w:tr>
      <w:tr w:rsidR="005A6F80" w:rsidRPr="0089195B" w:rsidTr="00C117EE">
        <w:trPr>
          <w:trHeight w:val="552"/>
          <w:jc w:val="center"/>
        </w:trPr>
        <w:tc>
          <w:tcPr>
            <w:tcW w:w="65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</w:p>
        </w:tc>
        <w:tc>
          <w:tcPr>
            <w:tcW w:w="286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</w:rPr>
            </w:pPr>
          </w:p>
        </w:tc>
      </w:tr>
      <w:tr w:rsidR="005A6F80" w:rsidRPr="0089195B" w:rsidTr="00C117EE">
        <w:trPr>
          <w:trHeight w:val="552"/>
          <w:jc w:val="center"/>
        </w:trPr>
        <w:tc>
          <w:tcPr>
            <w:tcW w:w="65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</w:p>
        </w:tc>
        <w:tc>
          <w:tcPr>
            <w:tcW w:w="2868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 w:bidi="ar"/>
              </w:rPr>
              <w:t>Adenylate cyclase-inhibiting G protein-coupled receptor signaling pathway  (GO:0007193)</w:t>
            </w:r>
          </w:p>
        </w:tc>
        <w:tc>
          <w:tcPr>
            <w:tcW w:w="1222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 w:bidi="ar"/>
              </w:rPr>
              <w:t>-21</w:t>
            </w:r>
          </w:p>
        </w:tc>
      </w:tr>
      <w:tr w:rsidR="005A6F80" w:rsidRPr="0089195B" w:rsidTr="00C117EE">
        <w:trPr>
          <w:trHeight w:val="552"/>
          <w:jc w:val="center"/>
        </w:trPr>
        <w:tc>
          <w:tcPr>
            <w:tcW w:w="65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</w:p>
        </w:tc>
        <w:tc>
          <w:tcPr>
            <w:tcW w:w="2868" w:type="dxa"/>
            <w:vMerge/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</w:rPr>
            </w:pPr>
          </w:p>
        </w:tc>
      </w:tr>
      <w:tr w:rsidR="005A6F80" w:rsidRPr="0089195B" w:rsidTr="00C117EE">
        <w:trPr>
          <w:trHeight w:val="552"/>
          <w:jc w:val="center"/>
        </w:trPr>
        <w:tc>
          <w:tcPr>
            <w:tcW w:w="65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</w:p>
        </w:tc>
        <w:tc>
          <w:tcPr>
            <w:tcW w:w="2868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 w:bidi="ar"/>
              </w:rPr>
              <w:t>G protein-coupled receptor signaling pathway  (GO:0007187)</w:t>
            </w:r>
          </w:p>
        </w:tc>
        <w:tc>
          <w:tcPr>
            <w:tcW w:w="1222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 w:bidi="ar"/>
              </w:rPr>
              <w:t>-21</w:t>
            </w:r>
          </w:p>
        </w:tc>
      </w:tr>
      <w:tr w:rsidR="005A6F80" w:rsidRPr="0089195B" w:rsidTr="00C117EE">
        <w:trPr>
          <w:trHeight w:val="552"/>
          <w:jc w:val="center"/>
        </w:trPr>
        <w:tc>
          <w:tcPr>
            <w:tcW w:w="65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</w:p>
        </w:tc>
        <w:tc>
          <w:tcPr>
            <w:tcW w:w="2868" w:type="dxa"/>
            <w:vMerge/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</w:rPr>
            </w:pPr>
          </w:p>
        </w:tc>
      </w:tr>
      <w:tr w:rsidR="005A6F80" w:rsidRPr="0089195B" w:rsidTr="00C117EE">
        <w:trPr>
          <w:trHeight w:val="400"/>
          <w:jc w:val="center"/>
        </w:trPr>
        <w:tc>
          <w:tcPr>
            <w:tcW w:w="656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 w:bidi="ar"/>
              </w:rPr>
              <w:t>4.3</w:t>
            </w:r>
          </w:p>
        </w:tc>
        <w:tc>
          <w:tcPr>
            <w:tcW w:w="1994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 w:bidi="ar"/>
              </w:rPr>
              <w:t>PRKCA,MAPK1,STAT3,PTPN11,BCL2,CASP8,MAPK8,AKT1,FKBP5,FGFR1,JUN,FGF2,HRAS,PDGFRB,EGFR,PPARG,CYP3A4,CYP17A1,CYP19A1,PARP1,CYP1A1,CYP1A2,C,P2D6,CYP2C9,CYP2C19</w:t>
            </w:r>
          </w:p>
        </w:tc>
        <w:tc>
          <w:tcPr>
            <w:tcW w:w="2160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  <w:r w:rsidRPr="0089195B">
              <w:rPr>
                <w:rFonts w:ascii="Times New Roman" w:eastAsia="SimSun" w:hAnsi="Times New Roman"/>
                <w:noProof/>
                <w:color w:val="000000"/>
                <w:szCs w:val="24"/>
                <w:lang w:val="en-US"/>
              </w:rPr>
              <w:drawing>
                <wp:inline distT="0" distB="0" distL="0" distR="0" wp14:anchorId="75AB12C1" wp14:editId="3EFB7B09">
                  <wp:extent cx="1402684" cy="760491"/>
                  <wp:effectExtent l="0" t="0" r="7620" b="1905"/>
                  <wp:docPr id="16" name="图片 16" descr="CLUSTER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" descr="CLUSTER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846" cy="758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>E</w:t>
            </w:r>
            <w:r w:rsidRPr="0089195B">
              <w:rPr>
                <w:rFonts w:ascii="Times New Roman" w:eastAsia="SimSun" w:hAnsi="Times New Roman"/>
                <w:color w:val="000000"/>
                <w:szCs w:val="24"/>
              </w:rPr>
              <w:t>strogen</w:t>
            </w: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 xml:space="preserve"> </w:t>
            </w:r>
            <w:r w:rsidRPr="0089195B">
              <w:rPr>
                <w:rFonts w:ascii="Times New Roman" w:eastAsia="SimSun" w:hAnsi="Times New Roman"/>
                <w:color w:val="000000"/>
                <w:szCs w:val="24"/>
              </w:rPr>
              <w:t>metabolic</w:t>
            </w: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 xml:space="preserve"> </w:t>
            </w:r>
            <w:r w:rsidRPr="0089195B">
              <w:rPr>
                <w:rFonts w:ascii="Times New Roman" w:eastAsia="SimSun" w:hAnsi="Times New Roman"/>
                <w:color w:val="000000"/>
                <w:szCs w:val="24"/>
              </w:rPr>
              <w:t>process</w:t>
            </w: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 xml:space="preserve"> (GO:0008210)</w:t>
            </w:r>
          </w:p>
        </w:tc>
        <w:tc>
          <w:tcPr>
            <w:tcW w:w="122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>-13</w:t>
            </w:r>
          </w:p>
        </w:tc>
      </w:tr>
      <w:tr w:rsidR="005A6F80" w:rsidRPr="0089195B" w:rsidTr="00C117EE">
        <w:trPr>
          <w:trHeight w:val="444"/>
          <w:jc w:val="center"/>
        </w:trPr>
        <w:tc>
          <w:tcPr>
            <w:tcW w:w="656" w:type="dxa"/>
            <w:vMerge/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</w:rPr>
            </w:pPr>
          </w:p>
        </w:tc>
        <w:tc>
          <w:tcPr>
            <w:tcW w:w="1994" w:type="dxa"/>
            <w:vMerge/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</w:p>
        </w:tc>
        <w:tc>
          <w:tcPr>
            <w:tcW w:w="286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>H</w:t>
            </w:r>
            <w:r w:rsidRPr="0089195B">
              <w:rPr>
                <w:rFonts w:ascii="Times New Roman" w:eastAsia="SimSun" w:hAnsi="Times New Roman"/>
                <w:color w:val="000000"/>
                <w:szCs w:val="24"/>
              </w:rPr>
              <w:t>ormone metabolic process</w:t>
            </w: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 xml:space="preserve"> (GO:0042445)</w:t>
            </w:r>
          </w:p>
        </w:tc>
        <w:tc>
          <w:tcPr>
            <w:tcW w:w="122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>-12</w:t>
            </w:r>
          </w:p>
        </w:tc>
      </w:tr>
      <w:tr w:rsidR="005A6F80" w:rsidRPr="0089195B" w:rsidTr="00C117EE">
        <w:trPr>
          <w:trHeight w:val="398"/>
          <w:jc w:val="center"/>
        </w:trPr>
        <w:tc>
          <w:tcPr>
            <w:tcW w:w="656" w:type="dxa"/>
            <w:vMerge/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</w:rPr>
            </w:pPr>
          </w:p>
        </w:tc>
        <w:tc>
          <w:tcPr>
            <w:tcW w:w="1994" w:type="dxa"/>
            <w:vMerge/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</w:p>
        </w:tc>
        <w:tc>
          <w:tcPr>
            <w:tcW w:w="286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>R</w:t>
            </w:r>
            <w:r w:rsidRPr="0089195B">
              <w:rPr>
                <w:rFonts w:ascii="Times New Roman" w:eastAsia="SimSun" w:hAnsi="Times New Roman"/>
                <w:color w:val="000000"/>
                <w:szCs w:val="24"/>
              </w:rPr>
              <w:t>egulation of hormone levels</w:t>
            </w: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 xml:space="preserve"> (GO:0010817)</w:t>
            </w:r>
          </w:p>
        </w:tc>
        <w:tc>
          <w:tcPr>
            <w:tcW w:w="122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>-12</w:t>
            </w:r>
          </w:p>
        </w:tc>
      </w:tr>
      <w:tr w:rsidR="005A6F80" w:rsidRPr="0089195B" w:rsidTr="00C117EE">
        <w:trPr>
          <w:trHeight w:val="344"/>
          <w:jc w:val="center"/>
        </w:trPr>
        <w:tc>
          <w:tcPr>
            <w:tcW w:w="656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 w:bidi="ar"/>
              </w:rPr>
              <w:t>3.4</w:t>
            </w:r>
          </w:p>
        </w:tc>
        <w:tc>
          <w:tcPr>
            <w:tcW w:w="1994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</w:rPr>
              <w:t>GRM1,HCRTR2,TACR1,HTR2A,HTR2C,TACR3,HTR2B,F2,GSK3B,ADRA1A,AR,NFE2L2,RELA,RARA,ESR1,MAPK14,NR3C1</w:t>
            </w:r>
          </w:p>
        </w:tc>
        <w:tc>
          <w:tcPr>
            <w:tcW w:w="2160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  <w:r w:rsidRPr="0089195B">
              <w:rPr>
                <w:rFonts w:ascii="Times New Roman" w:eastAsia="SimSun" w:hAnsi="Times New Roman"/>
                <w:noProof/>
                <w:color w:val="000000"/>
                <w:szCs w:val="24"/>
                <w:lang w:val="en-US"/>
              </w:rPr>
              <w:drawing>
                <wp:inline distT="0" distB="0" distL="0" distR="0" wp14:anchorId="50ABEB19" wp14:editId="6E670E52">
                  <wp:extent cx="1352588" cy="733331"/>
                  <wp:effectExtent l="0" t="0" r="0" b="0"/>
                  <wp:docPr id="13" name="图片 13" descr="Cluster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1" descr="Cluster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474" cy="733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>P</w:t>
            </w:r>
            <w:r w:rsidRPr="0089195B">
              <w:rPr>
                <w:rFonts w:ascii="Times New Roman" w:eastAsia="SimSun" w:hAnsi="Times New Roman"/>
                <w:color w:val="000000"/>
                <w:szCs w:val="24"/>
              </w:rPr>
              <w:t>hospholipase C-activating G protein-coupled receptor signaling pathway</w:t>
            </w: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 xml:space="preserve"> (GO:0007200)</w:t>
            </w:r>
          </w:p>
        </w:tc>
        <w:tc>
          <w:tcPr>
            <w:tcW w:w="122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>-18</w:t>
            </w:r>
          </w:p>
        </w:tc>
      </w:tr>
      <w:tr w:rsidR="005A6F80" w:rsidRPr="0089195B" w:rsidTr="00C117EE">
        <w:trPr>
          <w:trHeight w:val="344"/>
          <w:jc w:val="center"/>
        </w:trPr>
        <w:tc>
          <w:tcPr>
            <w:tcW w:w="656" w:type="dxa"/>
            <w:vMerge/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</w:rPr>
            </w:pPr>
          </w:p>
        </w:tc>
        <w:tc>
          <w:tcPr>
            <w:tcW w:w="1994" w:type="dxa"/>
            <w:vMerge/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</w:p>
        </w:tc>
        <w:tc>
          <w:tcPr>
            <w:tcW w:w="286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>R</w:t>
            </w:r>
            <w:r w:rsidRPr="0089195B">
              <w:rPr>
                <w:rFonts w:ascii="Times New Roman" w:eastAsia="SimSun" w:hAnsi="Times New Roman"/>
                <w:color w:val="000000"/>
                <w:szCs w:val="24"/>
              </w:rPr>
              <w:t>egulation of cytosolic calcium ion concentration</w:t>
            </w: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 xml:space="preserve"> (GO:0051480)</w:t>
            </w:r>
          </w:p>
        </w:tc>
        <w:tc>
          <w:tcPr>
            <w:tcW w:w="122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>-13</w:t>
            </w:r>
          </w:p>
        </w:tc>
      </w:tr>
      <w:tr w:rsidR="005A6F80" w:rsidRPr="0089195B" w:rsidTr="00C117EE">
        <w:trPr>
          <w:trHeight w:val="344"/>
          <w:jc w:val="center"/>
        </w:trPr>
        <w:tc>
          <w:tcPr>
            <w:tcW w:w="656" w:type="dxa"/>
            <w:vMerge/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</w:rPr>
            </w:pPr>
          </w:p>
        </w:tc>
        <w:tc>
          <w:tcPr>
            <w:tcW w:w="1994" w:type="dxa"/>
            <w:vMerge/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</w:p>
        </w:tc>
        <w:tc>
          <w:tcPr>
            <w:tcW w:w="286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>C</w:t>
            </w:r>
            <w:r w:rsidRPr="0089195B">
              <w:rPr>
                <w:rFonts w:ascii="Times New Roman" w:eastAsia="SimSun" w:hAnsi="Times New Roman"/>
                <w:color w:val="000000"/>
                <w:szCs w:val="24"/>
              </w:rPr>
              <w:t>ellular calcium ion homeostasis</w:t>
            </w: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 xml:space="preserve"> (GO:0006874)</w:t>
            </w:r>
          </w:p>
        </w:tc>
        <w:tc>
          <w:tcPr>
            <w:tcW w:w="122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>-12</w:t>
            </w:r>
          </w:p>
        </w:tc>
      </w:tr>
      <w:tr w:rsidR="005A6F80" w:rsidRPr="0089195B" w:rsidTr="00C117EE">
        <w:trPr>
          <w:trHeight w:val="344"/>
          <w:jc w:val="center"/>
        </w:trPr>
        <w:tc>
          <w:tcPr>
            <w:tcW w:w="656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 w:bidi="ar"/>
              </w:rPr>
              <w:t>2.0</w:t>
            </w:r>
          </w:p>
        </w:tc>
        <w:tc>
          <w:tcPr>
            <w:tcW w:w="1994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</w:rPr>
              <w:t>DRD1,DRD5,HTR7,CRHR1,TAAR1</w:t>
            </w:r>
          </w:p>
        </w:tc>
        <w:tc>
          <w:tcPr>
            <w:tcW w:w="2160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  <w:r w:rsidRPr="0089195B">
              <w:rPr>
                <w:rFonts w:ascii="Times New Roman" w:eastAsia="SimSun" w:hAnsi="Times New Roman"/>
                <w:noProof/>
                <w:color w:val="000000"/>
                <w:szCs w:val="24"/>
                <w:lang w:val="en-US"/>
              </w:rPr>
              <w:drawing>
                <wp:inline distT="0" distB="0" distL="0" distR="0" wp14:anchorId="029D63BE" wp14:editId="6B081E8D">
                  <wp:extent cx="1448554" cy="785361"/>
                  <wp:effectExtent l="0" t="0" r="0" b="0"/>
                  <wp:docPr id="12" name="图片 12" descr="Cluster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2" descr="Cluster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623" cy="783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>R</w:t>
            </w:r>
            <w:r w:rsidRPr="0089195B">
              <w:rPr>
                <w:rFonts w:ascii="Times New Roman" w:eastAsia="SimSun" w:hAnsi="Times New Roman"/>
                <w:color w:val="000000"/>
                <w:szCs w:val="24"/>
              </w:rPr>
              <w:t>egulation of neuron death</w:t>
            </w: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 xml:space="preserve"> (GO:1901214)</w:t>
            </w:r>
          </w:p>
        </w:tc>
        <w:tc>
          <w:tcPr>
            <w:tcW w:w="122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>-10</w:t>
            </w:r>
          </w:p>
        </w:tc>
      </w:tr>
      <w:tr w:rsidR="005A6F80" w:rsidRPr="0089195B" w:rsidTr="00C117EE">
        <w:trPr>
          <w:trHeight w:val="344"/>
          <w:jc w:val="center"/>
        </w:trPr>
        <w:tc>
          <w:tcPr>
            <w:tcW w:w="656" w:type="dxa"/>
            <w:vMerge/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</w:rPr>
            </w:pPr>
          </w:p>
        </w:tc>
        <w:tc>
          <w:tcPr>
            <w:tcW w:w="1994" w:type="dxa"/>
            <w:vMerge/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</w:p>
        </w:tc>
        <w:tc>
          <w:tcPr>
            <w:tcW w:w="286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>P</w:t>
            </w:r>
            <w:r w:rsidRPr="0089195B">
              <w:rPr>
                <w:rFonts w:ascii="Times New Roman" w:eastAsia="SimSun" w:hAnsi="Times New Roman"/>
                <w:color w:val="000000"/>
                <w:szCs w:val="24"/>
              </w:rPr>
              <w:t>ositive regulation of cell death</w:t>
            </w: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 xml:space="preserve"> (GO:0010942)</w:t>
            </w:r>
          </w:p>
        </w:tc>
        <w:tc>
          <w:tcPr>
            <w:tcW w:w="122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>-10</w:t>
            </w:r>
          </w:p>
        </w:tc>
      </w:tr>
      <w:tr w:rsidR="005A6F80" w:rsidRPr="0089195B" w:rsidTr="00C117EE">
        <w:trPr>
          <w:trHeight w:val="344"/>
          <w:jc w:val="center"/>
        </w:trPr>
        <w:tc>
          <w:tcPr>
            <w:tcW w:w="656" w:type="dxa"/>
            <w:vMerge/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</w:rPr>
            </w:pPr>
          </w:p>
        </w:tc>
        <w:tc>
          <w:tcPr>
            <w:tcW w:w="1994" w:type="dxa"/>
            <w:vMerge/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</w:p>
        </w:tc>
        <w:tc>
          <w:tcPr>
            <w:tcW w:w="286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kern w:val="2"/>
                <w:szCs w:val="24"/>
                <w:lang w:eastAsia="zh-CN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>Neuron death (GO:0070997)</w:t>
            </w:r>
          </w:p>
        </w:tc>
        <w:tc>
          <w:tcPr>
            <w:tcW w:w="122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>-10</w:t>
            </w:r>
          </w:p>
        </w:tc>
      </w:tr>
      <w:tr w:rsidR="005A6F80" w:rsidRPr="0089195B" w:rsidTr="00C117EE">
        <w:trPr>
          <w:trHeight w:val="344"/>
          <w:jc w:val="center"/>
        </w:trPr>
        <w:tc>
          <w:tcPr>
            <w:tcW w:w="65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 w:bidi="ar"/>
              </w:rPr>
              <w:t>1.6</w:t>
            </w:r>
          </w:p>
        </w:tc>
        <w:tc>
          <w:tcPr>
            <w:tcW w:w="199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</w:rPr>
              <w:t>MAP2K1,VCP,JAK2,MAPK3,BCL2L1,TNF,MAPT,CASP3,MTOR</w:t>
            </w: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  <w:r w:rsidRPr="0089195B">
              <w:rPr>
                <w:rFonts w:ascii="Times New Roman" w:eastAsia="SimSun" w:hAnsi="Times New Roman"/>
                <w:noProof/>
                <w:color w:val="000000"/>
                <w:szCs w:val="24"/>
                <w:lang w:val="en-US"/>
              </w:rPr>
              <w:drawing>
                <wp:inline distT="0" distB="0" distL="0" distR="0" wp14:anchorId="3188FFB6" wp14:editId="6FC6B6AA">
                  <wp:extent cx="1502876" cy="814812"/>
                  <wp:effectExtent l="0" t="0" r="2540" b="4445"/>
                  <wp:docPr id="11" name="图片 11" descr="Cluster(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3" descr="Cluster(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835" cy="813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>A</w:t>
            </w:r>
            <w:r w:rsidRPr="0089195B">
              <w:rPr>
                <w:rFonts w:ascii="Times New Roman" w:eastAsia="SimSun" w:hAnsi="Times New Roman"/>
                <w:color w:val="000000"/>
                <w:szCs w:val="24"/>
              </w:rPr>
              <w:t>ctivation of adenylate cyclase activity</w:t>
            </w: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 xml:space="preserve"> (GO:0007190)</w:t>
            </w:r>
          </w:p>
        </w:tc>
        <w:tc>
          <w:tcPr>
            <w:tcW w:w="122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>-8</w:t>
            </w:r>
          </w:p>
        </w:tc>
      </w:tr>
      <w:tr w:rsidR="005A6F80" w:rsidRPr="0089195B" w:rsidTr="00C117EE">
        <w:trPr>
          <w:trHeight w:val="344"/>
          <w:jc w:val="center"/>
        </w:trPr>
        <w:tc>
          <w:tcPr>
            <w:tcW w:w="65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</w:rPr>
            </w:pP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</w:p>
        </w:tc>
        <w:tc>
          <w:tcPr>
            <w:tcW w:w="286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</w:rPr>
              <w:t>G protein-coupled receptor signaling pathway</w:t>
            </w: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 xml:space="preserve"> (GO:0007187)</w:t>
            </w:r>
          </w:p>
        </w:tc>
        <w:tc>
          <w:tcPr>
            <w:tcW w:w="122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>-7</w:t>
            </w:r>
          </w:p>
        </w:tc>
      </w:tr>
      <w:tr w:rsidR="005A6F80" w:rsidRPr="0089195B" w:rsidTr="00C117EE">
        <w:trPr>
          <w:trHeight w:val="344"/>
          <w:jc w:val="center"/>
        </w:trPr>
        <w:tc>
          <w:tcPr>
            <w:tcW w:w="65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</w:rPr>
            </w:pPr>
          </w:p>
        </w:tc>
        <w:tc>
          <w:tcPr>
            <w:tcW w:w="199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A6F80" w:rsidRPr="0089195B" w:rsidRDefault="005A6F80" w:rsidP="00C117EE">
            <w:pPr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>R</w:t>
            </w:r>
            <w:r w:rsidRPr="0089195B">
              <w:rPr>
                <w:rFonts w:ascii="Times New Roman" w:eastAsia="SimSun" w:hAnsi="Times New Roman"/>
                <w:color w:val="000000"/>
                <w:szCs w:val="24"/>
              </w:rPr>
              <w:t>egulation of blood vessel size</w:t>
            </w: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 xml:space="preserve"> (GO:0050880)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6F80" w:rsidRPr="0089195B" w:rsidRDefault="005A6F80" w:rsidP="00C117EE">
            <w:pPr>
              <w:jc w:val="center"/>
              <w:textAlignment w:val="center"/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  <w:r w:rsidRPr="0089195B"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  <w:t>-6</w:t>
            </w:r>
          </w:p>
        </w:tc>
      </w:tr>
    </w:tbl>
    <w:p w:rsidR="00342BD7" w:rsidRDefault="00342BD7">
      <w:bookmarkStart w:id="0" w:name="_GoBack"/>
      <w:bookmarkEnd w:id="0"/>
    </w:p>
    <w:sectPr w:rsidR="00342B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F80"/>
    <w:rsid w:val="00342BD7"/>
    <w:rsid w:val="005A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FD0DF"/>
  <w15:chartTrackingRefBased/>
  <w15:docId w15:val="{775DA191-6124-4430-A0EE-362F52AA3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F80"/>
    <w:pPr>
      <w:spacing w:after="0" w:line="240" w:lineRule="auto"/>
    </w:pPr>
    <w:rPr>
      <w:rFonts w:ascii="Times" w:eastAsiaTheme="minorEastAsia" w:hAnsi="Times" w:cs="Times New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Indented">
    <w:name w:val="BodytextIndented"/>
    <w:basedOn w:val="Normal"/>
    <w:rsid w:val="005A6F80"/>
    <w:pPr>
      <w:ind w:firstLine="284"/>
      <w:jc w:val="both"/>
    </w:pPr>
    <w:rPr>
      <w:iCs/>
      <w:color w:val="000000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1306</Characters>
  <Application>Microsoft Office Word</Application>
  <DocSecurity>0</DocSecurity>
  <Lines>10</Lines>
  <Paragraphs>3</Paragraphs>
  <ScaleCrop>false</ScaleCrop>
  <Company>Springer Nature IT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2022-04-30T14:13:00Z</dcterms:created>
  <dcterms:modified xsi:type="dcterms:W3CDTF">2022-04-30T14:13:00Z</dcterms:modified>
</cp:coreProperties>
</file>