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3A2F" w:rsidRDefault="002E3A2F" w:rsidP="00B91E44">
      <w:pPr>
        <w:spacing w:line="480" w:lineRule="auto"/>
        <w:rPr>
          <w:rFonts w:asciiTheme="majorBidi" w:hAnsiTheme="majorBidi" w:cstheme="majorBidi"/>
          <w:b/>
          <w:bCs/>
        </w:rPr>
      </w:pPr>
    </w:p>
    <w:p w:rsidR="00B91E44" w:rsidRPr="00106407" w:rsidRDefault="007A1557" w:rsidP="00106407">
      <w:pPr>
        <w:pStyle w:val="Heading1"/>
        <w:rPr>
          <w:rFonts w:asciiTheme="majorBidi" w:hAnsiTheme="majorBidi"/>
        </w:rPr>
      </w:pPr>
      <w:r w:rsidRPr="00106407">
        <w:rPr>
          <w:rFonts w:asciiTheme="majorBidi" w:hAnsiTheme="majorBidi"/>
        </w:rPr>
        <w:t xml:space="preserve"> </w:t>
      </w:r>
      <w:r w:rsidR="00B91E44" w:rsidRPr="00106407">
        <w:rPr>
          <w:rFonts w:asciiTheme="majorBidi" w:hAnsiTheme="majorBidi"/>
        </w:rPr>
        <w:t xml:space="preserve">Flow cytometry </w:t>
      </w:r>
    </w:p>
    <w:p w:rsidR="00106407" w:rsidRDefault="00106407" w:rsidP="00106407">
      <w:pPr>
        <w:pStyle w:val="Heading2"/>
        <w:rPr>
          <w:rFonts w:asciiTheme="majorBidi" w:hAnsiTheme="majorBidi"/>
          <w:lang w:val="en-US"/>
        </w:rPr>
      </w:pPr>
    </w:p>
    <w:p w:rsidR="00106407" w:rsidRPr="00106407" w:rsidRDefault="00106407" w:rsidP="00106407">
      <w:pPr>
        <w:pStyle w:val="Heading2"/>
        <w:rPr>
          <w:rFonts w:asciiTheme="majorBidi" w:hAnsiTheme="majorBidi"/>
          <w:lang w:val="en-US"/>
        </w:rPr>
      </w:pPr>
      <w:r w:rsidRPr="00106407">
        <w:rPr>
          <w:rFonts w:asciiTheme="majorBidi" w:hAnsiTheme="majorBidi"/>
          <w:lang w:val="en-US"/>
        </w:rPr>
        <w:t>Flow cytometry gating strategy</w:t>
      </w:r>
    </w:p>
    <w:p w:rsidR="00106407" w:rsidRDefault="00106407" w:rsidP="00106407">
      <w:pPr>
        <w:spacing w:line="480" w:lineRule="auto"/>
        <w:rPr>
          <w:rFonts w:asciiTheme="majorBidi" w:hAnsiTheme="majorBidi" w:cstheme="majorBidi"/>
          <w:lang w:val="en-US"/>
        </w:rPr>
      </w:pPr>
    </w:p>
    <w:p w:rsidR="00106407" w:rsidRDefault="00106407" w:rsidP="00106407">
      <w:pPr>
        <w:spacing w:line="480" w:lineRule="auto"/>
        <w:jc w:val="center"/>
        <w:rPr>
          <w:rFonts w:asciiTheme="majorBidi" w:hAnsiTheme="majorBidi" w:cstheme="majorBidi"/>
          <w:lang w:val="en-US"/>
        </w:rPr>
      </w:pPr>
      <w:r>
        <w:rPr>
          <w:rFonts w:asciiTheme="majorBidi" w:hAnsiTheme="majorBidi" w:cstheme="majorBidi"/>
          <w:noProof/>
          <w:lang w:val="en-US"/>
        </w:rPr>
        <w:drawing>
          <wp:inline distT="0" distB="0" distL="0" distR="0">
            <wp:extent cx="5943600" cy="304101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tiff"/>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041015"/>
                    </a:xfrm>
                    <a:prstGeom prst="rect">
                      <a:avLst/>
                    </a:prstGeom>
                  </pic:spPr>
                </pic:pic>
              </a:graphicData>
            </a:graphic>
          </wp:inline>
        </w:drawing>
      </w:r>
    </w:p>
    <w:p w:rsidR="00106407" w:rsidRPr="00106407" w:rsidRDefault="00106407" w:rsidP="00106407">
      <w:pPr>
        <w:spacing w:line="480" w:lineRule="auto"/>
        <w:rPr>
          <w:rFonts w:asciiTheme="majorBidi" w:hAnsiTheme="majorBidi" w:cstheme="majorBidi"/>
          <w:lang w:val="en-US"/>
        </w:rPr>
      </w:pPr>
      <w:r w:rsidRPr="00106407">
        <w:rPr>
          <w:rFonts w:asciiTheme="majorBidi" w:hAnsiTheme="majorBidi" w:cstheme="majorBidi"/>
          <w:lang w:val="en-US"/>
        </w:rPr>
        <w:t>Figure 1. Flow cytometry gating strategy of monocytes and monocyte subsets.</w:t>
      </w:r>
    </w:p>
    <w:p w:rsidR="00106407" w:rsidRPr="00106407" w:rsidRDefault="00106407" w:rsidP="00106407">
      <w:pPr>
        <w:spacing w:line="480" w:lineRule="auto"/>
        <w:rPr>
          <w:rFonts w:asciiTheme="majorBidi" w:hAnsiTheme="majorBidi" w:cstheme="majorBidi"/>
          <w:lang w:val="en-US"/>
        </w:rPr>
      </w:pPr>
      <w:r w:rsidRPr="00106407">
        <w:rPr>
          <w:rFonts w:asciiTheme="majorBidi" w:hAnsiTheme="majorBidi" w:cstheme="majorBidi"/>
          <w:lang w:val="en-US"/>
        </w:rPr>
        <w:t>Representative gating strategy for CD11b</w:t>
      </w:r>
      <w:r w:rsidRPr="00106407">
        <w:rPr>
          <w:rFonts w:asciiTheme="majorBidi" w:hAnsiTheme="majorBidi" w:cstheme="majorBidi"/>
          <w:vertAlign w:val="superscript"/>
          <w:lang w:val="en-US"/>
        </w:rPr>
        <w:t>+</w:t>
      </w:r>
      <w:r w:rsidRPr="00106407">
        <w:rPr>
          <w:rFonts w:asciiTheme="majorBidi" w:hAnsiTheme="majorBidi" w:cstheme="majorBidi"/>
          <w:lang w:val="en-US"/>
        </w:rPr>
        <w:t xml:space="preserve"> CD115</w:t>
      </w:r>
      <w:r w:rsidRPr="00106407">
        <w:rPr>
          <w:rFonts w:asciiTheme="majorBidi" w:hAnsiTheme="majorBidi" w:cstheme="majorBidi"/>
          <w:vertAlign w:val="superscript"/>
          <w:lang w:val="en-US"/>
        </w:rPr>
        <w:t>+</w:t>
      </w:r>
      <w:r w:rsidRPr="00106407">
        <w:rPr>
          <w:rFonts w:asciiTheme="majorBidi" w:hAnsiTheme="majorBidi" w:cstheme="majorBidi"/>
          <w:lang w:val="en-US"/>
        </w:rPr>
        <w:t xml:space="preserve"> monocyte and Ly6C monocyte subsets for all experiments and mouse models. To identify absolute counting of cell populations, 123count </w:t>
      </w:r>
      <w:proofErr w:type="spellStart"/>
      <w:r w:rsidRPr="00106407">
        <w:rPr>
          <w:rFonts w:asciiTheme="majorBidi" w:hAnsiTheme="majorBidi" w:cstheme="majorBidi"/>
          <w:lang w:val="en-US"/>
        </w:rPr>
        <w:t>eBeads</w:t>
      </w:r>
      <w:proofErr w:type="spellEnd"/>
      <w:r w:rsidRPr="00106407">
        <w:rPr>
          <w:rFonts w:asciiTheme="majorBidi" w:hAnsiTheme="majorBidi" w:cstheme="majorBidi"/>
          <w:lang w:val="en-US"/>
        </w:rPr>
        <w:t>™ are gated. Bead population excluded, and doublet discrimination is performed with a singlet gate (FSC-H/FSC-A dot blot). Dead/live analysis was performed (not shown here). Next, CD45</w:t>
      </w:r>
      <w:r w:rsidRPr="00106407">
        <w:rPr>
          <w:rFonts w:asciiTheme="majorBidi" w:hAnsiTheme="majorBidi" w:cstheme="majorBidi"/>
          <w:vertAlign w:val="superscript"/>
          <w:lang w:val="en-US"/>
        </w:rPr>
        <w:t>+</w:t>
      </w:r>
      <w:r w:rsidRPr="00106407">
        <w:rPr>
          <w:rFonts w:asciiTheme="majorBidi" w:hAnsiTheme="majorBidi" w:cstheme="majorBidi"/>
          <w:lang w:val="en-US"/>
        </w:rPr>
        <w:t>/CD11b</w:t>
      </w:r>
      <w:r w:rsidRPr="00106407">
        <w:rPr>
          <w:rFonts w:asciiTheme="majorBidi" w:hAnsiTheme="majorBidi" w:cstheme="majorBidi"/>
          <w:vertAlign w:val="superscript"/>
          <w:lang w:val="en-US"/>
        </w:rPr>
        <w:t>+</w:t>
      </w:r>
      <w:r w:rsidRPr="00106407">
        <w:rPr>
          <w:rFonts w:asciiTheme="majorBidi" w:hAnsiTheme="majorBidi" w:cstheme="majorBidi"/>
          <w:lang w:val="en-US"/>
        </w:rPr>
        <w:t>/Ly6G</w:t>
      </w:r>
      <w:r w:rsidRPr="00106407">
        <w:rPr>
          <w:rFonts w:asciiTheme="majorBidi" w:hAnsiTheme="majorBidi" w:cstheme="majorBidi"/>
          <w:vertAlign w:val="superscript"/>
          <w:lang w:val="en-US"/>
        </w:rPr>
        <w:t>+</w:t>
      </w:r>
      <w:r w:rsidRPr="00106407">
        <w:rPr>
          <w:rFonts w:asciiTheme="majorBidi" w:hAnsiTheme="majorBidi" w:cstheme="majorBidi"/>
          <w:lang w:val="en-US"/>
        </w:rPr>
        <w:t xml:space="preserve"> cells were considered as neutrophils. Neutrophil cell population gated out. Next, monocytes were identified with CD45, CD11b and CD115 expression. Monocyte subsets were further subdivided into three populations based on the expression of Ly6C: Ly6C</w:t>
      </w:r>
      <w:r w:rsidRPr="00106407">
        <w:rPr>
          <w:rFonts w:asciiTheme="majorBidi" w:hAnsiTheme="majorBidi" w:cstheme="majorBidi"/>
          <w:vertAlign w:val="superscript"/>
          <w:lang w:val="en-US"/>
        </w:rPr>
        <w:t>high</w:t>
      </w:r>
      <w:r w:rsidRPr="00106407">
        <w:rPr>
          <w:rFonts w:asciiTheme="majorBidi" w:hAnsiTheme="majorBidi" w:cstheme="majorBidi"/>
          <w:lang w:val="en-US"/>
        </w:rPr>
        <w:t>, Ly6C</w:t>
      </w:r>
      <w:r w:rsidRPr="00106407">
        <w:rPr>
          <w:rFonts w:asciiTheme="majorBidi" w:hAnsiTheme="majorBidi" w:cstheme="majorBidi"/>
          <w:vertAlign w:val="superscript"/>
          <w:lang w:val="en-US"/>
        </w:rPr>
        <w:t>int</w:t>
      </w:r>
      <w:r w:rsidRPr="00106407">
        <w:rPr>
          <w:rFonts w:asciiTheme="majorBidi" w:hAnsiTheme="majorBidi" w:cstheme="majorBidi"/>
          <w:lang w:val="en-US"/>
        </w:rPr>
        <w:t xml:space="preserve"> and Ly6C</w:t>
      </w:r>
      <w:r w:rsidRPr="00106407">
        <w:rPr>
          <w:rFonts w:asciiTheme="majorBidi" w:hAnsiTheme="majorBidi" w:cstheme="majorBidi"/>
          <w:vertAlign w:val="superscript"/>
          <w:lang w:val="en-US"/>
        </w:rPr>
        <w:t>low</w:t>
      </w:r>
      <w:r w:rsidRPr="00106407">
        <w:rPr>
          <w:rFonts w:asciiTheme="majorBidi" w:hAnsiTheme="majorBidi" w:cstheme="majorBidi"/>
          <w:lang w:val="en-US"/>
        </w:rPr>
        <w:t xml:space="preserve"> correspond respectively to inflammatory, intermediate and patrolling monocytes. Pictures were adopted from (</w:t>
      </w:r>
      <w:proofErr w:type="spellStart"/>
      <w:r w:rsidRPr="00106407">
        <w:rPr>
          <w:rFonts w:asciiTheme="majorBidi" w:hAnsiTheme="majorBidi" w:cstheme="majorBidi"/>
          <w:lang w:val="en-US"/>
        </w:rPr>
        <w:t>Lessard</w:t>
      </w:r>
      <w:proofErr w:type="spellEnd"/>
      <w:r w:rsidRPr="00106407">
        <w:rPr>
          <w:rFonts w:asciiTheme="majorBidi" w:hAnsiTheme="majorBidi" w:cstheme="majorBidi"/>
          <w:lang w:val="en-US"/>
        </w:rPr>
        <w:t xml:space="preserve">, </w:t>
      </w:r>
      <w:proofErr w:type="spellStart"/>
      <w:r w:rsidRPr="00106407">
        <w:rPr>
          <w:rFonts w:asciiTheme="majorBidi" w:hAnsiTheme="majorBidi" w:cstheme="majorBidi"/>
          <w:lang w:val="en-US"/>
        </w:rPr>
        <w:t>LeBel</w:t>
      </w:r>
      <w:proofErr w:type="spellEnd"/>
      <w:r w:rsidRPr="00106407">
        <w:rPr>
          <w:rFonts w:asciiTheme="majorBidi" w:hAnsiTheme="majorBidi" w:cstheme="majorBidi"/>
          <w:lang w:val="en-US"/>
        </w:rPr>
        <w:t>, et al. 2017).</w:t>
      </w:r>
    </w:p>
    <w:p w:rsidR="00106407" w:rsidRPr="00B91E44" w:rsidRDefault="00106407" w:rsidP="00B91E44">
      <w:pPr>
        <w:spacing w:line="480" w:lineRule="auto"/>
        <w:rPr>
          <w:rFonts w:asciiTheme="majorBidi" w:hAnsiTheme="majorBidi" w:cstheme="majorBidi"/>
          <w:b/>
          <w:bCs/>
        </w:rPr>
      </w:pPr>
    </w:p>
    <w:p w:rsidR="00106407" w:rsidRPr="00106407" w:rsidRDefault="00106407" w:rsidP="00106407">
      <w:pPr>
        <w:pStyle w:val="Heading2"/>
        <w:rPr>
          <w:rFonts w:asciiTheme="majorBidi" w:hAnsiTheme="majorBidi"/>
        </w:rPr>
      </w:pPr>
      <w:r w:rsidRPr="00106407">
        <w:rPr>
          <w:rFonts w:asciiTheme="majorBidi" w:hAnsiTheme="majorBidi"/>
        </w:rPr>
        <w:t>Flow cytometry protocol</w:t>
      </w:r>
    </w:p>
    <w:p w:rsidR="007A1557" w:rsidRPr="001D4FD6" w:rsidRDefault="001D4FD6" w:rsidP="001D4FD6">
      <w:pPr>
        <w:spacing w:line="480" w:lineRule="auto"/>
        <w:rPr>
          <w:rFonts w:asciiTheme="majorBidi" w:hAnsiTheme="majorBidi" w:cstheme="majorBidi"/>
        </w:rPr>
      </w:pPr>
      <w:r>
        <w:rPr>
          <w:rFonts w:asciiTheme="majorBidi" w:hAnsiTheme="majorBidi" w:cstheme="majorBidi"/>
        </w:rPr>
        <w:t>B</w:t>
      </w:r>
      <w:r w:rsidR="00B91E44" w:rsidRPr="00B91E44">
        <w:rPr>
          <w:rFonts w:asciiTheme="majorBidi" w:hAnsiTheme="majorBidi" w:cstheme="majorBidi"/>
        </w:rPr>
        <w:t>riefly, 50 µl of total blood was diluted with 35 µl of DPBS without Ca</w:t>
      </w:r>
      <w:r w:rsidR="00B91E44" w:rsidRPr="00B91E44">
        <w:rPr>
          <w:rFonts w:asciiTheme="majorBidi" w:hAnsiTheme="majorBidi" w:cstheme="majorBidi"/>
          <w:vertAlign w:val="superscript"/>
        </w:rPr>
        <w:t>2+</w:t>
      </w:r>
      <w:r w:rsidR="00B91E44" w:rsidRPr="00B91E44">
        <w:rPr>
          <w:rFonts w:asciiTheme="majorBidi" w:hAnsiTheme="majorBidi" w:cstheme="majorBidi"/>
        </w:rPr>
        <w:t xml:space="preserve"> or Mg</w:t>
      </w:r>
      <w:r w:rsidR="00B91E44" w:rsidRPr="00B91E44">
        <w:rPr>
          <w:rFonts w:asciiTheme="majorBidi" w:hAnsiTheme="majorBidi" w:cstheme="majorBidi"/>
          <w:vertAlign w:val="superscript"/>
        </w:rPr>
        <w:t>2+</w:t>
      </w:r>
      <w:r w:rsidR="00B91E44" w:rsidRPr="00B91E44">
        <w:rPr>
          <w:rFonts w:asciiTheme="majorBidi" w:hAnsiTheme="majorBidi" w:cstheme="majorBidi"/>
        </w:rPr>
        <w:t xml:space="preserve"> and incubated 15 min on ice with purified rat anti–mouse CD16/CD32 antibody (Mouse BD Fc Block; BD). Cells were then labeled at 4°C during 40 min with the following rat anti–mouse antibodies: V500-conjugated anti-CD45 antibody (1/100, BD </w:t>
      </w:r>
      <w:proofErr w:type="spellStart"/>
      <w:r w:rsidR="00B91E44" w:rsidRPr="00B91E44">
        <w:rPr>
          <w:rFonts w:asciiTheme="majorBidi" w:hAnsiTheme="majorBidi" w:cstheme="majorBidi"/>
        </w:rPr>
        <w:t>BioScience</w:t>
      </w:r>
      <w:proofErr w:type="spellEnd"/>
      <w:r w:rsidR="00B91E44" w:rsidRPr="00B91E44">
        <w:rPr>
          <w:rFonts w:asciiTheme="majorBidi" w:hAnsiTheme="majorBidi" w:cstheme="majorBidi"/>
        </w:rPr>
        <w:t xml:space="preserve">), AF700-conjugated anti-CD11b antibody (1/100, </w:t>
      </w:r>
      <w:proofErr w:type="spellStart"/>
      <w:r w:rsidR="00B91E44" w:rsidRPr="00B91E44">
        <w:rPr>
          <w:rFonts w:asciiTheme="majorBidi" w:hAnsiTheme="majorBidi" w:cstheme="majorBidi"/>
        </w:rPr>
        <w:t>eBioscience</w:t>
      </w:r>
      <w:proofErr w:type="spellEnd"/>
      <w:r w:rsidR="00B91E44" w:rsidRPr="00B91E44">
        <w:rPr>
          <w:rFonts w:asciiTheme="majorBidi" w:hAnsiTheme="majorBidi" w:cstheme="majorBidi"/>
        </w:rPr>
        <w:t>), APC (</w:t>
      </w:r>
      <w:proofErr w:type="spellStart"/>
      <w:r w:rsidR="00B91E44" w:rsidRPr="00B91E44">
        <w:rPr>
          <w:rFonts w:asciiTheme="majorBidi" w:hAnsiTheme="majorBidi" w:cstheme="majorBidi"/>
        </w:rPr>
        <w:t>allophycocyanin</w:t>
      </w:r>
      <w:proofErr w:type="spellEnd"/>
      <w:r w:rsidR="00B91E44" w:rsidRPr="00B91E44">
        <w:rPr>
          <w:rFonts w:asciiTheme="majorBidi" w:hAnsiTheme="majorBidi" w:cstheme="majorBidi"/>
        </w:rPr>
        <w:t xml:space="preserve">)-conjugated anti-CD115 antibody (1/100, </w:t>
      </w:r>
      <w:proofErr w:type="spellStart"/>
      <w:r w:rsidR="00B91E44" w:rsidRPr="00B91E44">
        <w:rPr>
          <w:rFonts w:asciiTheme="majorBidi" w:hAnsiTheme="majorBidi" w:cstheme="majorBidi"/>
        </w:rPr>
        <w:t>eBioscience</w:t>
      </w:r>
      <w:proofErr w:type="spellEnd"/>
      <w:r w:rsidR="00B91E44" w:rsidRPr="00B91E44">
        <w:rPr>
          <w:rFonts w:asciiTheme="majorBidi" w:hAnsiTheme="majorBidi" w:cstheme="majorBidi"/>
        </w:rPr>
        <w:t xml:space="preserve">), V450-conjugated anti-Ly6C antibody (1/100, BD </w:t>
      </w:r>
      <w:proofErr w:type="spellStart"/>
      <w:r w:rsidR="00B91E44" w:rsidRPr="00B91E44">
        <w:rPr>
          <w:rFonts w:asciiTheme="majorBidi" w:hAnsiTheme="majorBidi" w:cstheme="majorBidi"/>
        </w:rPr>
        <w:t>BioScience</w:t>
      </w:r>
      <w:proofErr w:type="spellEnd"/>
      <w:r w:rsidR="00B91E44" w:rsidRPr="00B91E44">
        <w:rPr>
          <w:rFonts w:asciiTheme="majorBidi" w:hAnsiTheme="majorBidi" w:cstheme="majorBidi"/>
        </w:rPr>
        <w:t xml:space="preserve">) and PE-conjugated anti-Ly6G antibody (1/100, </w:t>
      </w:r>
      <w:proofErr w:type="spellStart"/>
      <w:r w:rsidR="00B91E44" w:rsidRPr="00B91E44">
        <w:rPr>
          <w:rFonts w:asciiTheme="majorBidi" w:hAnsiTheme="majorBidi" w:cstheme="majorBidi"/>
        </w:rPr>
        <w:t>eBioscience</w:t>
      </w:r>
      <w:proofErr w:type="spellEnd"/>
      <w:r w:rsidR="00B91E44" w:rsidRPr="00B91E44">
        <w:rPr>
          <w:rFonts w:asciiTheme="majorBidi" w:hAnsiTheme="majorBidi" w:cstheme="majorBidi"/>
        </w:rPr>
        <w:t>), FITC-conj</w:t>
      </w:r>
      <w:r>
        <w:rPr>
          <w:rFonts w:asciiTheme="majorBidi" w:hAnsiTheme="majorBidi" w:cstheme="majorBidi"/>
        </w:rPr>
        <w:t>ugated anti-CD19,</w:t>
      </w:r>
      <w:r w:rsidR="00B91E44" w:rsidRPr="00B91E44">
        <w:rPr>
          <w:rFonts w:asciiTheme="majorBidi" w:hAnsiTheme="majorBidi" w:cstheme="majorBidi"/>
        </w:rPr>
        <w:t xml:space="preserve"> and Live/Dead Fixable Blue Dead Cell Stain (Invitrogen, Paisley, UK). Next, red blood cells were lysed with 1.5 ml of 1X Pharm Lyse buffer (BD </w:t>
      </w:r>
      <w:proofErr w:type="spellStart"/>
      <w:r w:rsidR="00B91E44" w:rsidRPr="00B91E44">
        <w:rPr>
          <w:rFonts w:asciiTheme="majorBidi" w:hAnsiTheme="majorBidi" w:cstheme="majorBidi"/>
        </w:rPr>
        <w:t>BioScience</w:t>
      </w:r>
      <w:proofErr w:type="spellEnd"/>
      <w:r w:rsidR="00B91E44" w:rsidRPr="00B91E44">
        <w:rPr>
          <w:rFonts w:asciiTheme="majorBidi" w:hAnsiTheme="majorBidi" w:cstheme="majorBidi"/>
        </w:rPr>
        <w:t xml:space="preserve">) during 20 min at room temperature, and the remaining leukocytes were washed and </w:t>
      </w:r>
      <w:proofErr w:type="spellStart"/>
      <w:r w:rsidR="00B91E44" w:rsidRPr="00B91E44">
        <w:rPr>
          <w:rFonts w:asciiTheme="majorBidi" w:hAnsiTheme="majorBidi" w:cstheme="majorBidi"/>
        </w:rPr>
        <w:t>resuspended</w:t>
      </w:r>
      <w:proofErr w:type="spellEnd"/>
      <w:r w:rsidR="00B91E44" w:rsidRPr="00B91E44">
        <w:rPr>
          <w:rFonts w:asciiTheme="majorBidi" w:hAnsiTheme="majorBidi" w:cstheme="majorBidi"/>
        </w:rPr>
        <w:t xml:space="preserve"> with DPBS without Ca</w:t>
      </w:r>
      <w:r w:rsidR="00B91E44" w:rsidRPr="00B91E44">
        <w:rPr>
          <w:rFonts w:asciiTheme="majorBidi" w:hAnsiTheme="majorBidi" w:cstheme="majorBidi"/>
          <w:vertAlign w:val="superscript"/>
        </w:rPr>
        <w:t>2+</w:t>
      </w:r>
      <w:r w:rsidR="00B91E44" w:rsidRPr="00B91E44">
        <w:rPr>
          <w:rFonts w:asciiTheme="majorBidi" w:hAnsiTheme="majorBidi" w:cstheme="majorBidi"/>
        </w:rPr>
        <w:t xml:space="preserve"> and Mg</w:t>
      </w:r>
      <w:r w:rsidR="00B91E44" w:rsidRPr="00B91E44">
        <w:rPr>
          <w:rFonts w:asciiTheme="majorBidi" w:hAnsiTheme="majorBidi" w:cstheme="majorBidi"/>
          <w:vertAlign w:val="superscript"/>
        </w:rPr>
        <w:t>2+</w:t>
      </w:r>
      <w:r w:rsidR="00B91E44" w:rsidRPr="00B91E44">
        <w:rPr>
          <w:rFonts w:asciiTheme="majorBidi" w:hAnsiTheme="majorBidi" w:cstheme="majorBidi"/>
        </w:rPr>
        <w:t>. More information about the procedure can be found at</w:t>
      </w:r>
      <w:r w:rsidR="00B91E44" w:rsidRPr="00B91E44">
        <w:rPr>
          <w:rFonts w:asciiTheme="majorBidi" w:hAnsiTheme="majorBidi" w:cstheme="majorBidi"/>
        </w:rPr>
        <w:fldChar w:fldCharType="begin"/>
      </w:r>
      <w:r w:rsidR="00B91E44" w:rsidRPr="00B91E44">
        <w:rPr>
          <w:rFonts w:asciiTheme="majorBidi" w:hAnsiTheme="majorBidi" w:cstheme="majorBidi"/>
        </w:rPr>
        <w:instrText xml:space="preserve"> ADDIN EN.CITE &lt;EndNote&gt;&lt;Cite&gt;&lt;Author&gt;Thériault&lt;/Author&gt;&lt;Year&gt;2016&lt;/Year&gt;&lt;RecNum&gt;156&lt;/RecNum&gt;&lt;DisplayText&gt;(Thériault, ElAli et al. 2016)&lt;/DisplayText&gt;&lt;record&gt;&lt;rec-number&gt;156&lt;/rec-number&gt;&lt;foreign-keys&gt;&lt;key app="EN" db-id="0dazvzepo9zzzjedwdsx5z26xezwstv0wepr" timestamp="1552347005"&gt;156&lt;/key&gt;&lt;/foreign-keys&gt;&lt;ref-type name="Journal Article"&gt;17&lt;/ref-type&gt;&lt;contributors&gt;&lt;authors&gt;&lt;author&gt;Thériault, Peter&lt;/author&gt;&lt;author&gt;ElAli, Ayman&lt;/author&gt;&lt;author&gt;Rivest, Serge&lt;/author&gt;&lt;/authors&gt;&lt;/contributors&gt;&lt;titles&gt;&lt;title&gt;High fat diet exacerbates Alzheimer&amp;apos;s disease-related pathology in APPswe/PS1 mice&lt;/title&gt;&lt;secondary-title&gt;Oncotarget&lt;/secondary-title&gt;&lt;/titles&gt;&lt;periodical&gt;&lt;full-title&gt;Oncotarget&lt;/full-title&gt;&lt;/periodical&gt;&lt;pages&gt;67808&lt;/pages&gt;&lt;volume&gt;7&lt;/volume&gt;&lt;number&gt;42&lt;/number&gt;&lt;dates&gt;&lt;year&gt;2016&lt;/year&gt;&lt;/dates&gt;&lt;urls&gt;&lt;/urls&gt;&lt;/record&gt;&lt;/Cite&gt;&lt;/EndNote&gt;</w:instrText>
      </w:r>
      <w:r w:rsidR="00B91E44" w:rsidRPr="00B91E44">
        <w:rPr>
          <w:rFonts w:asciiTheme="majorBidi" w:hAnsiTheme="majorBidi" w:cstheme="majorBidi"/>
        </w:rPr>
        <w:fldChar w:fldCharType="separate"/>
      </w:r>
      <w:r w:rsidR="00B91E44" w:rsidRPr="00B91E44">
        <w:rPr>
          <w:rFonts w:asciiTheme="majorBidi" w:hAnsiTheme="majorBidi" w:cstheme="majorBidi"/>
        </w:rPr>
        <w:t>(Thériault, ElAli et al. 2016)</w:t>
      </w:r>
      <w:r w:rsidR="00B91E44" w:rsidRPr="00B91E44">
        <w:rPr>
          <w:rFonts w:asciiTheme="majorBidi" w:hAnsiTheme="majorBidi" w:cstheme="majorBidi"/>
        </w:rPr>
        <w:fldChar w:fldCharType="end"/>
      </w:r>
      <w:r w:rsidR="00B91E44" w:rsidRPr="00B91E44">
        <w:rPr>
          <w:rFonts w:asciiTheme="majorBidi" w:hAnsiTheme="majorBidi" w:cstheme="majorBidi"/>
        </w:rPr>
        <w:t xml:space="preserve"> </w:t>
      </w:r>
    </w:p>
    <w:p w:rsidR="007A1557" w:rsidRPr="00106407" w:rsidRDefault="007A1557" w:rsidP="00106407">
      <w:pPr>
        <w:pStyle w:val="Heading1"/>
        <w:rPr>
          <w:rFonts w:asciiTheme="majorBidi" w:hAnsiTheme="majorBidi"/>
          <w:lang w:val="en-US"/>
        </w:rPr>
      </w:pPr>
      <w:r w:rsidRPr="00106407">
        <w:rPr>
          <w:rFonts w:asciiTheme="majorBidi" w:hAnsiTheme="majorBidi"/>
          <w:lang w:val="en-US"/>
        </w:rPr>
        <w:t>Two-Photon Intravital Microscopy Imaging</w:t>
      </w:r>
    </w:p>
    <w:p w:rsidR="007A1557" w:rsidRPr="00106407" w:rsidRDefault="007A1557" w:rsidP="00106407">
      <w:pPr>
        <w:pStyle w:val="Heading2"/>
        <w:rPr>
          <w:rFonts w:asciiTheme="majorBidi" w:hAnsiTheme="majorBidi"/>
          <w:lang w:val="en-US"/>
        </w:rPr>
      </w:pPr>
      <w:r w:rsidRPr="00106407">
        <w:rPr>
          <w:rFonts w:asciiTheme="majorBidi" w:hAnsiTheme="majorBidi"/>
          <w:lang w:val="en-US"/>
        </w:rPr>
        <w:t>Mouse strains</w:t>
      </w:r>
    </w:p>
    <w:p w:rsidR="007A1557" w:rsidRPr="007A1557" w:rsidRDefault="007A1557" w:rsidP="007A1557">
      <w:pPr>
        <w:spacing w:line="480" w:lineRule="auto"/>
        <w:rPr>
          <w:rFonts w:asciiTheme="majorBidi" w:hAnsiTheme="majorBidi" w:cstheme="majorBidi"/>
          <w:lang w:val="en-US"/>
        </w:rPr>
      </w:pPr>
      <w:r w:rsidRPr="007A1557">
        <w:rPr>
          <w:rFonts w:asciiTheme="majorBidi" w:hAnsiTheme="majorBidi" w:cstheme="majorBidi"/>
          <w:lang w:val="en-US"/>
        </w:rPr>
        <w:t xml:space="preserve">Mouse strains Cx3cr1gfp[B6.129P-Cx3cr1tm1Litt/J], </w:t>
      </w:r>
      <w:proofErr w:type="spellStart"/>
      <w:r w:rsidRPr="007A1557">
        <w:rPr>
          <w:rFonts w:asciiTheme="majorBidi" w:hAnsiTheme="majorBidi" w:cstheme="majorBidi"/>
          <w:lang w:val="en-US"/>
        </w:rPr>
        <w:t>Gfp</w:t>
      </w:r>
      <w:proofErr w:type="spellEnd"/>
      <w:r w:rsidRPr="007A1557">
        <w:rPr>
          <w:rFonts w:asciiTheme="majorBidi" w:hAnsiTheme="majorBidi" w:cstheme="majorBidi"/>
          <w:lang w:val="en-US"/>
        </w:rPr>
        <w:t xml:space="preserve"> (under control of the chicken β-actin promoter and cytomegalovirus enhancer) and </w:t>
      </w:r>
      <w:proofErr w:type="spellStart"/>
      <w:r w:rsidRPr="007A1557">
        <w:rPr>
          <w:rFonts w:asciiTheme="majorBidi" w:hAnsiTheme="majorBidi" w:cstheme="majorBidi"/>
          <w:lang w:val="en-US"/>
        </w:rPr>
        <w:t>APPSwe</w:t>
      </w:r>
      <w:proofErr w:type="spellEnd"/>
      <w:r w:rsidRPr="007A1557">
        <w:rPr>
          <w:rFonts w:asciiTheme="majorBidi" w:hAnsiTheme="majorBidi" w:cstheme="majorBidi"/>
          <w:lang w:val="en-US"/>
        </w:rPr>
        <w:t>/PS1 expressing the chimeric mouse/human amyloid precursor protein (Mo/HuAPP695swe) and a mutant human presenilin 1 (PS1- dE9) under the control of independent mouse prion promoter elements [B</w:t>
      </w:r>
      <w:proofErr w:type="gramStart"/>
      <w:r w:rsidRPr="007A1557">
        <w:rPr>
          <w:rFonts w:asciiTheme="majorBidi" w:hAnsiTheme="majorBidi" w:cstheme="majorBidi"/>
          <w:lang w:val="en-US"/>
        </w:rPr>
        <w:t>6.CgTg</w:t>
      </w:r>
      <w:proofErr w:type="gramEnd"/>
      <w:r w:rsidRPr="007A1557">
        <w:rPr>
          <w:rFonts w:asciiTheme="majorBidi" w:hAnsiTheme="majorBidi" w:cstheme="majorBidi"/>
          <w:lang w:val="en-US"/>
        </w:rPr>
        <w:t>(APPswe,PSEN1dE9)85Dbo/J] transgenic mice were purchased from the Jackson Laboratory (Bar Harbor, ME, USA).  All mice were maintained in a pure C57BL/6J background, bred in house and newborn pups were genotyped with PCR as advised by Jackson Laboratory protocols. Only males were used in the experiments. Animals were acclimated to standard laboratory conditions (12-h light/dark cycle, lights on from 7h15 to 19h15) with ad libitum access to mouse chow and water. All animal procedures were conducted according to the Canadian Council on Animal Care guidelines, as administered by the Laval University Animal Welfare Committee. In the Cx3cr1gfp/+ mouse, microglia, perivascular macrophages and monocytes, which all express CX3CR1, are GFP+.</w:t>
      </w:r>
    </w:p>
    <w:p w:rsidR="007A1557" w:rsidRPr="00106407" w:rsidRDefault="007A1557" w:rsidP="00106407">
      <w:pPr>
        <w:pStyle w:val="Heading2"/>
        <w:rPr>
          <w:rFonts w:asciiTheme="majorBidi" w:hAnsiTheme="majorBidi"/>
          <w:lang w:val="en-US"/>
        </w:rPr>
      </w:pPr>
      <w:r w:rsidRPr="00106407">
        <w:rPr>
          <w:rFonts w:asciiTheme="majorBidi" w:hAnsiTheme="majorBidi"/>
          <w:lang w:val="en-US"/>
        </w:rPr>
        <w:t xml:space="preserve">Cranial window preparation for chronic </w:t>
      </w:r>
      <w:proofErr w:type="spellStart"/>
      <w:r w:rsidRPr="00106407">
        <w:rPr>
          <w:rFonts w:asciiTheme="majorBidi" w:hAnsiTheme="majorBidi"/>
          <w:lang w:val="en-US"/>
        </w:rPr>
        <w:t>intravital</w:t>
      </w:r>
      <w:proofErr w:type="spellEnd"/>
      <w:r w:rsidRPr="00106407">
        <w:rPr>
          <w:rFonts w:asciiTheme="majorBidi" w:hAnsiTheme="majorBidi"/>
          <w:lang w:val="en-US"/>
        </w:rPr>
        <w:t xml:space="preserve"> imaging</w:t>
      </w:r>
    </w:p>
    <w:p w:rsidR="007A1557" w:rsidRPr="007A1557" w:rsidRDefault="007A1557" w:rsidP="007A1557">
      <w:pPr>
        <w:spacing w:line="480" w:lineRule="auto"/>
        <w:rPr>
          <w:rFonts w:asciiTheme="majorBidi" w:hAnsiTheme="majorBidi" w:cstheme="majorBidi"/>
          <w:lang w:val="en-US"/>
        </w:rPr>
      </w:pPr>
      <w:r w:rsidRPr="007A1557">
        <w:rPr>
          <w:rFonts w:asciiTheme="majorBidi" w:hAnsiTheme="majorBidi" w:cstheme="majorBidi"/>
          <w:lang w:val="en-US"/>
        </w:rPr>
        <w:t>Craniotomy and cranial window preparation were performed as previously described with minor modifications (</w:t>
      </w:r>
      <w:proofErr w:type="spellStart"/>
      <w:r w:rsidRPr="007A1557">
        <w:rPr>
          <w:rFonts w:asciiTheme="majorBidi" w:hAnsiTheme="majorBidi" w:cstheme="majorBidi"/>
          <w:lang w:val="en-US"/>
        </w:rPr>
        <w:t>Mostany</w:t>
      </w:r>
      <w:proofErr w:type="spellEnd"/>
      <w:r w:rsidRPr="007A1557">
        <w:rPr>
          <w:rFonts w:asciiTheme="majorBidi" w:hAnsiTheme="majorBidi" w:cstheme="majorBidi"/>
          <w:lang w:val="en-US"/>
        </w:rPr>
        <w:t xml:space="preserve"> and </w:t>
      </w:r>
      <w:proofErr w:type="spellStart"/>
      <w:r w:rsidRPr="007A1557">
        <w:rPr>
          <w:rFonts w:asciiTheme="majorBidi" w:hAnsiTheme="majorBidi" w:cstheme="majorBidi"/>
          <w:lang w:val="en-US"/>
        </w:rPr>
        <w:t>Portera-Cailliau</w:t>
      </w:r>
      <w:proofErr w:type="spellEnd"/>
      <w:r w:rsidRPr="007A1557">
        <w:rPr>
          <w:rFonts w:asciiTheme="majorBidi" w:hAnsiTheme="majorBidi" w:cstheme="majorBidi"/>
          <w:lang w:val="en-US"/>
        </w:rPr>
        <w:t xml:space="preserve">, 2008). Briefly, mice were anesthetized with isoflurane and the surgical site was shaved and sterilized with 2% chlorhexidine, 70% ethanol and </w:t>
      </w:r>
      <w:proofErr w:type="spellStart"/>
      <w:r w:rsidRPr="007A1557">
        <w:rPr>
          <w:rFonts w:asciiTheme="majorBidi" w:hAnsiTheme="majorBidi" w:cstheme="majorBidi"/>
          <w:lang w:val="en-US"/>
        </w:rPr>
        <w:t>providone</w:t>
      </w:r>
      <w:proofErr w:type="spellEnd"/>
      <w:r w:rsidRPr="007A1557">
        <w:rPr>
          <w:rFonts w:asciiTheme="majorBidi" w:hAnsiTheme="majorBidi" w:cstheme="majorBidi"/>
          <w:lang w:val="en-US"/>
        </w:rPr>
        <w:t xml:space="preserve"> iodine. Animals were placed on a stereotaxic apparatus (Kopf Instruments, Tujunga, CA, USA) and the ophthalmic ointment </w:t>
      </w:r>
      <w:proofErr w:type="spellStart"/>
      <w:r w:rsidRPr="007A1557">
        <w:rPr>
          <w:rFonts w:asciiTheme="majorBidi" w:hAnsiTheme="majorBidi" w:cstheme="majorBidi"/>
          <w:lang w:val="en-US"/>
        </w:rPr>
        <w:t>Lacri</w:t>
      </w:r>
      <w:proofErr w:type="spellEnd"/>
      <w:r w:rsidRPr="007A1557">
        <w:rPr>
          <w:rFonts w:asciiTheme="majorBidi" w:hAnsiTheme="majorBidi" w:cstheme="majorBidi"/>
          <w:lang w:val="en-US"/>
        </w:rPr>
        <w:t>-Lube (Allergan, Markham, ON, CAN) was applied once the head was secured. Part of the scalp was removed, the right parietal bone was gently scraped with a scalpel blade and thinned by drilling a 6 mm wide circle so the bone flap could be delicately lifted up with small forceps. Occasional bleedings were stopped by applying Gel foam (</w:t>
      </w:r>
      <w:proofErr w:type="spellStart"/>
      <w:r w:rsidRPr="007A1557">
        <w:rPr>
          <w:rFonts w:asciiTheme="majorBidi" w:hAnsiTheme="majorBidi" w:cstheme="majorBidi"/>
          <w:lang w:val="en-US"/>
        </w:rPr>
        <w:t>Spongostan</w:t>
      </w:r>
      <w:proofErr w:type="spellEnd"/>
      <w:r w:rsidRPr="007A1557">
        <w:rPr>
          <w:rFonts w:asciiTheme="majorBidi" w:hAnsiTheme="majorBidi" w:cstheme="majorBidi"/>
          <w:lang w:val="en-US"/>
        </w:rPr>
        <w:t xml:space="preserve">, Johnston &amp; Johnson) soaked with sterile saline. A 5 mm round glass coverslip (Electron Microscopy Sciences, Hatfield, PA, USA) was laid on the dura mater and fixed with cyanoacrylate glue. The remaining surface of the skull was covered with dental acrylic and allowed to dry completely. Animals were maintained at 37°C throughout the procedure and 1 ml of sterile saline was administered subcutaneously after the surgery. Animals were also given 0,15 mg of </w:t>
      </w:r>
      <w:proofErr w:type="spellStart"/>
      <w:r w:rsidRPr="007A1557">
        <w:rPr>
          <w:rFonts w:asciiTheme="majorBidi" w:hAnsiTheme="majorBidi" w:cstheme="majorBidi"/>
          <w:lang w:val="en-US"/>
        </w:rPr>
        <w:t>carprofen</w:t>
      </w:r>
      <w:proofErr w:type="spellEnd"/>
      <w:r w:rsidRPr="007A1557">
        <w:rPr>
          <w:rFonts w:asciiTheme="majorBidi" w:hAnsiTheme="majorBidi" w:cstheme="majorBidi"/>
          <w:lang w:val="en-US"/>
        </w:rPr>
        <w:t xml:space="preserve"> (Pfizer, Kirkland, QC, CAN) subcutaneously (</w:t>
      </w:r>
      <w:proofErr w:type="spellStart"/>
      <w:r w:rsidRPr="007A1557">
        <w:rPr>
          <w:rFonts w:asciiTheme="majorBidi" w:hAnsiTheme="majorBidi" w:cstheme="majorBidi"/>
          <w:lang w:val="en-US"/>
        </w:rPr>
        <w:t>s.c.</w:t>
      </w:r>
      <w:proofErr w:type="spellEnd"/>
      <w:r w:rsidRPr="007A1557">
        <w:rPr>
          <w:rFonts w:asciiTheme="majorBidi" w:hAnsiTheme="majorBidi" w:cstheme="majorBidi"/>
          <w:lang w:val="en-US"/>
        </w:rPr>
        <w:t xml:space="preserve">) QD for 4-days post-surgery. Mice were allowed to recover during at least 3 weeks before </w:t>
      </w:r>
      <w:proofErr w:type="spellStart"/>
      <w:r w:rsidRPr="007A1557">
        <w:rPr>
          <w:rFonts w:asciiTheme="majorBidi" w:hAnsiTheme="majorBidi" w:cstheme="majorBidi"/>
          <w:lang w:val="en-US"/>
        </w:rPr>
        <w:t>intravital</w:t>
      </w:r>
      <w:proofErr w:type="spellEnd"/>
      <w:r w:rsidRPr="007A1557">
        <w:rPr>
          <w:rFonts w:asciiTheme="majorBidi" w:hAnsiTheme="majorBidi" w:cstheme="majorBidi"/>
          <w:lang w:val="en-US"/>
        </w:rPr>
        <w:t xml:space="preserve"> imaging experiments were initiated.</w:t>
      </w:r>
    </w:p>
    <w:p w:rsidR="007A1557" w:rsidRPr="00106407" w:rsidRDefault="007A1557" w:rsidP="00106407">
      <w:pPr>
        <w:pStyle w:val="Heading2"/>
        <w:rPr>
          <w:rFonts w:asciiTheme="majorBidi" w:hAnsiTheme="majorBidi"/>
          <w:lang w:val="en-US"/>
        </w:rPr>
      </w:pPr>
      <w:bookmarkStart w:id="0" w:name="_GoBack"/>
      <w:r w:rsidRPr="00106407">
        <w:rPr>
          <w:rFonts w:asciiTheme="majorBidi" w:hAnsiTheme="majorBidi"/>
          <w:lang w:val="en-US"/>
        </w:rPr>
        <w:t>Microinjection in the cerebrospinal fluid (CSF) via the Cisterna Magna</w:t>
      </w:r>
    </w:p>
    <w:bookmarkEnd w:id="0"/>
    <w:p w:rsidR="007A1557" w:rsidRPr="007A1557" w:rsidRDefault="007A1557" w:rsidP="007A1557">
      <w:pPr>
        <w:spacing w:line="480" w:lineRule="auto"/>
        <w:rPr>
          <w:rFonts w:asciiTheme="majorBidi" w:hAnsiTheme="majorBidi" w:cstheme="majorBidi"/>
          <w:lang w:val="en-US"/>
        </w:rPr>
      </w:pPr>
      <w:r w:rsidRPr="007A1557">
        <w:rPr>
          <w:rFonts w:asciiTheme="majorBidi" w:hAnsiTheme="majorBidi" w:cstheme="majorBidi"/>
          <w:lang w:val="en-US"/>
        </w:rPr>
        <w:t>Since a significant portion of subarachnoid CSF reaches perivascular spaces and gradually diffuses throughout the brain parenchyma (</w:t>
      </w:r>
      <w:proofErr w:type="spellStart"/>
      <w:r w:rsidRPr="007A1557">
        <w:rPr>
          <w:rFonts w:asciiTheme="majorBidi" w:hAnsiTheme="majorBidi" w:cstheme="majorBidi"/>
          <w:lang w:val="en-US"/>
        </w:rPr>
        <w:t>Iliff</w:t>
      </w:r>
      <w:proofErr w:type="spellEnd"/>
      <w:r w:rsidRPr="007A1557">
        <w:rPr>
          <w:rFonts w:asciiTheme="majorBidi" w:hAnsiTheme="majorBidi" w:cstheme="majorBidi"/>
          <w:lang w:val="en-US"/>
        </w:rPr>
        <w:t xml:space="preserve"> et al., 2012), the Congo Red dye was injected into the cisterna magna to stain Aβ aggregates. The CSF was reached according to the procedure described by Liu and Duff (Liu and Duff, 2008). In short, mice were anesthetized with an intraperitoneal injection of a diluted mixture of ketamine (18.2 mg/kg) and </w:t>
      </w:r>
      <w:proofErr w:type="spellStart"/>
      <w:r w:rsidRPr="007A1557">
        <w:rPr>
          <w:rFonts w:asciiTheme="majorBidi" w:hAnsiTheme="majorBidi" w:cstheme="majorBidi"/>
          <w:lang w:val="en-US"/>
        </w:rPr>
        <w:t>xylazine</w:t>
      </w:r>
      <w:proofErr w:type="spellEnd"/>
      <w:r w:rsidRPr="007A1557">
        <w:rPr>
          <w:rFonts w:asciiTheme="majorBidi" w:hAnsiTheme="majorBidi" w:cstheme="majorBidi"/>
          <w:lang w:val="en-US"/>
        </w:rPr>
        <w:t xml:space="preserve"> (1.8 mg/kg) and placed on a stereotaxic instrument with the head inclined downward (≈140° from the body). Under a dissection microscope, a sagittal incision was performed below the occiput and the cisterna magna was exposed by gently spreading apart the muscles of the neck. Next, 4 </w:t>
      </w:r>
      <w:proofErr w:type="spellStart"/>
      <w:r w:rsidRPr="007A1557">
        <w:rPr>
          <w:rFonts w:asciiTheme="majorBidi" w:hAnsiTheme="majorBidi" w:cstheme="majorBidi"/>
          <w:lang w:val="en-US"/>
        </w:rPr>
        <w:t>μl</w:t>
      </w:r>
      <w:proofErr w:type="spellEnd"/>
      <w:r w:rsidRPr="007A1557">
        <w:rPr>
          <w:rFonts w:asciiTheme="majorBidi" w:hAnsiTheme="majorBidi" w:cstheme="majorBidi"/>
          <w:lang w:val="en-US"/>
        </w:rPr>
        <w:t xml:space="preserve"> of 0.1 % Congo Red (</w:t>
      </w:r>
      <w:proofErr w:type="spellStart"/>
      <w:r w:rsidRPr="007A1557">
        <w:rPr>
          <w:rFonts w:asciiTheme="majorBidi" w:hAnsiTheme="majorBidi" w:cstheme="majorBidi"/>
          <w:lang w:val="en-US"/>
        </w:rPr>
        <w:t>Ricca</w:t>
      </w:r>
      <w:proofErr w:type="spellEnd"/>
      <w:r w:rsidRPr="007A1557">
        <w:rPr>
          <w:rFonts w:asciiTheme="majorBidi" w:hAnsiTheme="majorBidi" w:cstheme="majorBidi"/>
          <w:lang w:val="en-US"/>
        </w:rPr>
        <w:t xml:space="preserve"> Chemical Company, TX, USA) was injected in the CSF via the cisterna magna at a rate of 1 </w:t>
      </w:r>
      <w:proofErr w:type="spellStart"/>
      <w:r w:rsidRPr="007A1557">
        <w:rPr>
          <w:rFonts w:asciiTheme="majorBidi" w:hAnsiTheme="majorBidi" w:cstheme="majorBidi"/>
          <w:lang w:val="en-US"/>
        </w:rPr>
        <w:t>μl</w:t>
      </w:r>
      <w:proofErr w:type="spellEnd"/>
      <w:r w:rsidRPr="007A1557">
        <w:rPr>
          <w:rFonts w:asciiTheme="majorBidi" w:hAnsiTheme="majorBidi" w:cstheme="majorBidi"/>
          <w:lang w:val="en-US"/>
        </w:rPr>
        <w:t xml:space="preserve">/min through a 29G caliber needle connected to a 10 </w:t>
      </w:r>
      <w:proofErr w:type="spellStart"/>
      <w:r w:rsidRPr="007A1557">
        <w:rPr>
          <w:rFonts w:asciiTheme="majorBidi" w:hAnsiTheme="majorBidi" w:cstheme="majorBidi"/>
          <w:lang w:val="en-US"/>
        </w:rPr>
        <w:t>μl</w:t>
      </w:r>
      <w:proofErr w:type="spellEnd"/>
      <w:r w:rsidRPr="007A1557">
        <w:rPr>
          <w:rFonts w:asciiTheme="majorBidi" w:hAnsiTheme="majorBidi" w:cstheme="majorBidi"/>
          <w:lang w:val="en-US"/>
        </w:rPr>
        <w:t xml:space="preserve"> </w:t>
      </w:r>
      <w:proofErr w:type="spellStart"/>
      <w:r w:rsidRPr="007A1557">
        <w:rPr>
          <w:rFonts w:asciiTheme="majorBidi" w:hAnsiTheme="majorBidi" w:cstheme="majorBidi"/>
          <w:lang w:val="en-US"/>
        </w:rPr>
        <w:t>microsyringe</w:t>
      </w:r>
      <w:proofErr w:type="spellEnd"/>
      <w:r w:rsidRPr="007A1557">
        <w:rPr>
          <w:rFonts w:asciiTheme="majorBidi" w:hAnsiTheme="majorBidi" w:cstheme="majorBidi"/>
          <w:lang w:val="en-US"/>
        </w:rPr>
        <w:t xml:space="preserve"> (Hamilton, Reno, NV, USA) mounted on an </w:t>
      </w:r>
      <w:proofErr w:type="spellStart"/>
      <w:r w:rsidRPr="007A1557">
        <w:rPr>
          <w:rFonts w:asciiTheme="majorBidi" w:hAnsiTheme="majorBidi" w:cstheme="majorBidi"/>
          <w:lang w:val="en-US"/>
        </w:rPr>
        <w:t>UltraMicroPump</w:t>
      </w:r>
      <w:proofErr w:type="spellEnd"/>
      <w:r w:rsidRPr="007A1557">
        <w:rPr>
          <w:rFonts w:asciiTheme="majorBidi" w:hAnsiTheme="majorBidi" w:cstheme="majorBidi"/>
          <w:lang w:val="en-US"/>
        </w:rPr>
        <w:t xml:space="preserve"> controlled by a Micro4 unit (World Precision Instrument, Sarasota, FL, USA). Finally, the needle was removed incrementally over 2 min after the injection, the neck muscles were re-aligned and the skin was sutured. Intravital imaging was performed as described by Michaud et al</w:t>
      </w:r>
      <w:r w:rsidRPr="007A1557">
        <w:rPr>
          <w:rFonts w:asciiTheme="majorBidi" w:hAnsiTheme="majorBidi" w:cstheme="majorBidi"/>
          <w:lang w:val="en-US"/>
        </w:rPr>
        <w:fldChar w:fldCharType="begin"/>
      </w:r>
      <w:r w:rsidRPr="007A1557">
        <w:rPr>
          <w:rFonts w:asciiTheme="majorBidi" w:hAnsiTheme="majorBidi" w:cstheme="majorBidi"/>
          <w:lang w:val="en-US"/>
        </w:rPr>
        <w:instrText xml:space="preserve"> ADDIN EN.CITE &lt;EndNote&gt;&lt;Cite&gt;&lt;Author&gt;Michaud&lt;/Author&gt;&lt;Year&gt;2013&lt;/Year&gt;&lt;RecNum&gt;3&lt;/RecNum&gt;&lt;DisplayText&gt;(Michaud, Bellavance et al. 2013)&lt;/DisplayText&gt;&lt;record&gt;&lt;rec-number&gt;3&lt;/rec-number&gt;&lt;foreign-keys&gt;&lt;key app="EN" db-id="0dazvzepo9zzzjedwdsx5z26xezwstv0wepr" timestamp="1539966069"&gt;3&lt;/key&gt;&lt;/foreign-keys&gt;&lt;ref-type name="Journal Article"&gt;17&lt;/ref-type&gt;&lt;contributors&gt;&lt;authors&gt;&lt;author&gt;Michaud, Jean-Philippe&lt;/author&gt;&lt;author&gt;Bellavance, Marc-André&lt;/author&gt;&lt;author&gt;Préfontaine, Paul&lt;/author&gt;&lt;author&gt;Rivest, Serge&lt;/author&gt;&lt;/authors&gt;&lt;/contributors&gt;&lt;titles&gt;&lt;title&gt;Real-time in vivo imaging reveals the ability of monocytes to clear vascular amyloid beta&lt;/title&gt;&lt;secondary-title&gt;Cell reports&lt;/secondary-title&gt;&lt;/titles&gt;&lt;periodical&gt;&lt;full-title&gt;Cell reports&lt;/full-title&gt;&lt;/periodical&gt;&lt;pages&gt;646-653&lt;/pages&gt;&lt;volume&gt;5&lt;/volume&gt;&lt;number&gt;3&lt;/number&gt;&lt;dates&gt;&lt;year&gt;2013&lt;/year&gt;&lt;/dates&gt;&lt;isbn&gt;2211-1247&lt;/isbn&gt;&lt;urls&gt;&lt;/urls&gt;&lt;/record&gt;&lt;/Cite&gt;&lt;/EndNote&gt;</w:instrText>
      </w:r>
      <w:r w:rsidRPr="007A1557">
        <w:rPr>
          <w:rFonts w:asciiTheme="majorBidi" w:hAnsiTheme="majorBidi" w:cstheme="majorBidi"/>
          <w:lang w:val="en-US"/>
        </w:rPr>
        <w:fldChar w:fldCharType="separate"/>
      </w:r>
      <w:r w:rsidRPr="007A1557">
        <w:rPr>
          <w:rFonts w:asciiTheme="majorBidi" w:hAnsiTheme="majorBidi" w:cstheme="majorBidi"/>
          <w:lang w:val="en-US"/>
        </w:rPr>
        <w:t>(Michaud, Bellavance et al. 2013)</w:t>
      </w:r>
      <w:r w:rsidRPr="007A1557">
        <w:rPr>
          <w:rFonts w:asciiTheme="majorBidi" w:hAnsiTheme="majorBidi" w:cstheme="majorBidi"/>
          <w:lang w:val="en-US"/>
        </w:rPr>
        <w:fldChar w:fldCharType="end"/>
      </w:r>
      <w:r w:rsidRPr="007A1557">
        <w:rPr>
          <w:rFonts w:asciiTheme="majorBidi" w:hAnsiTheme="majorBidi" w:cstheme="majorBidi"/>
          <w:lang w:val="en-US"/>
        </w:rPr>
        <w:t>.</w:t>
      </w:r>
    </w:p>
    <w:p w:rsidR="007A1557" w:rsidRPr="007A1557" w:rsidRDefault="007A1557" w:rsidP="007A1557">
      <w:pPr>
        <w:spacing w:line="480" w:lineRule="auto"/>
        <w:rPr>
          <w:rFonts w:asciiTheme="majorBidi" w:hAnsiTheme="majorBidi" w:cstheme="majorBidi"/>
          <w:lang w:val="en-US"/>
        </w:rPr>
      </w:pPr>
    </w:p>
    <w:p w:rsidR="007A1557" w:rsidRPr="007A1557" w:rsidRDefault="007A1557" w:rsidP="007A1557">
      <w:pPr>
        <w:spacing w:line="480" w:lineRule="auto"/>
        <w:rPr>
          <w:rFonts w:asciiTheme="majorBidi" w:hAnsiTheme="majorBidi" w:cstheme="majorBidi"/>
          <w:lang w:val="en-US"/>
        </w:rPr>
      </w:pPr>
    </w:p>
    <w:p w:rsidR="007A1557" w:rsidRPr="007A1557" w:rsidRDefault="007A1557" w:rsidP="007A1557">
      <w:pPr>
        <w:spacing w:line="480" w:lineRule="auto"/>
        <w:rPr>
          <w:rFonts w:asciiTheme="majorBidi" w:hAnsiTheme="majorBidi" w:cstheme="majorBidi"/>
          <w:lang w:val="en-US"/>
        </w:rPr>
      </w:pPr>
      <w:r w:rsidRPr="007A1557">
        <w:rPr>
          <w:rFonts w:asciiTheme="majorBidi" w:hAnsiTheme="majorBidi" w:cstheme="majorBidi"/>
          <w:lang w:val="en-US"/>
        </w:rPr>
        <w:fldChar w:fldCharType="begin"/>
      </w:r>
      <w:r w:rsidRPr="001D4FD6">
        <w:rPr>
          <w:rFonts w:asciiTheme="majorBidi" w:hAnsiTheme="majorBidi" w:cstheme="majorBidi"/>
          <w:lang w:val="en-US"/>
        </w:rPr>
        <w:instrText xml:space="preserve"> ADDIN EN.REFLIST </w:instrText>
      </w:r>
      <w:r w:rsidRPr="007A1557">
        <w:rPr>
          <w:rFonts w:asciiTheme="majorBidi" w:hAnsiTheme="majorBidi" w:cstheme="majorBidi"/>
          <w:lang w:val="en-US"/>
        </w:rPr>
        <w:fldChar w:fldCharType="separate"/>
      </w:r>
      <w:r w:rsidRPr="001D4FD6">
        <w:rPr>
          <w:rFonts w:asciiTheme="majorBidi" w:hAnsiTheme="majorBidi" w:cstheme="majorBidi"/>
          <w:lang w:val="en-US"/>
        </w:rPr>
        <w:t xml:space="preserve">Michaud, J.-P., M.-A. Bellavance, P. Préfontaine and S. Rivest (2013). </w:t>
      </w:r>
      <w:r w:rsidRPr="007A1557">
        <w:rPr>
          <w:rFonts w:asciiTheme="majorBidi" w:hAnsiTheme="majorBidi" w:cstheme="majorBidi"/>
          <w:lang w:val="en-US"/>
        </w:rPr>
        <w:t xml:space="preserve">"Real-time in vivo imaging reveals the ability of monocytes to clear vascular amyloid beta." </w:t>
      </w:r>
      <w:r w:rsidRPr="007A1557">
        <w:rPr>
          <w:rFonts w:asciiTheme="majorBidi" w:hAnsiTheme="majorBidi" w:cstheme="majorBidi"/>
          <w:u w:val="single"/>
          <w:lang w:val="en-US"/>
        </w:rPr>
        <w:t>Cell reports</w:t>
      </w:r>
      <w:r w:rsidRPr="007A1557">
        <w:rPr>
          <w:rFonts w:asciiTheme="majorBidi" w:hAnsiTheme="majorBidi" w:cstheme="majorBidi"/>
          <w:lang w:val="en-US"/>
        </w:rPr>
        <w:t xml:space="preserve"> </w:t>
      </w:r>
      <w:r w:rsidRPr="007A1557">
        <w:rPr>
          <w:rFonts w:asciiTheme="majorBidi" w:hAnsiTheme="majorBidi" w:cstheme="majorBidi"/>
          <w:b/>
          <w:lang w:val="en-US"/>
        </w:rPr>
        <w:t>5</w:t>
      </w:r>
      <w:r w:rsidRPr="007A1557">
        <w:rPr>
          <w:rFonts w:asciiTheme="majorBidi" w:hAnsiTheme="majorBidi" w:cstheme="majorBidi"/>
          <w:lang w:val="en-US"/>
        </w:rPr>
        <w:t>(3): 646-653.</w:t>
      </w:r>
    </w:p>
    <w:p w:rsidR="00C90C5C" w:rsidRDefault="007A1557" w:rsidP="007A1557">
      <w:pPr>
        <w:spacing w:line="480" w:lineRule="auto"/>
      </w:pPr>
      <w:r w:rsidRPr="007A1557">
        <w:rPr>
          <w:rFonts w:asciiTheme="majorBidi" w:hAnsiTheme="majorBidi" w:cstheme="majorBidi"/>
          <w:lang w:val="en-US"/>
        </w:rPr>
        <w:fldChar w:fldCharType="end"/>
      </w:r>
    </w:p>
    <w:sectPr w:rsidR="00C90C5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MytTCxMDM3szA2sTBQ0lEKTi0uzszPAykwrgUA8+a3uywAAAA="/>
  </w:docVars>
  <w:rsids>
    <w:rsidRoot w:val="004766E7"/>
    <w:rsid w:val="00106407"/>
    <w:rsid w:val="001D4FD6"/>
    <w:rsid w:val="001D51D4"/>
    <w:rsid w:val="002E3A2F"/>
    <w:rsid w:val="004766E7"/>
    <w:rsid w:val="007A1557"/>
    <w:rsid w:val="00B91E44"/>
    <w:rsid w:val="00C43E9B"/>
    <w:rsid w:val="00C90C5C"/>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AD1E9"/>
  <w15:chartTrackingRefBased/>
  <w15:docId w15:val="{D3F4034A-BA9C-4353-8353-383655A4A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0640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0640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2E3A2F"/>
    <w:pPr>
      <w:pBdr>
        <w:top w:val="nil"/>
        <w:left w:val="nil"/>
        <w:bottom w:val="nil"/>
        <w:right w:val="nil"/>
        <w:between w:val="nil"/>
      </w:pBdr>
      <w:spacing w:after="0" w:line="276" w:lineRule="auto"/>
    </w:pPr>
    <w:rPr>
      <w:rFonts w:ascii="Arial" w:eastAsia="Arial" w:hAnsi="Arial" w:cs="Arial"/>
      <w:color w:val="000000"/>
      <w:lang w:val="en" w:eastAsia="fr-FR"/>
    </w:rPr>
  </w:style>
  <w:style w:type="character" w:customStyle="1" w:styleId="Heading1Char">
    <w:name w:val="Heading 1 Char"/>
    <w:basedOn w:val="DefaultParagraphFont"/>
    <w:link w:val="Heading1"/>
    <w:uiPriority w:val="9"/>
    <w:rsid w:val="00106407"/>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06407"/>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1176</Words>
  <Characters>6704</Characters>
  <Application>Microsoft Office Word</Application>
  <DocSecurity>0</DocSecurity>
  <Lines>55</Lines>
  <Paragraphs>15</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
      <vt:lpstr>Flow cytometry </vt:lpstr>
      <vt:lpstr>    </vt:lpstr>
      <vt:lpstr>    Flow cytometry gating strategy</vt:lpstr>
      <vt:lpstr>    Flow cytometry protocol</vt:lpstr>
      <vt:lpstr>Two-Photon Intravital Microscopy Imaging</vt:lpstr>
      <vt:lpstr>    Mouse strains</vt:lpstr>
      <vt:lpstr>    Cranial window preparation for chronic intravital imaging</vt:lpstr>
      <vt:lpstr>    Microinjection in the cerebrospinal fluid (CSF) via the Cisterna Magna</vt:lpstr>
    </vt:vector>
  </TitlesOfParts>
  <Company/>
  <LinksUpToDate>false</LinksUpToDate>
  <CharactersWithSpaces>7865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Adham</dc:creator>
  <cp:keywords/>
  <dc:description/>
  <cp:lastModifiedBy>Adham</cp:lastModifiedBy>
  <cp:revision>6</cp:revision>
  <dcterms:created xsi:type="dcterms:W3CDTF">2019-09-19T13:23:00Z</dcterms:created>
  <dcterms:modified xsi:type="dcterms:W3CDTF">2020-02-25T15:22:00Z</dcterms:modified>
</cp:coreProperties>
</file>