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25C" w:rsidRDefault="0030625C" w:rsidP="0030625C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B2440B">
        <w:rPr>
          <w:rFonts w:ascii="Times New Roman" w:hAnsi="Times New Roman" w:cs="Times New Roman"/>
          <w:b/>
          <w:bCs/>
        </w:rPr>
        <w:t>Appendix</w:t>
      </w:r>
    </w:p>
    <w:p w:rsidR="0030625C" w:rsidRDefault="0030625C" w:rsidP="0030625C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See Tables 7 and 8.</w:t>
      </w:r>
    </w:p>
    <w:p w:rsidR="0030625C" w:rsidRDefault="0030625C" w:rsidP="0030625C">
      <w:pPr>
        <w:widowControl w:val="0"/>
        <w:autoSpaceDE w:val="0"/>
        <w:autoSpaceDN w:val="0"/>
        <w:adjustRightInd w:val="0"/>
        <w:rPr>
          <w:rFonts w:ascii="Times New Roman" w:eastAsia="Yu Mincho" w:hAnsi="Times New Roman" w:cs="Times New Roman"/>
          <w:b/>
          <w:bCs/>
        </w:rPr>
      </w:pPr>
    </w:p>
    <w:p w:rsidR="0030625C" w:rsidRDefault="0030625C" w:rsidP="0030625C">
      <w:pPr>
        <w:widowControl w:val="0"/>
        <w:autoSpaceDE w:val="0"/>
        <w:autoSpaceDN w:val="0"/>
        <w:adjustRightInd w:val="0"/>
        <w:rPr>
          <w:rFonts w:ascii="Times New Roman" w:eastAsia="Yu Mincho" w:hAnsi="Times New Roman" w:cs="Times New Roman"/>
          <w:b/>
          <w:bCs/>
        </w:rPr>
      </w:pPr>
    </w:p>
    <w:p w:rsidR="0030625C" w:rsidRPr="00790F6E" w:rsidRDefault="0030625C" w:rsidP="0030625C">
      <w:pPr>
        <w:widowControl w:val="0"/>
        <w:autoSpaceDE w:val="0"/>
        <w:autoSpaceDN w:val="0"/>
        <w:adjustRightInd w:val="0"/>
        <w:rPr>
          <w:rFonts w:ascii="Times New Roman" w:eastAsia="Yu Mincho" w:hAnsi="Times New Roman" w:cs="Times New Roman"/>
        </w:rPr>
      </w:pPr>
      <w:r w:rsidRPr="00790F6E">
        <w:rPr>
          <w:rFonts w:ascii="Times New Roman" w:eastAsia="Yu Mincho" w:hAnsi="Times New Roman" w:cs="Times New Roman"/>
          <w:b/>
          <w:bCs/>
        </w:rPr>
        <w:t>Table 7:</w:t>
      </w:r>
      <w:r w:rsidRPr="00790F6E">
        <w:rPr>
          <w:rFonts w:ascii="Times New Roman" w:eastAsia="Yu Mincho" w:hAnsi="Times New Roman" w:cs="Times New Roman"/>
          <w:b/>
          <w:bCs/>
        </w:rPr>
        <w:tab/>
        <w:t xml:space="preserve">Table of Countries </w:t>
      </w:r>
    </w:p>
    <w:tbl>
      <w:tblPr>
        <w:tblW w:w="5906" w:type="pct"/>
        <w:tblInd w:w="-900" w:type="dxa"/>
        <w:tblLayout w:type="fixed"/>
        <w:tblLook w:val="0000" w:firstRow="0" w:lastRow="0" w:firstColumn="0" w:lastColumn="0" w:noHBand="0" w:noVBand="0"/>
      </w:tblPr>
      <w:tblGrid>
        <w:gridCol w:w="2523"/>
        <w:gridCol w:w="675"/>
        <w:gridCol w:w="1629"/>
        <w:gridCol w:w="757"/>
        <w:gridCol w:w="1889"/>
        <w:gridCol w:w="720"/>
        <w:gridCol w:w="1528"/>
        <w:gridCol w:w="718"/>
      </w:tblGrid>
      <w:tr w:rsidR="0030625C" w:rsidRPr="00790F6E" w:rsidTr="00BF1AAD">
        <w:tc>
          <w:tcPr>
            <w:tcW w:w="120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Africa</w:t>
            </w:r>
          </w:p>
        </w:tc>
        <w:tc>
          <w:tcPr>
            <w:tcW w:w="32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Freq.</w:t>
            </w:r>
          </w:p>
        </w:tc>
        <w:tc>
          <w:tcPr>
            <w:tcW w:w="7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 xml:space="preserve">Asia and Oceania </w:t>
            </w:r>
          </w:p>
        </w:tc>
        <w:tc>
          <w:tcPr>
            <w:tcW w:w="36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Freq.</w:t>
            </w:r>
          </w:p>
        </w:tc>
        <w:tc>
          <w:tcPr>
            <w:tcW w:w="90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Europe</w:t>
            </w:r>
          </w:p>
        </w:tc>
        <w:tc>
          <w:tcPr>
            <w:tcW w:w="34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Freq.</w:t>
            </w:r>
          </w:p>
        </w:tc>
        <w:tc>
          <w:tcPr>
            <w:tcW w:w="73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LAC</w:t>
            </w:r>
          </w:p>
        </w:tc>
        <w:tc>
          <w:tcPr>
            <w:tcW w:w="34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Freq.</w:t>
            </w:r>
          </w:p>
        </w:tc>
      </w:tr>
      <w:tr w:rsidR="0030625C" w:rsidRPr="00790F6E" w:rsidTr="00BF1AAD">
        <w:tc>
          <w:tcPr>
            <w:tcW w:w="1208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Algeria</w:t>
            </w:r>
          </w:p>
        </w:tc>
        <w:tc>
          <w:tcPr>
            <w:tcW w:w="323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80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Bhutan</w:t>
            </w:r>
          </w:p>
        </w:tc>
        <w:tc>
          <w:tcPr>
            <w:tcW w:w="362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05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Albania</w:t>
            </w:r>
          </w:p>
        </w:tc>
        <w:tc>
          <w:tcPr>
            <w:tcW w:w="345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32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Argentina</w:t>
            </w:r>
          </w:p>
        </w:tc>
        <w:tc>
          <w:tcPr>
            <w:tcW w:w="344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13</w:t>
            </w:r>
          </w:p>
        </w:tc>
      </w:tr>
      <w:tr w:rsidR="0030625C" w:rsidRPr="00790F6E" w:rsidTr="00BF1AAD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Benin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Cambodia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Armenia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Belize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14</w:t>
            </w:r>
          </w:p>
        </w:tc>
      </w:tr>
      <w:tr w:rsidR="0030625C" w:rsidRPr="00790F6E" w:rsidTr="00BF1AAD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Botswana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India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Azerbaijan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Brazil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12</w:t>
            </w:r>
          </w:p>
        </w:tc>
      </w:tr>
      <w:tr w:rsidR="0030625C" w:rsidRPr="00790F6E" w:rsidTr="00BF1AAD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Cabo Verde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Indonesia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Belarus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Colombia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8</w:t>
            </w:r>
          </w:p>
        </w:tc>
      </w:tr>
      <w:tr w:rsidR="0030625C" w:rsidRPr="00790F6E" w:rsidTr="00BF1AAD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Central African Rep.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Iraq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Bulgaria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Costa Rica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8</w:t>
            </w:r>
          </w:p>
        </w:tc>
      </w:tr>
      <w:tr w:rsidR="0030625C" w:rsidRPr="00790F6E" w:rsidTr="00BF1AAD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Chad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Jordan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Georgia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Dominican Rep.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8</w:t>
            </w:r>
          </w:p>
        </w:tc>
      </w:tr>
      <w:tr w:rsidR="0030625C" w:rsidRPr="00790F6E" w:rsidTr="00BF1AAD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Congo, Dem. Rep.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Kazakhstan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Montenegro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El Salvador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15</w:t>
            </w:r>
          </w:p>
        </w:tc>
      </w:tr>
      <w:tr w:rsidR="0030625C" w:rsidRPr="00790F6E" w:rsidTr="00BF1AAD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Cote d'Ivoire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Kyrgyz Republic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North Macedonia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Guatemala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15</w:t>
            </w:r>
          </w:p>
        </w:tc>
      </w:tr>
      <w:tr w:rsidR="0030625C" w:rsidRPr="00790F6E" w:rsidTr="00BF1AAD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Egypt, Arab Rep.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Malaysia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Romania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Jamaica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15</w:t>
            </w:r>
          </w:p>
        </w:tc>
      </w:tr>
      <w:tr w:rsidR="0030625C" w:rsidRPr="00790F6E" w:rsidTr="00BF1AAD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Eswatini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Maldives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Russia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Mexico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15</w:t>
            </w:r>
          </w:p>
        </w:tc>
      </w:tr>
      <w:tr w:rsidR="0030625C" w:rsidRPr="00790F6E" w:rsidTr="00BF1AAD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Gabon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Mongolia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Serbia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Peru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15</w:t>
            </w:r>
          </w:p>
        </w:tc>
      </w:tr>
      <w:tr w:rsidR="0030625C" w:rsidRPr="00790F6E" w:rsidTr="00BF1AAD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Ghana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Myanmar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Turkey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Suriname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5</w:t>
            </w:r>
          </w:p>
        </w:tc>
      </w:tr>
      <w:tr w:rsidR="0030625C" w:rsidRPr="00790F6E" w:rsidTr="00BF1AAD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Guinea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Nepal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Ukraine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</w:tr>
      <w:tr w:rsidR="0030625C" w:rsidRPr="00790F6E" w:rsidTr="00BF1AAD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Lesotho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Pakistan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</w:tr>
      <w:tr w:rsidR="0030625C" w:rsidRPr="00790F6E" w:rsidTr="00BF1AAD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Mali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Philippines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</w:tr>
      <w:tr w:rsidR="0030625C" w:rsidRPr="00790F6E" w:rsidTr="00BF1AAD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Mauritius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Sri Lanka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</w:tr>
      <w:tr w:rsidR="0030625C" w:rsidRPr="00790F6E" w:rsidTr="00BF1AAD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Morocco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Tajikistan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</w:tr>
      <w:tr w:rsidR="0030625C" w:rsidRPr="00790F6E" w:rsidTr="00BF1AAD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Mozambique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Thailand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</w:tr>
      <w:tr w:rsidR="0030625C" w:rsidRPr="00790F6E" w:rsidTr="00BF1AAD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Namibia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Timor-Leste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</w:tr>
      <w:tr w:rsidR="0030625C" w:rsidRPr="00790F6E" w:rsidTr="00BF1AAD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Nigeria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Uzbekistan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</w:tr>
      <w:tr w:rsidR="0030625C" w:rsidRPr="00790F6E" w:rsidTr="00BF1AAD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Rwanda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Vietnam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</w:tr>
      <w:tr w:rsidR="0030625C" w:rsidRPr="00790F6E" w:rsidTr="00BF1AAD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Senegal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Tonga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</w:tr>
      <w:tr w:rsidR="0030625C" w:rsidRPr="00790F6E" w:rsidTr="00BF1AAD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Sierra Leone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Vanuatu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</w:tr>
      <w:tr w:rsidR="0030625C" w:rsidRPr="00790F6E" w:rsidTr="00BF1AAD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South Africa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</w:tr>
      <w:tr w:rsidR="0030625C" w:rsidRPr="00790F6E" w:rsidTr="00BF1AAD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South Sudan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</w:tr>
      <w:tr w:rsidR="0030625C" w:rsidRPr="00790F6E" w:rsidTr="00BF1AAD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Tanzania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</w:tr>
      <w:tr w:rsidR="0030625C" w:rsidRPr="00790F6E" w:rsidTr="00BF1AAD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Togo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</w:tr>
      <w:tr w:rsidR="0030625C" w:rsidRPr="00790F6E" w:rsidTr="00BF1AAD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Tunisia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</w:tr>
      <w:tr w:rsidR="0030625C" w:rsidRPr="00790F6E" w:rsidTr="00BF1AAD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Uganda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</w:tr>
      <w:tr w:rsidR="0030625C" w:rsidRPr="00790F6E" w:rsidTr="00BF1AAD"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Zambia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</w:tr>
      <w:tr w:rsidR="0030625C" w:rsidRPr="00790F6E" w:rsidTr="00BF1AAD">
        <w:tc>
          <w:tcPr>
            <w:tcW w:w="1208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Zimbabwe</w:t>
            </w:r>
          </w:p>
        </w:tc>
        <w:tc>
          <w:tcPr>
            <w:tcW w:w="323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80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905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732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</w:tr>
      <w:tr w:rsidR="0030625C" w:rsidRPr="00790F6E" w:rsidTr="00BF1AAD">
        <w:tc>
          <w:tcPr>
            <w:tcW w:w="120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32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363</w:t>
            </w:r>
          </w:p>
        </w:tc>
        <w:tc>
          <w:tcPr>
            <w:tcW w:w="7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295</w:t>
            </w:r>
          </w:p>
        </w:tc>
        <w:tc>
          <w:tcPr>
            <w:tcW w:w="90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34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73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143</w:t>
            </w:r>
          </w:p>
        </w:tc>
      </w:tr>
    </w:tbl>
    <w:p w:rsidR="0030625C" w:rsidRPr="00790F6E" w:rsidRDefault="0030625C" w:rsidP="0030625C">
      <w:pPr>
        <w:spacing w:after="160" w:line="259" w:lineRule="auto"/>
        <w:rPr>
          <w:rFonts w:ascii="Times New Roman" w:eastAsia="Yu Mincho" w:hAnsi="Times New Roman" w:cs="Times New Roman"/>
          <w:sz w:val="18"/>
          <w:szCs w:val="18"/>
        </w:rPr>
        <w:sectPr w:rsidR="0030625C" w:rsidRPr="00790F6E" w:rsidSect="0030625C">
          <w:footerReference w:type="default" r:id="rId4"/>
          <w:pgSz w:w="12240" w:h="15840"/>
          <w:pgMar w:top="1985" w:right="1701" w:bottom="1701" w:left="1701" w:header="720" w:footer="720" w:gutter="0"/>
          <w:cols w:space="720"/>
          <w:noEndnote/>
          <w:docGrid w:linePitch="326"/>
        </w:sectPr>
      </w:pPr>
    </w:p>
    <w:p w:rsidR="0030625C" w:rsidRPr="00790F6E" w:rsidRDefault="0030625C" w:rsidP="0030625C">
      <w:pPr>
        <w:rPr>
          <w:rFonts w:ascii="Times New Roman" w:eastAsia="Yu Mincho" w:hAnsi="Times New Roman" w:cs="Times New Roman"/>
          <w:b/>
          <w:bCs/>
        </w:rPr>
      </w:pPr>
      <w:r w:rsidRPr="00790F6E">
        <w:rPr>
          <w:rFonts w:ascii="Times New Roman" w:eastAsia="Times New Roman" w:hAnsi="Times New Roman" w:cs="Times New Roman"/>
          <w:b/>
          <w:bCs/>
        </w:rPr>
        <w:lastRenderedPageBreak/>
        <w:t>Table 8:</w:t>
      </w:r>
      <w:r w:rsidRPr="00790F6E">
        <w:rPr>
          <w:rFonts w:ascii="Times New Roman" w:eastAsia="Times New Roman" w:hAnsi="Times New Roman" w:cs="Times New Roman"/>
          <w:b/>
          <w:bCs/>
        </w:rPr>
        <w:tab/>
        <w:t>Variables Description and Sources</w:t>
      </w:r>
    </w:p>
    <w:tbl>
      <w:tblPr>
        <w:tblW w:w="6173" w:type="pct"/>
        <w:tblInd w:w="-993" w:type="dxa"/>
        <w:tblLook w:val="0000" w:firstRow="0" w:lastRow="0" w:firstColumn="0" w:lastColumn="0" w:noHBand="0" w:noVBand="0"/>
      </w:tblPr>
      <w:tblGrid>
        <w:gridCol w:w="1653"/>
        <w:gridCol w:w="5438"/>
        <w:gridCol w:w="2965"/>
        <w:gridCol w:w="1500"/>
      </w:tblGrid>
      <w:tr w:rsidR="0030625C" w:rsidRPr="00790F6E" w:rsidTr="00BF1AAD">
        <w:trPr>
          <w:trHeight w:val="20"/>
        </w:trPr>
        <w:tc>
          <w:tcPr>
            <w:tcW w:w="71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Times New Roman" w:hAnsi="Times New Roman" w:cs="Times New Roman"/>
                <w:sz w:val="20"/>
                <w:szCs w:val="20"/>
              </w:rPr>
              <w:t>Variables</w:t>
            </w:r>
          </w:p>
        </w:tc>
        <w:tc>
          <w:tcPr>
            <w:tcW w:w="235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Times New Roman" w:hAnsi="Times New Roman" w:cs="Times New Roman"/>
                <w:sz w:val="20"/>
                <w:szCs w:val="20"/>
              </w:rPr>
              <w:t>Description</w:t>
            </w:r>
          </w:p>
        </w:tc>
        <w:tc>
          <w:tcPr>
            <w:tcW w:w="128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Times New Roman" w:hAnsi="Times New Roman" w:cs="Times New Roman"/>
                <w:sz w:val="20"/>
                <w:szCs w:val="20"/>
              </w:rPr>
              <w:t>Sources</w:t>
            </w:r>
          </w:p>
        </w:tc>
        <w:tc>
          <w:tcPr>
            <w:tcW w:w="65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ind w:right="4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Times New Roman" w:hAnsi="Times New Roman" w:cs="Times New Roman"/>
                <w:sz w:val="20"/>
                <w:szCs w:val="20"/>
              </w:rPr>
              <w:t>Expected Signs</w:t>
            </w:r>
          </w:p>
        </w:tc>
      </w:tr>
      <w:tr w:rsidR="0030625C" w:rsidRPr="00790F6E" w:rsidTr="00BF1AAD">
        <w:trPr>
          <w:trHeight w:val="20"/>
        </w:trPr>
        <w:tc>
          <w:tcPr>
            <w:tcW w:w="715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New Business Density</w:t>
            </w:r>
          </w:p>
        </w:tc>
        <w:tc>
          <w:tcPr>
            <w:tcW w:w="2353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Times New Roman" w:hAnsi="Times New Roman" w:cs="Times New Roman"/>
                <w:sz w:val="20"/>
                <w:szCs w:val="20"/>
              </w:rPr>
              <w:t>New businesses registered by private corporations with limited liability per 1000 working-age population</w:t>
            </w:r>
          </w:p>
        </w:tc>
        <w:tc>
          <w:tcPr>
            <w:tcW w:w="1283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Times New Roman" w:hAnsi="Times New Roman" w:cs="Times New Roman"/>
                <w:sz w:val="20"/>
                <w:szCs w:val="20"/>
              </w:rPr>
              <w:t>WB Entrepreneurship Database</w:t>
            </w:r>
          </w:p>
        </w:tc>
        <w:tc>
          <w:tcPr>
            <w:tcW w:w="650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ind w:right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625C" w:rsidRPr="00790F6E" w:rsidTr="00BF1AAD">
        <w:trPr>
          <w:trHeight w:val="20"/>
        </w:trPr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Remittances</w:t>
            </w:r>
          </w:p>
        </w:tc>
        <w:tc>
          <w:tcPr>
            <w:tcW w:w="2353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Times New Roman" w:hAnsi="Times New Roman" w:cs="Times New Roman"/>
                <w:sz w:val="20"/>
                <w:szCs w:val="20"/>
              </w:rPr>
              <w:t>Annual remittances per capita received by a country in US$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Times New Roman" w:hAnsi="Times New Roman" w:cs="Times New Roman"/>
                <w:sz w:val="20"/>
                <w:szCs w:val="20"/>
              </w:rPr>
              <w:t>World Development Indicators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30625C" w:rsidRPr="00790F6E" w:rsidTr="00BF1AAD">
        <w:trPr>
          <w:trHeight w:val="20"/>
        </w:trPr>
        <w:tc>
          <w:tcPr>
            <w:tcW w:w="7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235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b/>
                <w:bCs/>
                <w:sz w:val="20"/>
                <w:szCs w:val="20"/>
              </w:rPr>
              <w:t>Financial Development</w:t>
            </w:r>
          </w:p>
        </w:tc>
        <w:tc>
          <w:tcPr>
            <w:tcW w:w="128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ind w:right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625C" w:rsidRPr="00790F6E" w:rsidTr="00BF1AAD">
        <w:trPr>
          <w:trHeight w:val="20"/>
        </w:trPr>
        <w:tc>
          <w:tcPr>
            <w:tcW w:w="715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Domestic credit</w:t>
            </w:r>
          </w:p>
        </w:tc>
        <w:tc>
          <w:tcPr>
            <w:tcW w:w="2353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Times New Roman" w:hAnsi="Times New Roman" w:cs="Times New Roman"/>
                <w:sz w:val="20"/>
                <w:szCs w:val="20"/>
              </w:rPr>
              <w:t>Domestic credit extended to the private sector by money deposit institutions (banks) as a percentage of GDP</w:t>
            </w:r>
          </w:p>
        </w:tc>
        <w:tc>
          <w:tcPr>
            <w:tcW w:w="1283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ind w:right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Times New Roman" w:hAnsi="Times New Roman" w:cs="Times New Roman"/>
                <w:sz w:val="20"/>
                <w:szCs w:val="20"/>
              </w:rPr>
              <w:t>Global Financial Development Database, World Bank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30625C" w:rsidRPr="00790F6E" w:rsidTr="00BF1AAD">
        <w:trPr>
          <w:trHeight w:val="20"/>
        </w:trPr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Liquid liability</w:t>
            </w:r>
          </w:p>
        </w:tc>
        <w:tc>
          <w:tcPr>
            <w:tcW w:w="2353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Times New Roman" w:hAnsi="Times New Roman" w:cs="Times New Roman"/>
                <w:sz w:val="20"/>
                <w:szCs w:val="20"/>
              </w:rPr>
              <w:t>Broad money including currency, savings deposits, and transferable deposits as a percentage of GDP</w:t>
            </w:r>
          </w:p>
        </w:tc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Times New Roman" w:hAnsi="Times New Roman" w:cs="Times New Roman"/>
                <w:sz w:val="20"/>
                <w:szCs w:val="20"/>
              </w:rPr>
              <w:t>Global Financial Development Database, World Bank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30625C" w:rsidRPr="00790F6E" w:rsidTr="00BF1AAD">
        <w:trPr>
          <w:trHeight w:val="20"/>
        </w:trPr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Interest rate (lending)</w:t>
            </w:r>
          </w:p>
        </w:tc>
        <w:tc>
          <w:tcPr>
            <w:tcW w:w="2353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Times New Roman" w:hAnsi="Times New Roman" w:cs="Times New Roman"/>
                <w:sz w:val="20"/>
                <w:szCs w:val="20"/>
              </w:rPr>
              <w:t>The short- and medium-term lending rate to the private sector in percentage.</w:t>
            </w:r>
          </w:p>
        </w:tc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Times New Roman" w:hAnsi="Times New Roman" w:cs="Times New Roman"/>
                <w:sz w:val="20"/>
                <w:szCs w:val="20"/>
              </w:rPr>
              <w:t>World Development Indicators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0625C" w:rsidRPr="00790F6E" w:rsidTr="00BF1AAD">
        <w:trPr>
          <w:trHeight w:val="20"/>
        </w:trPr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Times New Roman" w:hAnsi="Times New Roman" w:cs="Times New Roman"/>
                <w:sz w:val="20"/>
                <w:szCs w:val="20"/>
              </w:rPr>
              <w:t>Bank assets</w:t>
            </w:r>
          </w:p>
        </w:tc>
        <w:tc>
          <w:tcPr>
            <w:tcW w:w="2353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Times New Roman" w:hAnsi="Times New Roman" w:cs="Times New Roman"/>
                <w:sz w:val="20"/>
                <w:szCs w:val="20"/>
              </w:rPr>
              <w:t>The total assets held by deposit money banks including their claims on domestic nonfinancial real sector (governments, public enterprises, and the private sector) as a percentage of GDP</w:t>
            </w:r>
          </w:p>
        </w:tc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Times New Roman" w:hAnsi="Times New Roman" w:cs="Times New Roman"/>
                <w:sz w:val="20"/>
                <w:szCs w:val="20"/>
              </w:rPr>
              <w:t>Global Financial Development Database, World Bank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30625C" w:rsidRPr="00790F6E" w:rsidTr="00BF1AAD">
        <w:trPr>
          <w:trHeight w:val="20"/>
        </w:trPr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Financial institutions development</w:t>
            </w:r>
          </w:p>
        </w:tc>
        <w:tc>
          <w:tcPr>
            <w:tcW w:w="2353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depth, access to and the efficiency of financial institutions such as banks, </w:t>
            </w:r>
            <w:r w:rsidRPr="00790F6E">
              <w:rPr>
                <w:rFonts w:ascii="Times New Roman" w:eastAsia="Yu Mincho" w:hAnsi="Times New Roman" w:cs="Times New Roman"/>
                <w:color w:val="000000"/>
                <w:sz w:val="20"/>
                <w:szCs w:val="20"/>
              </w:rPr>
              <w:t>insurance companies, mutual funds, pension funds, and other nonbank institutions (0-100)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IMF FD: Svirydzenka (2016)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30625C" w:rsidRPr="00790F6E" w:rsidTr="00BF1AAD">
        <w:trPr>
          <w:trHeight w:val="20"/>
        </w:trPr>
        <w:tc>
          <w:tcPr>
            <w:tcW w:w="7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Mincho" w:hAnsi="Times New Roman" w:cs="Times New Roman"/>
                <w:sz w:val="20"/>
                <w:szCs w:val="20"/>
              </w:rPr>
            </w:pPr>
          </w:p>
        </w:tc>
        <w:tc>
          <w:tcPr>
            <w:tcW w:w="235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0F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Control Variables</w:t>
            </w:r>
          </w:p>
        </w:tc>
        <w:tc>
          <w:tcPr>
            <w:tcW w:w="128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625C" w:rsidRPr="00790F6E" w:rsidTr="00BF1AAD">
        <w:trPr>
          <w:trHeight w:val="20"/>
        </w:trPr>
        <w:tc>
          <w:tcPr>
            <w:tcW w:w="715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GDP growth rate</w:t>
            </w:r>
          </w:p>
        </w:tc>
        <w:tc>
          <w:tcPr>
            <w:tcW w:w="2353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Times New Roman" w:hAnsi="Times New Roman" w:cs="Times New Roman"/>
                <w:sz w:val="20"/>
                <w:szCs w:val="20"/>
              </w:rPr>
              <w:t>Gross Domestic Product annual growth rate</w:t>
            </w:r>
          </w:p>
        </w:tc>
        <w:tc>
          <w:tcPr>
            <w:tcW w:w="1283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Times New Roman" w:hAnsi="Times New Roman" w:cs="Times New Roman"/>
                <w:sz w:val="20"/>
                <w:szCs w:val="20"/>
              </w:rPr>
              <w:t>World Development Indicators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30625C" w:rsidRPr="00790F6E" w:rsidTr="00BF1AAD">
        <w:trPr>
          <w:trHeight w:val="20"/>
        </w:trPr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GDP per capita</w:t>
            </w:r>
          </w:p>
        </w:tc>
        <w:tc>
          <w:tcPr>
            <w:tcW w:w="2353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Times New Roman" w:hAnsi="Times New Roman" w:cs="Times New Roman"/>
                <w:sz w:val="20"/>
                <w:szCs w:val="20"/>
              </w:rPr>
              <w:t>Annual real GDP per capita in US$</w:t>
            </w:r>
          </w:p>
        </w:tc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Times New Roman" w:hAnsi="Times New Roman" w:cs="Times New Roman"/>
                <w:sz w:val="20"/>
                <w:szCs w:val="20"/>
              </w:rPr>
              <w:t>World Development Indicators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30625C" w:rsidRPr="00790F6E" w:rsidTr="00BF1AAD">
        <w:trPr>
          <w:trHeight w:val="20"/>
        </w:trPr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Trade openness</w:t>
            </w:r>
          </w:p>
        </w:tc>
        <w:tc>
          <w:tcPr>
            <w:tcW w:w="2353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Times New Roman" w:hAnsi="Times New Roman" w:cs="Times New Roman"/>
                <w:sz w:val="20"/>
                <w:szCs w:val="20"/>
              </w:rPr>
              <w:t>Trade is the sum of exports and imports of goods and services measured as a percentage of GDP.</w:t>
            </w:r>
          </w:p>
        </w:tc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Times New Roman" w:hAnsi="Times New Roman" w:cs="Times New Roman"/>
                <w:sz w:val="20"/>
                <w:szCs w:val="20"/>
              </w:rPr>
              <w:t>World Development Indicators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30625C" w:rsidRPr="00790F6E" w:rsidTr="00BF1AAD">
        <w:trPr>
          <w:trHeight w:val="20"/>
        </w:trPr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Government spending</w:t>
            </w:r>
          </w:p>
        </w:tc>
        <w:tc>
          <w:tcPr>
            <w:tcW w:w="2353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Times New Roman" w:hAnsi="Times New Roman" w:cs="Times New Roman"/>
                <w:sz w:val="20"/>
                <w:szCs w:val="20"/>
              </w:rPr>
              <w:t>Government financial consumption expenditure as a percentage of GDP</w:t>
            </w:r>
          </w:p>
        </w:tc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Times New Roman" w:hAnsi="Times New Roman" w:cs="Times New Roman"/>
                <w:sz w:val="20"/>
                <w:szCs w:val="20"/>
              </w:rPr>
              <w:t>World Development Indicators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0625C" w:rsidRPr="00790F6E" w:rsidTr="00BF1AAD">
        <w:trPr>
          <w:trHeight w:val="20"/>
        </w:trPr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Times New Roman" w:hAnsi="Times New Roman" w:cs="Times New Roman"/>
                <w:sz w:val="20"/>
                <w:szCs w:val="20"/>
              </w:rPr>
              <w:t>Institutional quality</w:t>
            </w:r>
          </w:p>
        </w:tc>
        <w:tc>
          <w:tcPr>
            <w:tcW w:w="2353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Times New Roman" w:hAnsi="Times New Roman" w:cs="Times New Roman"/>
                <w:sz w:val="20"/>
                <w:szCs w:val="20"/>
              </w:rPr>
              <w:t>An average of all World Governance Indicators variables in percentile rank (0-100)</w:t>
            </w:r>
          </w:p>
        </w:tc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Times New Roman" w:hAnsi="Times New Roman" w:cs="Times New Roman"/>
                <w:sz w:val="20"/>
                <w:szCs w:val="20"/>
              </w:rPr>
              <w:t>WGI, Kaufman et al. (2010)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30625C" w:rsidRPr="00790F6E" w:rsidTr="00BF1AAD">
        <w:trPr>
          <w:trHeight w:val="20"/>
        </w:trPr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Unemployment rate</w:t>
            </w:r>
          </w:p>
        </w:tc>
        <w:tc>
          <w:tcPr>
            <w:tcW w:w="2353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Times New Roman" w:hAnsi="Times New Roman" w:cs="Times New Roman"/>
                <w:sz w:val="20"/>
                <w:szCs w:val="20"/>
              </w:rPr>
              <w:t>Unemployment rate (annual percentage of the total labour force)</w:t>
            </w:r>
          </w:p>
        </w:tc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Times New Roman" w:hAnsi="Times New Roman" w:cs="Times New Roman"/>
                <w:sz w:val="20"/>
                <w:szCs w:val="20"/>
              </w:rPr>
              <w:t>World Development Indicators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30625C" w:rsidRPr="00790F6E" w:rsidTr="00BF1AAD">
        <w:trPr>
          <w:trHeight w:val="20"/>
        </w:trPr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Population growth rate</w:t>
            </w:r>
          </w:p>
        </w:tc>
        <w:tc>
          <w:tcPr>
            <w:tcW w:w="2353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Times New Roman" w:hAnsi="Times New Roman" w:cs="Times New Roman"/>
                <w:sz w:val="20"/>
                <w:szCs w:val="20"/>
              </w:rPr>
              <w:t>Annual population growth rate per country</w:t>
            </w:r>
          </w:p>
        </w:tc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Calibri" w:eastAsia="Yu Mincho" w:hAnsi="Calibri" w:cs="Times New Roman"/>
                <w:sz w:val="22"/>
                <w:szCs w:val="22"/>
              </w:rPr>
            </w:pPr>
            <w:r w:rsidRPr="00790F6E">
              <w:rPr>
                <w:rFonts w:ascii="Times New Roman" w:eastAsia="Times New Roman" w:hAnsi="Times New Roman" w:cs="Times New Roman"/>
                <w:sz w:val="20"/>
                <w:szCs w:val="20"/>
              </w:rPr>
              <w:t>World Development Indicators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30625C" w:rsidRPr="00E76CE7" w:rsidTr="00BF1AAD">
        <w:trPr>
          <w:trHeight w:val="20"/>
        </w:trPr>
        <w:tc>
          <w:tcPr>
            <w:tcW w:w="715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Yu Mincho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Yu Mincho" w:hAnsi="Times New Roman" w:cs="Times New Roman"/>
                <w:sz w:val="20"/>
                <w:szCs w:val="20"/>
              </w:rPr>
              <w:t>Time</w:t>
            </w:r>
          </w:p>
        </w:tc>
        <w:tc>
          <w:tcPr>
            <w:tcW w:w="2353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Times New Roman" w:hAnsi="Times New Roman" w:cs="Times New Roman"/>
                <w:sz w:val="20"/>
                <w:szCs w:val="20"/>
              </w:rPr>
              <w:t>The number of calendar days needed to complete the procedures to legally operate a business.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0625C" w:rsidRPr="00790F6E" w:rsidRDefault="0030625C" w:rsidP="00BF1A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Times New Roman" w:hAnsi="Times New Roman" w:cs="Times New Roman"/>
                <w:sz w:val="20"/>
                <w:szCs w:val="20"/>
              </w:rPr>
              <w:t>World Development Indicators</w:t>
            </w:r>
          </w:p>
        </w:tc>
        <w:tc>
          <w:tcPr>
            <w:tcW w:w="650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0625C" w:rsidRPr="00E76CE7" w:rsidRDefault="0030625C" w:rsidP="00BF1A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0F6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30625C" w:rsidRDefault="0030625C" w:rsidP="0030625C">
      <w:pPr>
        <w:jc w:val="both"/>
        <w:rPr>
          <w:rFonts w:ascii="Times New Roman" w:hAnsi="Times New Roman" w:cs="Times New Roman"/>
          <w:b/>
          <w:bCs/>
        </w:rPr>
      </w:pPr>
    </w:p>
    <w:p w:rsidR="0030625C" w:rsidRPr="008142E4" w:rsidRDefault="0030625C" w:rsidP="0030625C">
      <w:pPr>
        <w:jc w:val="both"/>
        <w:rPr>
          <w:rFonts w:ascii="Times New Roman" w:hAnsi="Times New Roman" w:cs="Times New Roman"/>
          <w:b/>
          <w:bCs/>
        </w:rPr>
      </w:pPr>
    </w:p>
    <w:p w:rsidR="001760E5" w:rsidRDefault="0030625C">
      <w:bookmarkStart w:id="0" w:name="_GoBack"/>
      <w:bookmarkEnd w:id="0"/>
    </w:p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6D56" w:rsidRDefault="0030625C">
    <w:pPr>
      <w:widowControl w:val="0"/>
      <w:autoSpaceDE w:val="0"/>
      <w:autoSpaceDN w:val="0"/>
      <w:adjustRightInd w:val="0"/>
      <w:jc w:val="center"/>
      <w:rPr>
        <w:rFonts w:ascii="Garamond" w:hAnsi="Garamond" w:cs="Garamond"/>
        <w:sz w:val="20"/>
        <w:szCs w:val="20"/>
      </w:rPr>
    </w:pPr>
    <w:r>
      <w:rPr>
        <w:rFonts w:ascii="Garamond" w:hAnsi="Garamond" w:cs="Garamond"/>
        <w:sz w:val="20"/>
        <w:szCs w:val="20"/>
      </w:rPr>
      <w:pgNum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25C"/>
    <w:rsid w:val="0030625C"/>
    <w:rsid w:val="008A3324"/>
    <w:rsid w:val="00BA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8B28AA-E669-421F-964B-7EDDDB3F9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625C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2022-05-12T11:40:00Z</dcterms:created>
  <dcterms:modified xsi:type="dcterms:W3CDTF">2022-05-12T11:41:00Z</dcterms:modified>
</cp:coreProperties>
</file>