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keepNext w:val="0"/>
        <w:keepLines w:val="0"/>
        <w:pageBreakBefore w:val="0"/>
        <w:widowControl w:val="0"/>
        <w:spacing w:after="0" w:before="0" w:line="240" w:lineRule="auto"/>
        <w:ind w:left="432"/>
        <w:rPr>
          <w:rFonts w:ascii="Times New Roman" w:cs="Times New Roman" w:eastAsia="Times New Roman" w:hAnsi="Times New Roman"/>
          <w:b w:val="1"/>
          <w:sz w:val="32"/>
          <w:szCs w:val="32"/>
        </w:rPr>
      </w:pPr>
      <w:bookmarkStart w:colFirst="0" w:colLast="0" w:name="_2bubuk6zlbwr" w:id="0"/>
      <w:bookmarkEnd w:id="0"/>
      <w:r w:rsidDel="00000000" w:rsidR="00000000" w:rsidRPr="00000000">
        <w:rPr>
          <w:rFonts w:ascii="Times New Roman" w:cs="Times New Roman" w:eastAsia="Times New Roman" w:hAnsi="Times New Roman"/>
          <w:b w:val="1"/>
          <w:sz w:val="32"/>
          <w:szCs w:val="32"/>
          <w:rtl w:val="0"/>
        </w:rPr>
        <w:t xml:space="preserve">Supplementary</w:t>
      </w:r>
      <w:r w:rsidDel="00000000" w:rsidR="00000000" w:rsidRPr="00000000">
        <w:rPr>
          <w:rFonts w:ascii="Times New Roman" w:cs="Times New Roman" w:eastAsia="Times New Roman" w:hAnsi="Times New Roman"/>
          <w:b w:val="1"/>
          <w:sz w:val="32"/>
          <w:szCs w:val="32"/>
          <w:rtl w:val="0"/>
        </w:rPr>
        <w:t xml:space="preserve"> Information</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pageBreakBefore w:val="0"/>
        <w:spacing w:after="200" w:before="0" w:line="240" w:lineRule="auto"/>
        <w:jc w:val="both"/>
        <w:rPr>
          <w:rFonts w:ascii="Times New Roman" w:cs="Times New Roman" w:eastAsia="Times New Roman" w:hAnsi="Times New Roman"/>
          <w:i w:val="1"/>
          <w:color w:val="44546a"/>
          <w:sz w:val="20"/>
          <w:szCs w:val="20"/>
        </w:rPr>
      </w:pPr>
      <w:r w:rsidDel="00000000" w:rsidR="00000000" w:rsidRPr="00000000">
        <w:rPr>
          <w:rFonts w:ascii="Times New Roman" w:cs="Times New Roman" w:eastAsia="Times New Roman" w:hAnsi="Times New Roman"/>
          <w:i w:val="1"/>
          <w:color w:val="44546a"/>
          <w:sz w:val="20"/>
          <w:szCs w:val="20"/>
        </w:rPr>
        <w:drawing>
          <wp:inline distB="114300" distT="114300" distL="114300" distR="114300">
            <wp:extent cx="5731200" cy="3987800"/>
            <wp:effectExtent b="0" l="0" r="0" t="0"/>
            <wp:docPr id="2"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731200" cy="3987800"/>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pStyle w:val="Heading4"/>
        <w:pageBreakBefore w:val="0"/>
        <w:spacing w:before="0" w:line="240" w:lineRule="auto"/>
        <w:jc w:val="both"/>
        <w:rPr>
          <w:rFonts w:ascii="Times New Roman" w:cs="Times New Roman" w:eastAsia="Times New Roman" w:hAnsi="Times New Roman"/>
          <w:i w:val="1"/>
          <w:color w:val="44546a"/>
        </w:rPr>
      </w:pPr>
      <w:bookmarkStart w:colFirst="0" w:colLast="0" w:name="_8byzdl7fw6gs" w:id="1"/>
      <w:bookmarkEnd w:id="1"/>
      <w:r w:rsidDel="00000000" w:rsidR="00000000" w:rsidRPr="00000000">
        <w:rPr>
          <w:rtl w:val="0"/>
        </w:rPr>
        <w:t xml:space="preserve">Figure 1: </w:t>
      </w:r>
      <w:r w:rsidDel="00000000" w:rsidR="00000000" w:rsidRPr="00000000">
        <w:rPr>
          <w:rFonts w:ascii="Times New Roman" w:cs="Times New Roman" w:eastAsia="Times New Roman" w:hAnsi="Times New Roman"/>
          <w:i w:val="1"/>
          <w:color w:val="44546a"/>
          <w:rtl w:val="0"/>
        </w:rPr>
        <w:t xml:space="preserve">Accuracy performance of all subsets of neuropathology features from the rank list forward and backward rankings. Forward ranking (blue) adds to the classifier model from the top feature to the lowest feature while the backward ranking (orange) adds to the model from the lowest feature to the top feature. Seven classifiers were utilized in this investigation: Logistic Regression, Decision Tree, k-Nearest Neighbors, Linear Discriminant Analysis, Gaussian Naive Bayes , Support Vector Machines with Radial Basis Function kernel, and Support Vector Machines with Linear kernel.</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pageBreakBefore w:val="0"/>
        <w:jc w:val="both"/>
        <w:rPr>
          <w:rFonts w:ascii="Times New Roman" w:cs="Times New Roman" w:eastAsia="Times New Roman" w:hAnsi="Times New Roman"/>
          <w:i w:val="1"/>
          <w:color w:val="44546a"/>
        </w:rPr>
      </w:pPr>
      <w:r w:rsidDel="00000000" w:rsidR="00000000" w:rsidRPr="00000000">
        <w:rPr>
          <w:rFonts w:ascii="Times New Roman" w:cs="Times New Roman" w:eastAsia="Times New Roman" w:hAnsi="Times New Roman"/>
          <w:i w:val="1"/>
          <w:color w:val="44546a"/>
        </w:rPr>
        <w:drawing>
          <wp:inline distB="114300" distT="114300" distL="114300" distR="114300">
            <wp:extent cx="5731200" cy="3987800"/>
            <wp:effectExtent b="0" l="0" r="0" t="0"/>
            <wp:docPr id="3"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5731200" cy="3987800"/>
                    </a:xfrm>
                    <a:prstGeom prst="rect"/>
                    <a:ln/>
                  </pic:spPr>
                </pic:pic>
              </a:graphicData>
            </a:graphic>
          </wp:inline>
        </w:drawing>
      </w:r>
      <w:r w:rsidDel="00000000" w:rsidR="00000000" w:rsidRPr="00000000">
        <w:rPr>
          <w:rtl w:val="0"/>
        </w:rPr>
      </w:r>
    </w:p>
    <w:p w:rsidR="00000000" w:rsidDel="00000000" w:rsidP="00000000" w:rsidRDefault="00000000" w:rsidRPr="00000000" w14:paraId="00000007">
      <w:pPr>
        <w:pStyle w:val="Heading4"/>
        <w:pageBreakBefore w:val="0"/>
        <w:spacing w:before="0" w:line="240" w:lineRule="auto"/>
        <w:jc w:val="both"/>
        <w:rPr>
          <w:rFonts w:ascii="Times New Roman" w:cs="Times New Roman" w:eastAsia="Times New Roman" w:hAnsi="Times New Roman"/>
          <w:i w:val="1"/>
          <w:color w:val="44546a"/>
        </w:rPr>
      </w:pPr>
      <w:bookmarkStart w:colFirst="0" w:colLast="0" w:name="_cv1a3secekvn" w:id="2"/>
      <w:bookmarkEnd w:id="2"/>
      <w:r w:rsidDel="00000000" w:rsidR="00000000" w:rsidRPr="00000000">
        <w:rPr>
          <w:rtl w:val="0"/>
        </w:rPr>
        <w:t xml:space="preserve">Figure 2: </w:t>
      </w:r>
      <w:r w:rsidDel="00000000" w:rsidR="00000000" w:rsidRPr="00000000">
        <w:rPr>
          <w:rFonts w:ascii="Times New Roman" w:cs="Times New Roman" w:eastAsia="Times New Roman" w:hAnsi="Times New Roman"/>
          <w:i w:val="1"/>
          <w:color w:val="44546a"/>
          <w:rtl w:val="0"/>
        </w:rPr>
        <w:t xml:space="preserve">Balanced Accuracy performance of all subsets of neuropathology features from the rank list forward and backward rankings. Forward ranking (blue) adds to the classifier model from the top feature to the lowest feature while the backward ranking (orange) adds to the model from the lowest feature to the top feature. Seven classifiers were utilized in this investigation: Logistic Regression, Decision Tree, k-Nearest Neighbors, Linear Discriminant Analysis, Gaussian Naive Bayes , Support Vector Machines with Radial Basis Function kernel, and Support Vector Machines with Linear kernel.</w:t>
      </w:r>
    </w:p>
    <w:p w:rsidR="00000000" w:rsidDel="00000000" w:rsidP="00000000" w:rsidRDefault="00000000" w:rsidRPr="00000000" w14:paraId="00000008">
      <w:pPr>
        <w:spacing w:after="120" w:before="120" w:line="276" w:lineRule="auto"/>
        <w:jc w:val="both"/>
        <w:rPr>
          <w:rFonts w:ascii="Times New Roman" w:cs="Times New Roman" w:eastAsia="Times New Roman" w:hAnsi="Times New Roman"/>
          <w:i w:val="1"/>
          <w:color w:val="44546a"/>
        </w:rPr>
      </w:pPr>
      <w:r w:rsidDel="00000000" w:rsidR="00000000" w:rsidRPr="00000000">
        <w:rPr>
          <w:rtl w:val="0"/>
        </w:rPr>
      </w:r>
    </w:p>
    <w:p w:rsidR="00000000" w:rsidDel="00000000" w:rsidP="00000000" w:rsidRDefault="00000000" w:rsidRPr="00000000" w14:paraId="00000009">
      <w:pPr>
        <w:spacing w:after="120" w:before="120" w:line="276" w:lineRule="auto"/>
        <w:jc w:val="both"/>
        <w:rPr>
          <w:rFonts w:ascii="Times New Roman" w:cs="Times New Roman" w:eastAsia="Times New Roman" w:hAnsi="Times New Roman"/>
          <w:i w:val="1"/>
          <w:color w:val="44546a"/>
        </w:rPr>
      </w:pPr>
      <w:r w:rsidDel="00000000" w:rsidR="00000000" w:rsidRPr="00000000">
        <w:rPr>
          <w:rtl w:val="0"/>
        </w:rPr>
      </w:r>
    </w:p>
    <w:p w:rsidR="00000000" w:rsidDel="00000000" w:rsidP="00000000" w:rsidRDefault="00000000" w:rsidRPr="00000000" w14:paraId="0000000A">
      <w:pPr>
        <w:pageBreakBefore w:val="0"/>
        <w:jc w:val="both"/>
        <w:rPr>
          <w:rFonts w:ascii="Times New Roman" w:cs="Times New Roman" w:eastAsia="Times New Roman" w:hAnsi="Times New Roman"/>
          <w:i w:val="1"/>
          <w:color w:val="44546a"/>
        </w:rPr>
      </w:pPr>
      <w:r w:rsidDel="00000000" w:rsidR="00000000" w:rsidRPr="00000000">
        <w:rPr>
          <w:rFonts w:ascii="Times New Roman" w:cs="Times New Roman" w:eastAsia="Times New Roman" w:hAnsi="Times New Roman"/>
          <w:i w:val="1"/>
          <w:color w:val="44546a"/>
        </w:rPr>
        <w:drawing>
          <wp:inline distB="114300" distT="114300" distL="114300" distR="114300">
            <wp:extent cx="5731200" cy="3975100"/>
            <wp:effectExtent b="0" l="0" r="0" t="0"/>
            <wp:docPr id="6" name="image6.png"/>
            <a:graphic>
              <a:graphicData uri="http://schemas.openxmlformats.org/drawingml/2006/picture">
                <pic:pic>
                  <pic:nvPicPr>
                    <pic:cNvPr id="0" name="image6.png"/>
                    <pic:cNvPicPr preferRelativeResize="0"/>
                  </pic:nvPicPr>
                  <pic:blipFill>
                    <a:blip r:embed="rId8"/>
                    <a:srcRect b="0" l="0" r="0" t="0"/>
                    <a:stretch>
                      <a:fillRect/>
                    </a:stretch>
                  </pic:blipFill>
                  <pic:spPr>
                    <a:xfrm>
                      <a:off x="0" y="0"/>
                      <a:ext cx="5731200" cy="3975100"/>
                    </a:xfrm>
                    <a:prstGeom prst="rect"/>
                    <a:ln/>
                  </pic:spPr>
                </pic:pic>
              </a:graphicData>
            </a:graphic>
          </wp:inline>
        </w:drawing>
      </w:r>
      <w:r w:rsidDel="00000000" w:rsidR="00000000" w:rsidRPr="00000000">
        <w:rPr>
          <w:rtl w:val="0"/>
        </w:rPr>
        <w:t xml:space="preserve">Figure 3: </w:t>
      </w:r>
      <w:r w:rsidDel="00000000" w:rsidR="00000000" w:rsidRPr="00000000">
        <w:rPr>
          <w:rFonts w:ascii="Times New Roman" w:cs="Times New Roman" w:eastAsia="Times New Roman" w:hAnsi="Times New Roman"/>
          <w:i w:val="1"/>
          <w:color w:val="44546a"/>
          <w:rtl w:val="0"/>
        </w:rPr>
        <w:t xml:space="preserve">Sensitivity performance of all subsets of neuropathology features from the rank list forward and backward rankings. Forward ranking (blue) adds to the classifier model from the top feature to the lowest feature while the backward ranking (orange) adds to the model from the lowest feature to the top feature. Seven classifiers were utilized in this investigation: Logistic Regression, Decision Tree, k-Nearest Neighbors, Linear Discriminant Analysis, Gaussian Naive Bayes , Support Vector Machines with Radial Basis Function kernel, and Support Vector Machines with Linear kernel.</w:t>
      </w:r>
    </w:p>
    <w:p w:rsidR="00000000" w:rsidDel="00000000" w:rsidP="00000000" w:rsidRDefault="00000000" w:rsidRPr="00000000" w14:paraId="0000000B">
      <w:pPr>
        <w:pageBreakBefore w:val="0"/>
        <w:jc w:val="both"/>
        <w:rPr>
          <w:rFonts w:ascii="Times New Roman" w:cs="Times New Roman" w:eastAsia="Times New Roman" w:hAnsi="Times New Roman"/>
          <w:i w:val="1"/>
          <w:color w:val="44546a"/>
        </w:rPr>
      </w:pPr>
      <w:r w:rsidDel="00000000" w:rsidR="00000000" w:rsidRPr="00000000">
        <w:rPr>
          <w:rFonts w:ascii="Times New Roman" w:cs="Times New Roman" w:eastAsia="Times New Roman" w:hAnsi="Times New Roman"/>
          <w:i w:val="1"/>
          <w:color w:val="44546a"/>
          <w:sz w:val="20"/>
          <w:szCs w:val="20"/>
        </w:rPr>
        <w:drawing>
          <wp:inline distB="114300" distT="114300" distL="114300" distR="114300">
            <wp:extent cx="5731200" cy="3975100"/>
            <wp:effectExtent b="0" l="0" r="0" t="0"/>
            <wp:docPr id="5"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5731200" cy="3975100"/>
                    </a:xfrm>
                    <a:prstGeom prst="rect"/>
                    <a:ln/>
                  </pic:spPr>
                </pic:pic>
              </a:graphicData>
            </a:graphic>
          </wp:inline>
        </w:drawing>
      </w:r>
      <w:r w:rsidDel="00000000" w:rsidR="00000000" w:rsidRPr="00000000">
        <w:rPr>
          <w:rtl w:val="0"/>
        </w:rPr>
        <w:t xml:space="preserve">Figure 4: </w:t>
      </w:r>
      <w:r w:rsidDel="00000000" w:rsidR="00000000" w:rsidRPr="00000000">
        <w:rPr>
          <w:rFonts w:ascii="Times New Roman" w:cs="Times New Roman" w:eastAsia="Times New Roman" w:hAnsi="Times New Roman"/>
          <w:i w:val="1"/>
          <w:color w:val="44546a"/>
          <w:rtl w:val="0"/>
        </w:rPr>
        <w:t xml:space="preserve">Specificity performance of all subsets of neuropathology features from the rank list forward and backward rankings. Forward ranking (blue) adds to the classifier model from the top feature to the lowest feature while the backward ranking (orange) adds to the model from the lowest feature to the top feature. Seven classifiers were utilized in this investigation: Logistic Regression, Decision Tree, k-Nearest Neighbors, Linear Discriminant Analysis, Gaussian Naive Bayes , Support Vector Machines with Radial Basis Function kernel, and Support Vector Machines with Linear kernel.</w:t>
      </w:r>
    </w:p>
    <w:p w:rsidR="00000000" w:rsidDel="00000000" w:rsidP="00000000" w:rsidRDefault="00000000" w:rsidRPr="00000000" w14:paraId="0000000C">
      <w:pPr>
        <w:pStyle w:val="Heading4"/>
        <w:spacing w:before="0" w:line="240" w:lineRule="auto"/>
        <w:jc w:val="both"/>
        <w:rPr/>
      </w:pPr>
      <w:bookmarkStart w:colFirst="0" w:colLast="0" w:name="_ubu9v4qy328" w:id="3"/>
      <w:bookmarkEnd w:id="3"/>
      <w:r w:rsidDel="00000000" w:rsidR="00000000" w:rsidRPr="00000000">
        <w:rPr>
          <w:rtl w:val="0"/>
        </w:rPr>
      </w:r>
    </w:p>
    <w:p w:rsidR="00000000" w:rsidDel="00000000" w:rsidP="00000000" w:rsidRDefault="00000000" w:rsidRPr="00000000" w14:paraId="0000000D">
      <w:pPr>
        <w:pStyle w:val="Heading4"/>
        <w:spacing w:before="0" w:line="240" w:lineRule="auto"/>
        <w:jc w:val="both"/>
        <w:rPr/>
      </w:pPr>
      <w:bookmarkStart w:colFirst="0" w:colLast="0" w:name="_sr0b8ju48fje" w:id="4"/>
      <w:bookmarkEnd w:id="4"/>
      <w:r w:rsidDel="00000000" w:rsidR="00000000" w:rsidRPr="00000000">
        <w:rPr/>
        <w:drawing>
          <wp:inline distB="114300" distT="114300" distL="114300" distR="114300">
            <wp:extent cx="5731200" cy="5727700"/>
            <wp:effectExtent b="0" l="0" r="0" t="0"/>
            <wp:docPr id="1" name="image4.png"/>
            <a:graphic>
              <a:graphicData uri="http://schemas.openxmlformats.org/drawingml/2006/picture">
                <pic:pic>
                  <pic:nvPicPr>
                    <pic:cNvPr id="0" name="image4.png"/>
                    <pic:cNvPicPr preferRelativeResize="0"/>
                  </pic:nvPicPr>
                  <pic:blipFill>
                    <a:blip r:embed="rId10"/>
                    <a:srcRect b="0" l="0" r="0" t="0"/>
                    <a:stretch>
                      <a:fillRect/>
                    </a:stretch>
                  </pic:blipFill>
                  <pic:spPr>
                    <a:xfrm>
                      <a:off x="0" y="0"/>
                      <a:ext cx="5731200" cy="5727700"/>
                    </a:xfrm>
                    <a:prstGeom prst="rect"/>
                    <a:ln/>
                  </pic:spPr>
                </pic:pic>
              </a:graphicData>
            </a:graphic>
          </wp:inline>
        </w:drawing>
      </w:r>
      <w:r w:rsidDel="00000000" w:rsidR="00000000" w:rsidRPr="00000000">
        <w:rPr>
          <w:rtl w:val="0"/>
        </w:rPr>
      </w:r>
    </w:p>
    <w:p w:rsidR="00000000" w:rsidDel="00000000" w:rsidP="00000000" w:rsidRDefault="00000000" w:rsidRPr="00000000" w14:paraId="0000000E">
      <w:pPr>
        <w:pStyle w:val="Heading4"/>
        <w:spacing w:before="0" w:line="240" w:lineRule="auto"/>
        <w:jc w:val="both"/>
        <w:rPr>
          <w:rFonts w:ascii="Times New Roman" w:cs="Times New Roman" w:eastAsia="Times New Roman" w:hAnsi="Times New Roman"/>
          <w:i w:val="1"/>
          <w:color w:val="44546a"/>
          <w:sz w:val="20"/>
          <w:szCs w:val="20"/>
        </w:rPr>
      </w:pPr>
      <w:bookmarkStart w:colFirst="0" w:colLast="0" w:name="_z316umdvquti" w:id="5"/>
      <w:bookmarkEnd w:id="5"/>
      <w:r w:rsidDel="00000000" w:rsidR="00000000" w:rsidRPr="00000000">
        <w:rPr>
          <w:rtl w:val="0"/>
        </w:rPr>
        <w:t xml:space="preserve">Figure 5: </w:t>
      </w:r>
      <w:r w:rsidDel="00000000" w:rsidR="00000000" w:rsidRPr="00000000">
        <w:rPr>
          <w:rFonts w:ascii="Times New Roman" w:cs="Times New Roman" w:eastAsia="Times New Roman" w:hAnsi="Times New Roman"/>
          <w:i w:val="1"/>
          <w:color w:val="44546a"/>
          <w:rtl w:val="0"/>
        </w:rPr>
        <w:t xml:space="preserve">Clustering of cross-validation classification performance on 114 CFAS participants and subsets of 18 features including 8 top ranked neuropathology features and 10 non-standard neuropathology features. Each cluster illustrates a classification that was given to individuals consistently, or nearly consistently, irrespective of what classification algorithm was used. Evaluation of 7 classifiers revealed 23 individuals (blue) were mostly misclassified as false positive, 15 individuals (red) were mostly misclassified as false negative, and 76 individuals (grey) were mostly correctly classified as true positive or true negative. </w:t>
      </w:r>
      <w:r w:rsidDel="00000000" w:rsidR="00000000" w:rsidRPr="00000000">
        <w:rPr>
          <w:rtl w:val="0"/>
        </w:rPr>
      </w:r>
    </w:p>
    <w:p w:rsidR="00000000" w:rsidDel="00000000" w:rsidP="00000000" w:rsidRDefault="00000000" w:rsidRPr="00000000" w14:paraId="0000000F">
      <w:pPr>
        <w:rPr/>
      </w:pPr>
      <w:r w:rsidDel="00000000" w:rsidR="00000000" w:rsidRPr="00000000">
        <w:rPr/>
        <w:drawing>
          <wp:inline distB="114300" distT="114300" distL="114300" distR="114300">
            <wp:extent cx="5731200" cy="5588000"/>
            <wp:effectExtent b="0" l="0" r="0" t="0"/>
            <wp:docPr id="4" name="image5.png"/>
            <a:graphic>
              <a:graphicData uri="http://schemas.openxmlformats.org/drawingml/2006/picture">
                <pic:pic>
                  <pic:nvPicPr>
                    <pic:cNvPr id="0" name="image5.png"/>
                    <pic:cNvPicPr preferRelativeResize="0"/>
                  </pic:nvPicPr>
                  <pic:blipFill>
                    <a:blip r:embed="rId11"/>
                    <a:srcRect b="0" l="0" r="0" t="0"/>
                    <a:stretch>
                      <a:fillRect/>
                    </a:stretch>
                  </pic:blipFill>
                  <pic:spPr>
                    <a:xfrm>
                      <a:off x="0" y="0"/>
                      <a:ext cx="5731200" cy="5588000"/>
                    </a:xfrm>
                    <a:prstGeom prst="rect"/>
                    <a:ln/>
                  </pic:spPr>
                </pic:pic>
              </a:graphicData>
            </a:graphic>
          </wp:inline>
        </w:drawing>
      </w:r>
      <w:r w:rsidDel="00000000" w:rsidR="00000000" w:rsidRPr="00000000">
        <w:rPr>
          <w:rtl w:val="0"/>
        </w:rPr>
      </w:r>
    </w:p>
    <w:p w:rsidR="00000000" w:rsidDel="00000000" w:rsidP="00000000" w:rsidRDefault="00000000" w:rsidRPr="00000000" w14:paraId="00000010">
      <w:pPr>
        <w:pStyle w:val="Heading4"/>
        <w:shd w:fill="ffffff" w:val="clear"/>
        <w:spacing w:line="240" w:lineRule="auto"/>
        <w:jc w:val="both"/>
        <w:rPr>
          <w:rFonts w:ascii="Times New Roman" w:cs="Times New Roman" w:eastAsia="Times New Roman" w:hAnsi="Times New Roman"/>
          <w:i w:val="1"/>
          <w:color w:val="44546a"/>
          <w:sz w:val="20"/>
          <w:szCs w:val="20"/>
        </w:rPr>
      </w:pPr>
      <w:bookmarkStart w:colFirst="0" w:colLast="0" w:name="_c4rthc35c6sd" w:id="6"/>
      <w:bookmarkEnd w:id="6"/>
      <w:r w:rsidDel="00000000" w:rsidR="00000000" w:rsidRPr="00000000">
        <w:rPr>
          <w:rtl w:val="0"/>
        </w:rPr>
        <w:t xml:space="preserve">Figure 6:</w:t>
      </w:r>
      <w:r w:rsidDel="00000000" w:rsidR="00000000" w:rsidRPr="00000000">
        <w:rPr>
          <w:rFonts w:ascii="Times New Roman" w:cs="Times New Roman" w:eastAsia="Times New Roman" w:hAnsi="Times New Roman"/>
          <w:i w:val="1"/>
          <w:color w:val="44546a"/>
          <w:rtl w:val="0"/>
        </w:rPr>
        <w:t xml:space="preserve"> Non-standard neuropathological and demographic features that were associated with mis-classified and correctly classified cases by the classic neuropathology features. The coefficients shown for each variable were extracted from the most predictive support vector machine classifiers: demographics features such as, age, brain weight and sex.</w:t>
      </w:r>
      <w:r w:rsidDel="00000000" w:rsidR="00000000" w:rsidRPr="00000000">
        <w:rPr>
          <w:rtl w:val="0"/>
        </w:rPr>
      </w:r>
    </w:p>
    <w:p w:rsidR="00000000" w:rsidDel="00000000" w:rsidP="00000000" w:rsidRDefault="00000000" w:rsidRPr="00000000" w14:paraId="00000011">
      <w:pPr>
        <w:pStyle w:val="Heading4"/>
        <w:keepNext w:val="1"/>
        <w:pageBreakBefore w:val="0"/>
        <w:spacing w:after="0" w:line="240" w:lineRule="auto"/>
        <w:jc w:val="both"/>
        <w:rPr/>
      </w:pPr>
      <w:bookmarkStart w:colFirst="0" w:colLast="0" w:name="_lxb57pcc9bic" w:id="7"/>
      <w:bookmarkEnd w:id="7"/>
      <w:r w:rsidDel="00000000" w:rsidR="00000000" w:rsidRPr="00000000">
        <w:rPr>
          <w:rtl w:val="0"/>
        </w:rPr>
        <w:t xml:space="preserve"> </w:t>
      </w:r>
    </w:p>
    <w:p w:rsidR="00000000" w:rsidDel="00000000" w:rsidP="00000000" w:rsidRDefault="00000000" w:rsidRPr="00000000" w14:paraId="00000012">
      <w:pPr>
        <w:keepNext w:val="1"/>
        <w:pageBreakBefore w:val="0"/>
        <w:spacing w:after="0" w:line="276" w:lineRule="auto"/>
        <w:jc w:val="both"/>
        <w:rPr>
          <w:sz w:val="24"/>
          <w:szCs w:val="24"/>
        </w:rPr>
      </w:pPr>
      <w:r w:rsidDel="00000000" w:rsidR="00000000" w:rsidRPr="00000000">
        <w:rPr>
          <w:color w:val="666666"/>
          <w:sz w:val="24"/>
          <w:szCs w:val="24"/>
          <w:rtl w:val="0"/>
        </w:rPr>
        <w:t xml:space="preserve">Table 1</w:t>
      </w:r>
      <w:r w:rsidDel="00000000" w:rsidR="00000000" w:rsidRPr="00000000">
        <w:rPr>
          <w:rFonts w:ascii="Times New Roman" w:cs="Times New Roman" w:eastAsia="Times New Roman" w:hAnsi="Times New Roman"/>
          <w:i w:val="1"/>
          <w:rtl w:val="0"/>
        </w:rPr>
        <w:t xml:space="preserve">: Ranking of the CFAS Dataset Features using Different Feature Selection Techniques. Seven feature-ranking methods were  presented: Chi-Square (CHI), Gain Ratio (GR), Information Gain (IG), ReliefF (RF), Symmetrical Uncertainty (SmyUn), Least Loss (L2) and Variable Analysis (Va).</w:t>
      </w:r>
      <w:r w:rsidDel="00000000" w:rsidR="00000000" w:rsidRPr="00000000">
        <w:rPr>
          <w:rtl w:val="0"/>
        </w:rPr>
      </w:r>
    </w:p>
    <w:tbl>
      <w:tblPr>
        <w:tblStyle w:val="Table1"/>
        <w:tblW w:w="8985.0" w:type="dxa"/>
        <w:jc w:val="left"/>
        <w:tblInd w:w="14.173228346456694"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70"/>
        <w:gridCol w:w="1260"/>
        <w:gridCol w:w="1260"/>
        <w:gridCol w:w="1275"/>
        <w:gridCol w:w="1260"/>
        <w:gridCol w:w="1260"/>
        <w:gridCol w:w="1275"/>
        <w:gridCol w:w="1125"/>
        <w:tblGridChange w:id="0">
          <w:tblGrid>
            <w:gridCol w:w="270"/>
            <w:gridCol w:w="1260"/>
            <w:gridCol w:w="1260"/>
            <w:gridCol w:w="1275"/>
            <w:gridCol w:w="1260"/>
            <w:gridCol w:w="1260"/>
            <w:gridCol w:w="1275"/>
            <w:gridCol w:w="1125"/>
          </w:tblGrid>
        </w:tblGridChange>
      </w:tblGrid>
      <w:tr>
        <w:trPr>
          <w:cantSplit w:val="0"/>
          <w:trHeight w:val="472.96875" w:hRule="atLeast"/>
          <w:tblHeader w:val="0"/>
        </w:trPr>
        <w:tc>
          <w:tcPr>
            <w:tcBorders>
              <w:top w:color="000000" w:space="0" w:sz="0" w:val="nil"/>
              <w:left w:color="000000" w:space="0" w:sz="0" w:val="nil"/>
              <w:bottom w:color="000000" w:space="0" w:sz="0" w:val="nil"/>
              <w:right w:color="000000" w:space="0" w:sz="0" w:val="nil"/>
            </w:tcBorders>
            <w:shd w:fill="d9d9d9" w:val="clear"/>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16"/>
                <w:szCs w:val="16"/>
                <w:rtl w:val="0"/>
              </w:rPr>
              <w:t xml:space="preserve">NO</w:t>
            </w:r>
          </w:p>
        </w:tc>
        <w:tc>
          <w:tcPr>
            <w:tcBorders>
              <w:top w:color="000000" w:space="0" w:sz="0" w:val="nil"/>
              <w:left w:color="000000" w:space="0" w:sz="0" w:val="nil"/>
              <w:bottom w:color="000000" w:space="0" w:sz="0" w:val="nil"/>
              <w:right w:color="000000" w:space="0" w:sz="0" w:val="nil"/>
            </w:tcBorders>
            <w:shd w:fill="d9d9d9" w:val="clear"/>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16"/>
                <w:szCs w:val="16"/>
                <w:rtl w:val="0"/>
              </w:rPr>
              <w:t xml:space="preserve">Chi-Squares</w:t>
            </w:r>
          </w:p>
        </w:tc>
        <w:tc>
          <w:tcPr>
            <w:tcBorders>
              <w:top w:color="000000" w:space="0" w:sz="0" w:val="nil"/>
              <w:left w:color="000000" w:space="0" w:sz="0" w:val="nil"/>
              <w:bottom w:color="000000" w:space="0" w:sz="0" w:val="nil"/>
              <w:right w:color="000000" w:space="0" w:sz="0" w:val="nil"/>
            </w:tcBorders>
            <w:shd w:fill="d9d9d9" w:val="clear"/>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16"/>
                <w:szCs w:val="16"/>
                <w:rtl w:val="0"/>
              </w:rPr>
              <w:t xml:space="preserve">Gain Ratio</w:t>
            </w:r>
          </w:p>
        </w:tc>
        <w:tc>
          <w:tcPr>
            <w:tcBorders>
              <w:top w:color="000000" w:space="0" w:sz="0" w:val="nil"/>
              <w:left w:color="000000" w:space="0" w:sz="0" w:val="nil"/>
              <w:bottom w:color="000000" w:space="0" w:sz="0" w:val="nil"/>
              <w:right w:color="000000" w:space="0" w:sz="0" w:val="nil"/>
            </w:tcBorders>
            <w:shd w:fill="d9d9d9" w:val="clear"/>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16"/>
                <w:szCs w:val="16"/>
                <w:rtl w:val="0"/>
              </w:rPr>
              <w:t xml:space="preserve">Information Gain</w:t>
            </w:r>
          </w:p>
        </w:tc>
        <w:tc>
          <w:tcPr>
            <w:tcBorders>
              <w:top w:color="000000" w:space="0" w:sz="0" w:val="nil"/>
              <w:left w:color="000000" w:space="0" w:sz="0" w:val="nil"/>
              <w:bottom w:color="000000" w:space="0" w:sz="0" w:val="nil"/>
              <w:right w:color="000000" w:space="0" w:sz="0" w:val="nil"/>
            </w:tcBorders>
            <w:shd w:fill="d9d9d9" w:val="clear"/>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16"/>
                <w:szCs w:val="16"/>
                <w:rtl w:val="0"/>
              </w:rPr>
              <w:t xml:space="preserve">ReliefF</w:t>
            </w:r>
          </w:p>
        </w:tc>
        <w:tc>
          <w:tcPr>
            <w:tcBorders>
              <w:top w:color="000000" w:space="0" w:sz="0" w:val="nil"/>
              <w:left w:color="000000" w:space="0" w:sz="0" w:val="nil"/>
              <w:bottom w:color="000000" w:space="0" w:sz="0" w:val="nil"/>
              <w:right w:color="000000" w:space="0" w:sz="0" w:val="nil"/>
            </w:tcBorders>
            <w:shd w:fill="d9d9d9" w:val="clear"/>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16"/>
                <w:szCs w:val="16"/>
                <w:rtl w:val="0"/>
              </w:rPr>
              <w:t xml:space="preserve">Symmetrical Uncertainty</w:t>
            </w:r>
          </w:p>
        </w:tc>
        <w:tc>
          <w:tcPr>
            <w:tcBorders>
              <w:top w:color="000000" w:space="0" w:sz="0" w:val="nil"/>
              <w:left w:color="000000" w:space="0" w:sz="0" w:val="nil"/>
              <w:bottom w:color="000000" w:space="0" w:sz="0" w:val="nil"/>
              <w:right w:color="000000" w:space="0" w:sz="0" w:val="nil"/>
            </w:tcBorders>
            <w:shd w:fill="d9d9d9" w:val="clear"/>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16"/>
                <w:szCs w:val="16"/>
                <w:rtl w:val="0"/>
              </w:rPr>
              <w:t xml:space="preserve">Least Loss</w:t>
            </w:r>
          </w:p>
        </w:tc>
        <w:tc>
          <w:tcPr>
            <w:tcBorders>
              <w:top w:color="000000" w:space="0" w:sz="0" w:val="nil"/>
              <w:left w:color="000000" w:space="0" w:sz="0" w:val="nil"/>
              <w:bottom w:color="000000" w:space="0" w:sz="0" w:val="nil"/>
              <w:right w:color="000000" w:space="0" w:sz="0" w:val="nil"/>
            </w:tcBorders>
            <w:shd w:fill="d9d9d9" w:val="clear"/>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16"/>
                <w:szCs w:val="16"/>
                <w:rtl w:val="0"/>
              </w:rPr>
              <w:t xml:space="preserve">Variable Analysis</w:t>
            </w:r>
          </w:p>
        </w:tc>
      </w:tr>
      <w:tr>
        <w:trPr>
          <w:cantSplit w:val="0"/>
          <w:trHeight w:val="283.46456692913387" w:hRule="atLeast"/>
          <w:tblHeader w:val="0"/>
        </w:trPr>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BraakStage</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age</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BraakStage</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BrainNetStage</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age</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CAAType</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BraakStage</w:t>
            </w:r>
          </w:p>
        </w:tc>
      </w:tr>
      <w:tr>
        <w:trPr>
          <w:cantSplit w:val="0"/>
          <w:trHeight w:val="283.46456692913387" w:hRule="atLeast"/>
          <w:tblHeader w:val="0"/>
        </w:trPr>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16"/>
                <w:szCs w:val="16"/>
                <w:rtl w:val="0"/>
              </w:rPr>
              <w:t xml:space="preserve">2</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BrainNetStage</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CAATotalSev</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BrainNetStage</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BraakStage</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BraakStage</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brain weight</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BrainNetStage</w:t>
            </w:r>
          </w:p>
        </w:tc>
      </w:tr>
      <w:tr>
        <w:trPr>
          <w:cantSplit w:val="0"/>
          <w:trHeight w:val="283.46456692913387" w:hRule="atLeast"/>
          <w:tblHeader w:val="0"/>
        </w:trPr>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16"/>
                <w:szCs w:val="16"/>
                <w:rtl w:val="0"/>
              </w:rPr>
              <w:t xml:space="preserve">3</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CAAMeningeal</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AbStageTypical</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CAAMeningeal</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MTSPETSA</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BrainNetStage</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age</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CAAMeningeal</w:t>
            </w:r>
          </w:p>
        </w:tc>
      </w:tr>
      <w:tr>
        <w:trPr>
          <w:cantSplit w:val="0"/>
          <w:trHeight w:val="283.46456692913387" w:hRule="atLeast"/>
          <w:tblHeader w:val="0"/>
        </w:trPr>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16"/>
                <w:szCs w:val="16"/>
                <w:rtl w:val="0"/>
              </w:rPr>
              <w:t xml:space="preserve">4</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CAAParenc</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brain weight</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CAAParenc</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TSAAny</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CAATotalSev</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BrainNetStage</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CAAParenc</w:t>
            </w:r>
          </w:p>
        </w:tc>
      </w:tr>
      <w:tr>
        <w:trPr>
          <w:cantSplit w:val="0"/>
          <w:trHeight w:val="283.46456692913387" w:hRule="atLeast"/>
          <w:tblHeader w:val="0"/>
        </w:trPr>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16"/>
                <w:szCs w:val="16"/>
                <w:rtl w:val="0"/>
              </w:rPr>
              <w:t xml:space="preserve">5</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age</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BraakStage</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age</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SubpialMesTemp</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brain weight</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MTSPETSA</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age</w:t>
            </w:r>
          </w:p>
        </w:tc>
      </w:tr>
      <w:tr>
        <w:trPr>
          <w:cantSplit w:val="0"/>
          <w:trHeight w:val="283.46456692913387" w:hRule="atLeast"/>
          <w:tblHeader w:val="0"/>
        </w:trPr>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16"/>
                <w:szCs w:val="16"/>
                <w:rtl w:val="0"/>
              </w:rPr>
              <w:t xml:space="preserve">6</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ThalStage</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BrainNetStage</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ThalStage</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ThalStage</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CAAType</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BraakStage</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ThalStage</w:t>
            </w:r>
          </w:p>
        </w:tc>
      </w:tr>
      <w:tr>
        <w:trPr>
          <w:cantSplit w:val="0"/>
          <w:trHeight w:val="283.46456692913387" w:hRule="atLeast"/>
          <w:tblHeader w:val="0"/>
        </w:trPr>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16"/>
                <w:szCs w:val="16"/>
                <w:rtl w:val="0"/>
              </w:rPr>
              <w:t xml:space="preserve">7</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CAAType</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CAAAreas</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CAAType</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age</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CAAMeningeal</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CAAAreas</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CAAType</w:t>
            </w:r>
          </w:p>
        </w:tc>
      </w:tr>
      <w:tr>
        <w:trPr>
          <w:cantSplit w:val="0"/>
          <w:trHeight w:val="283.46456692913387" w:hRule="atLeast"/>
          <w:tblHeader w:val="0"/>
        </w:trPr>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16"/>
                <w:szCs w:val="16"/>
                <w:rtl w:val="0"/>
              </w:rPr>
              <w:t xml:space="preserve">8</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brain weight</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SubpialBrainstem</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brain weight</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CAAType</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CAAParenc</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CAAHippocampus</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brain weight</w:t>
            </w:r>
          </w:p>
        </w:tc>
      </w:tr>
      <w:tr>
        <w:trPr>
          <w:cantSplit w:val="0"/>
          <w:trHeight w:val="283.46456692913387" w:hRule="atLeast"/>
          <w:tblHeader w:val="0"/>
        </w:trPr>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16"/>
                <w:szCs w:val="16"/>
                <w:rtl w:val="0"/>
              </w:rPr>
              <w:t xml:space="preserve">9</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SubpialBrainstem</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CAAType</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CAATotalSev</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TSATotal</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SubpialBrainstem</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SubpialBrainstem</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SubpialBrainstem</w:t>
            </w:r>
          </w:p>
        </w:tc>
      </w:tr>
      <w:tr>
        <w:trPr>
          <w:cantSplit w:val="0"/>
          <w:trHeight w:val="283.46456692913387" w:hRule="atLeast"/>
          <w:tblHeader w:val="0"/>
        </w:trPr>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16"/>
                <w:szCs w:val="16"/>
                <w:rtl w:val="0"/>
              </w:rPr>
              <w:t xml:space="preserve">10</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CAAAreas</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MTSPETSA</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SubpialBrainstem</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SubpialBrainstem</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CAAAreas</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CAAParietal</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CAATotalSev</w:t>
            </w:r>
          </w:p>
        </w:tc>
      </w:tr>
      <w:tr>
        <w:trPr>
          <w:cantSplit w:val="0"/>
          <w:trHeight w:val="283.46456692913387" w:hRule="atLeast"/>
          <w:tblHeader w:val="0"/>
        </w:trPr>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16"/>
                <w:szCs w:val="16"/>
                <w:rtl w:val="0"/>
              </w:rPr>
              <w:t xml:space="preserve">11</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CAATotalSev</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BSSPETSA</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CAAAreas</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HippocTauStage</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ThalStage</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ThalStage</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CAAAreas</w:t>
            </w:r>
          </w:p>
        </w:tc>
      </w:tr>
      <w:tr>
        <w:trPr>
          <w:cantSplit w:val="0"/>
          <w:trHeight w:val="283.46456692913387" w:hRule="atLeast"/>
          <w:tblHeader w:val="0"/>
        </w:trPr>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16"/>
                <w:szCs w:val="16"/>
                <w:rtl w:val="0"/>
              </w:rPr>
              <w:t xml:space="preserve">12</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MTSPETSA</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CAAMeningeal</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MTSPETSA</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SubcorticalStage</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MTSPETSA</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CAAFrontal</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MTSPETSA</w:t>
            </w:r>
          </w:p>
        </w:tc>
      </w:tr>
      <w:tr>
        <w:trPr>
          <w:cantSplit w:val="0"/>
          <w:trHeight w:val="283.46456692913387" w:hRule="atLeast"/>
          <w:tblHeader w:val="0"/>
        </w:trPr>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16"/>
                <w:szCs w:val="16"/>
                <w:rtl w:val="0"/>
              </w:rPr>
              <w:t xml:space="preserve">13</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CAAHippocampus</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TempMicroinf</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CAAHippocampus</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brain weight</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BSSPETSA</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CAATemp</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CAAHippocampus</w:t>
            </w:r>
          </w:p>
        </w:tc>
      </w:tr>
      <w:tr>
        <w:trPr>
          <w:cantSplit w:val="0"/>
          <w:trHeight w:val="283.46456692913387" w:hRule="atLeast"/>
          <w:tblHeader w:val="0"/>
        </w:trPr>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16"/>
                <w:szCs w:val="16"/>
                <w:rtl w:val="0"/>
              </w:rPr>
              <w:t xml:space="preserve">14</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CAAParietal</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CAAParenc</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CAAParietal</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BSSPETSA</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CAAHippocampus</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CAAOccipital</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CAAParietal</w:t>
            </w:r>
          </w:p>
        </w:tc>
      </w:tr>
      <w:tr>
        <w:trPr>
          <w:cantSplit w:val="0"/>
          <w:trHeight w:val="283.46456692913387" w:hRule="atLeast"/>
          <w:tblHeader w:val="0"/>
        </w:trPr>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16"/>
                <w:szCs w:val="16"/>
                <w:rtl w:val="0"/>
              </w:rPr>
              <w:t xml:space="preserve">15</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CAAFrontal</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ThalStage</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CAAFrontal</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CAAOccipital</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CAAParietal</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TSAAny</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CAAFrontal</w:t>
            </w:r>
          </w:p>
        </w:tc>
      </w:tr>
      <w:tr>
        <w:trPr>
          <w:cantSplit w:val="0"/>
          <w:trHeight w:val="283.46456692913387" w:hRule="atLeast"/>
          <w:tblHeader w:val="0"/>
        </w:trPr>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16"/>
                <w:szCs w:val="16"/>
                <w:rtl w:val="0"/>
              </w:rPr>
              <w:t xml:space="preserve">16</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CAAOccipital</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CAAHippocampus</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BSSPETSA</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CAAParietal</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CAAOccipital</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CAACerebellum</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CAAOccipital</w:t>
            </w:r>
          </w:p>
        </w:tc>
      </w:tr>
      <w:tr>
        <w:trPr>
          <w:cantSplit w:val="0"/>
          <w:trHeight w:val="283.46456692913387" w:hRule="atLeast"/>
          <w:tblHeader w:val="0"/>
        </w:trPr>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16"/>
                <w:szCs w:val="16"/>
                <w:rtl w:val="0"/>
              </w:rPr>
              <w:t xml:space="preserve">17</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HippocTauStage</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CAAOccipital</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CAAOccipital</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PARTall</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CAAFrontal</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CAAMeningeal</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HippocTauStage</w:t>
            </w:r>
          </w:p>
        </w:tc>
      </w:tr>
      <w:tr>
        <w:trPr>
          <w:cantSplit w:val="0"/>
          <w:trHeight w:val="283.46456692913387" w:hRule="atLeast"/>
          <w:tblHeader w:val="0"/>
        </w:trPr>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16"/>
                <w:szCs w:val="16"/>
                <w:rtl w:val="0"/>
              </w:rPr>
              <w:t xml:space="preserve">18</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CAATemp</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CAAParietal</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HippocTauStage</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CAAMeningeal</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CAATemp</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SubpialMesTemp</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BSSPETSA</w:t>
            </w:r>
          </w:p>
        </w:tc>
      </w:tr>
      <w:tr>
        <w:trPr>
          <w:cantSplit w:val="0"/>
          <w:trHeight w:val="283.46456692913387" w:hRule="atLeast"/>
          <w:tblHeader w:val="0"/>
        </w:trPr>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16"/>
                <w:szCs w:val="16"/>
                <w:rtl w:val="0"/>
              </w:rPr>
              <w:t xml:space="preserve">19</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BSSPETSA</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CAAFrontal</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CAATemp</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CAAHippocampus</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TSAAny</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CAAParenc</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CAATemp</w:t>
            </w:r>
          </w:p>
        </w:tc>
      </w:tr>
      <w:tr>
        <w:trPr>
          <w:cantSplit w:val="0"/>
          <w:trHeight w:val="283.46456692913387" w:hRule="atLeast"/>
          <w:tblHeader w:val="0"/>
        </w:trPr>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16"/>
                <w:szCs w:val="16"/>
                <w:rtl w:val="0"/>
              </w:rPr>
              <w:t xml:space="preserve">20</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TSAAny</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CAATemp</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TSAAny</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MicroinfarctStage</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CAACerebellum</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CAATotalSev</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TSAAny</w:t>
            </w:r>
          </w:p>
        </w:tc>
      </w:tr>
      <w:tr>
        <w:trPr>
          <w:cantSplit w:val="0"/>
          <w:trHeight w:val="283.46456692913387" w:hRule="atLeast"/>
          <w:tblHeader w:val="0"/>
        </w:trPr>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16"/>
                <w:szCs w:val="16"/>
                <w:rtl w:val="0"/>
              </w:rPr>
              <w:t xml:space="preserve">21</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CAACerebellum</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TSAAny</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CAACerebellum</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CAACerebellum</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AbStageTypical</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HippocTauStage</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CAACerebellum</w:t>
            </w:r>
          </w:p>
        </w:tc>
      </w:tr>
      <w:tr>
        <w:trPr>
          <w:cantSplit w:val="0"/>
          <w:trHeight w:val="283.46456692913387" w:hRule="atLeast"/>
          <w:tblHeader w:val="0"/>
        </w:trPr>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16"/>
                <w:szCs w:val="16"/>
                <w:rtl w:val="0"/>
              </w:rPr>
              <w:t xml:space="preserve">22</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SubpialMesTemp</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FrontalMicroin</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SubpialMesTemp</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CAAParenc</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SubpialMesTemp</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BSSPETSA</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SubpialMesTemp</w:t>
            </w:r>
          </w:p>
        </w:tc>
      </w:tr>
      <w:tr>
        <w:trPr>
          <w:cantSplit w:val="0"/>
          <w:trHeight w:val="283.46456692913387" w:hRule="atLeast"/>
          <w:tblHeader w:val="0"/>
        </w:trPr>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16"/>
                <w:szCs w:val="16"/>
                <w:rtl w:val="0"/>
              </w:rPr>
              <w:t xml:space="preserve">23</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AbStageTypical</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CAACerebellum</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AbStageTypical</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CAATotalSev</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HippocTauStage</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FrontalMicroin</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AbStageTypical</w:t>
            </w:r>
          </w:p>
        </w:tc>
      </w:tr>
      <w:tr>
        <w:trPr>
          <w:cantSplit w:val="0"/>
          <w:trHeight w:val="283.46456692913387" w:hRule="atLeast"/>
          <w:tblHeader w:val="0"/>
        </w:trPr>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16"/>
                <w:szCs w:val="16"/>
                <w:rtl w:val="0"/>
              </w:rPr>
              <w:t xml:space="preserve">24</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TempMicroinf</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SubpialMesTemp</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TempMicroinf</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CAAAreas</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TempMicroinf</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TempMicroinf</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TempMicroinf</w:t>
            </w:r>
          </w:p>
        </w:tc>
      </w:tr>
      <w:tr>
        <w:trPr>
          <w:cantSplit w:val="0"/>
          <w:trHeight w:val="283.46456692913387" w:hRule="atLeast"/>
          <w:tblHeader w:val="0"/>
        </w:trPr>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16"/>
                <w:szCs w:val="16"/>
                <w:rtl w:val="0"/>
              </w:rPr>
              <w:t xml:space="preserve">25</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FrontalMicroin</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HippocTauStage</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FrontalMicroin</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CxSPETSA</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FrontalMicroin</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PARTdefinite</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FrontalMicroin</w:t>
            </w:r>
          </w:p>
        </w:tc>
      </w:tr>
      <w:tr>
        <w:trPr>
          <w:cantSplit w:val="0"/>
          <w:trHeight w:val="283.46456692913387" w:hRule="atLeast"/>
          <w:tblHeader w:val="0"/>
        </w:trPr>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16"/>
                <w:szCs w:val="16"/>
                <w:rtl w:val="0"/>
              </w:rPr>
              <w:t xml:space="preserve">26</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PARTdefinite</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ArgyrGrains</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PARTdefinite</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PARTdefinite</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ParMicrin</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AbStageTypical</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PARTdefinite</w:t>
            </w:r>
          </w:p>
        </w:tc>
      </w:tr>
      <w:tr>
        <w:trPr>
          <w:cantSplit w:val="0"/>
          <w:trHeight w:val="283.46456692913387" w:hRule="atLeast"/>
          <w:tblHeader w:val="0"/>
        </w:trPr>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16"/>
                <w:szCs w:val="16"/>
                <w:rtl w:val="0"/>
              </w:rPr>
              <w:t xml:space="preserve">27</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ParMicrin</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ParMicrin</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ParMicrin</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ArgyrGrains</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PARTdefinite</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ParMicrin</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ParMicrin</w:t>
            </w:r>
          </w:p>
        </w:tc>
      </w:tr>
      <w:tr>
        <w:trPr>
          <w:cantSplit w:val="0"/>
          <w:trHeight w:val="283.46456692913387" w:hRule="atLeast"/>
          <w:tblHeader w:val="0"/>
        </w:trPr>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16"/>
                <w:szCs w:val="16"/>
                <w:rtl w:val="0"/>
              </w:rPr>
              <w:t xml:space="preserve">28</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ArgyrGrains</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PARTdefinite</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ArgyrGrains</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TempMicroinf</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ArgyrGrains</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OccipMicroing</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ArgyrGrains</w:t>
            </w:r>
          </w:p>
        </w:tc>
      </w:tr>
      <w:tr>
        <w:trPr>
          <w:cantSplit w:val="0"/>
          <w:trHeight w:val="283.46456692913387" w:hRule="atLeast"/>
          <w:tblHeader w:val="0"/>
        </w:trPr>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16"/>
                <w:szCs w:val="16"/>
                <w:rtl w:val="0"/>
              </w:rPr>
              <w:t xml:space="preserve">29</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OccipMicroing</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CxSPETSA</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OccipMicroing</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CorticalStage</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OccipMicroing</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ArgyrGrains</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OccipMicroing</w:t>
            </w:r>
          </w:p>
        </w:tc>
      </w:tr>
      <w:tr>
        <w:trPr>
          <w:cantSplit w:val="0"/>
          <w:trHeight w:val="283.46456692913387" w:hRule="atLeast"/>
          <w:tblHeader w:val="0"/>
        </w:trPr>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16"/>
                <w:szCs w:val="16"/>
                <w:rtl w:val="0"/>
              </w:rPr>
              <w:t xml:space="preserve">30</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CxSPETSA</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OccipMicroing</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CxSPETSA</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AbStageTypical</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CxSPETSA</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PARTall</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CxSPETSA</w:t>
            </w:r>
          </w:p>
        </w:tc>
      </w:tr>
      <w:tr>
        <w:trPr>
          <w:cantSplit w:val="0"/>
          <w:trHeight w:val="283.46456692913387" w:hRule="atLeast"/>
          <w:tblHeader w:val="0"/>
        </w:trPr>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16"/>
                <w:szCs w:val="16"/>
                <w:rtl w:val="0"/>
              </w:rPr>
              <w:t xml:space="preserve">31</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TuftedAst</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TuftedAst</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TuftedAst</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FrontalMicroin</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TuftedAst</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TuftedAst</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TuftedAst</w:t>
            </w:r>
          </w:p>
        </w:tc>
      </w:tr>
      <w:tr>
        <w:trPr>
          <w:cantSplit w:val="0"/>
          <w:trHeight w:val="283.46456692913387" w:hRule="atLeast"/>
          <w:tblHeader w:val="0"/>
        </w:trPr>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16"/>
                <w:szCs w:val="16"/>
                <w:rtl w:val="0"/>
              </w:rPr>
              <w:t xml:space="preserve">32</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PARTall</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PARTall</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PARTall</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OccipMicroing</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PARTall</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CxSPETSA</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PARTall</w:t>
            </w:r>
          </w:p>
        </w:tc>
      </w:tr>
      <w:tr>
        <w:trPr>
          <w:cantSplit w:val="0"/>
          <w:trHeight w:val="283.46456692913387" w:hRule="atLeast"/>
          <w:tblHeader w:val="0"/>
        </w:trPr>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16"/>
                <w:szCs w:val="16"/>
                <w:rtl w:val="0"/>
              </w:rPr>
              <w:t xml:space="preserve">33</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MicroinfarctStage</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CorticalStage</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SubcorticalStage</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CAATemp</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SubcorticalStage</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CorticalStage</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MicroinfarctStae</w:t>
            </w:r>
          </w:p>
        </w:tc>
      </w:tr>
      <w:tr>
        <w:trPr>
          <w:cantSplit w:val="0"/>
          <w:trHeight w:val="283.46456692913387" w:hRule="atLeast"/>
          <w:tblHeader w:val="0"/>
        </w:trPr>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16"/>
                <w:szCs w:val="16"/>
                <w:rtl w:val="0"/>
              </w:rPr>
              <w:t xml:space="preserve">34</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TSATotal</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TSATotal</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MicroinfarctStage</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ParMicrin</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CorticalStage</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SubcorticalStage</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TSATotal</w:t>
            </w:r>
          </w:p>
        </w:tc>
      </w:tr>
      <w:tr>
        <w:trPr>
          <w:cantSplit w:val="0"/>
          <w:trHeight w:val="283.46456692913387" w:hRule="atLeast"/>
          <w:tblHeader w:val="0"/>
        </w:trPr>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16"/>
                <w:szCs w:val="16"/>
                <w:rtl w:val="0"/>
              </w:rPr>
              <w:t xml:space="preserve">35</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SubcorticalStage</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SubcorticalStage</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TSATotal</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CAAFrontal</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TSATotal</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TSATotal</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SubcorticalStage</w:t>
            </w:r>
          </w:p>
        </w:tc>
      </w:tr>
      <w:tr>
        <w:trPr>
          <w:cantSplit w:val="0"/>
          <w:trHeight w:val="283.46456692913387" w:hRule="atLeast"/>
          <w:tblHeader w:val="0"/>
        </w:trPr>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16"/>
                <w:szCs w:val="16"/>
                <w:rtl w:val="0"/>
              </w:rPr>
              <w:t xml:space="preserve">36</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CorticalStage</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MicroinfarctStage</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CorticalStage</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TuftedAst</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MicroinfarctStage</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MicroinfarctStage</w:t>
            </w:r>
          </w:p>
        </w:tc>
        <w:tc>
          <w:tcPr>
            <w:tcBorders>
              <w:top w:color="000000" w:space="0" w:sz="0" w:val="nil"/>
              <w:left w:color="000000" w:space="0" w:sz="0" w:val="nil"/>
              <w:bottom w:color="000000" w:space="0" w:sz="0" w:val="nil"/>
              <w:right w:color="000000" w:space="0" w:sz="0" w:val="nil"/>
            </w:tcBorders>
            <w:tcMar>
              <w:top w:w="14.173228346456694" w:type="dxa"/>
              <w:left w:w="14.173228346456694" w:type="dxa"/>
              <w:bottom w:w="14.173228346456694" w:type="dxa"/>
              <w:right w:w="14.173228346456694" w:type="dxa"/>
            </w:tcMar>
            <w:vAlign w:val="center"/>
          </w:tcPr>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CorticalStage</w:t>
            </w:r>
          </w:p>
        </w:tc>
      </w:tr>
    </w:tbl>
    <w:p w:rsidR="00000000" w:rsidDel="00000000" w:rsidP="00000000" w:rsidRDefault="00000000" w:rsidRPr="00000000" w14:paraId="0000013B">
      <w:pPr>
        <w:widowControl w:val="0"/>
        <w:spacing w:after="120" w:line="240" w:lineRule="auto"/>
        <w:rPr>
          <w:rFonts w:ascii="Times New Roman" w:cs="Times New Roman" w:eastAsia="Times New Roman" w:hAnsi="Times New Roman"/>
          <w:b w:val="1"/>
          <w:i w:val="1"/>
          <w:color w:val="44546a"/>
        </w:rPr>
      </w:pPr>
      <w:r w:rsidDel="00000000" w:rsidR="00000000" w:rsidRPr="00000000">
        <w:rPr>
          <w:rtl w:val="0"/>
        </w:rPr>
      </w:r>
    </w:p>
    <w:p w:rsidR="00000000" w:rsidDel="00000000" w:rsidP="00000000" w:rsidRDefault="00000000" w:rsidRPr="00000000" w14:paraId="0000013C">
      <w:pPr>
        <w:widowControl w:val="0"/>
        <w:spacing w:after="120" w:line="240" w:lineRule="auto"/>
        <w:rPr>
          <w:rFonts w:ascii="Times New Roman" w:cs="Times New Roman" w:eastAsia="Times New Roman" w:hAnsi="Times New Roman"/>
          <w:b w:val="1"/>
          <w:i w:val="1"/>
          <w:color w:val="44546a"/>
        </w:rPr>
      </w:pPr>
      <w:r w:rsidDel="00000000" w:rsidR="00000000" w:rsidRPr="00000000">
        <w:rPr>
          <w:rtl w:val="0"/>
        </w:rPr>
      </w:r>
    </w:p>
    <w:p w:rsidR="00000000" w:rsidDel="00000000" w:rsidP="00000000" w:rsidRDefault="00000000" w:rsidRPr="00000000" w14:paraId="0000013D">
      <w:pPr>
        <w:pStyle w:val="Heading1"/>
        <w:pageBreakBefore w:val="0"/>
        <w:spacing w:line="240" w:lineRule="auto"/>
        <w:rPr/>
      </w:pPr>
      <w:bookmarkStart w:colFirst="0" w:colLast="0" w:name="_pw3ru0bgaa9s" w:id="8"/>
      <w:bookmarkEnd w:id="8"/>
      <w:r w:rsidDel="00000000" w:rsidR="00000000" w:rsidRPr="00000000">
        <w:rPr>
          <w:rtl w:val="0"/>
        </w:rPr>
        <w:t xml:space="preserve">Glossary List</w:t>
      </w:r>
    </w:p>
    <w:p w:rsidR="00000000" w:rsidDel="00000000" w:rsidP="00000000" w:rsidRDefault="00000000" w:rsidRPr="00000000" w14:paraId="0000013E">
      <w:pPr>
        <w:pageBreakBefore w:val="0"/>
        <w:spacing w:line="240" w:lineRule="auto"/>
        <w:rPr>
          <w:rFonts w:ascii="Times New Roman" w:cs="Times New Roman" w:eastAsia="Times New Roman" w:hAnsi="Times New Roman"/>
          <w:b w:val="1"/>
          <w:sz w:val="24"/>
          <w:szCs w:val="24"/>
        </w:rPr>
      </w:pPr>
      <w:r w:rsidDel="00000000" w:rsidR="00000000" w:rsidRPr="00000000">
        <w:rPr>
          <w:rtl w:val="0"/>
        </w:rPr>
      </w:r>
    </w:p>
    <w:tbl>
      <w:tblPr>
        <w:tblStyle w:val="Table2"/>
        <w:tblW w:w="9030.0" w:type="dxa"/>
        <w:jc w:val="left"/>
        <w:tblInd w:w="10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75"/>
        <w:gridCol w:w="6855"/>
        <w:tblGridChange w:id="0">
          <w:tblGrid>
            <w:gridCol w:w="2175"/>
            <w:gridCol w:w="6855"/>
          </w:tblGrid>
        </w:tblGridChange>
      </w:tblGrid>
      <w:tr>
        <w:trPr>
          <w:cantSplit w:val="0"/>
          <w:trHeight w:val="575" w:hRule="atLeast"/>
          <w:tblHeader w:val="0"/>
        </w:trPr>
        <w:tc>
          <w:tcPr>
            <w:tcBorders>
              <w:top w:color="7f7f7f" w:space="0" w:sz="8" w:val="single"/>
              <w:left w:color="000000" w:space="0" w:sz="0" w:val="nil"/>
              <w:bottom w:color="7f7f7f" w:space="0" w:sz="8" w:val="single"/>
              <w:right w:color="000000" w:space="0" w:sz="0" w:val="nil"/>
            </w:tcBorders>
            <w:shd w:fill="d9e2f3" w:val="clear"/>
            <w:tcMar>
              <w:top w:w="100.0" w:type="dxa"/>
              <w:left w:w="100.0" w:type="dxa"/>
              <w:bottom w:w="100.0" w:type="dxa"/>
              <w:right w:w="100.0" w:type="dxa"/>
            </w:tcMar>
            <w:vAlign w:val="top"/>
          </w:tcPr>
          <w:p w:rsidR="00000000" w:rsidDel="00000000" w:rsidP="00000000" w:rsidRDefault="00000000" w:rsidRPr="00000000" w14:paraId="0000013F">
            <w:pPr>
              <w:pageBreakBefore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Feature</w:t>
            </w:r>
          </w:p>
        </w:tc>
        <w:tc>
          <w:tcPr>
            <w:tcBorders>
              <w:top w:color="7f7f7f" w:space="0" w:sz="8" w:val="single"/>
              <w:left w:color="000000" w:space="0" w:sz="0" w:val="nil"/>
              <w:bottom w:color="7f7f7f" w:space="0" w:sz="8" w:val="single"/>
              <w:right w:color="000000" w:space="0" w:sz="0" w:val="nil"/>
            </w:tcBorders>
            <w:shd w:fill="d9e2f3" w:val="clear"/>
            <w:tcMar>
              <w:top w:w="100.0" w:type="dxa"/>
              <w:left w:w="100.0" w:type="dxa"/>
              <w:bottom w:w="100.0" w:type="dxa"/>
              <w:right w:w="100.0" w:type="dxa"/>
            </w:tcMar>
            <w:vAlign w:val="top"/>
          </w:tcPr>
          <w:p w:rsidR="00000000" w:rsidDel="00000000" w:rsidP="00000000" w:rsidRDefault="00000000" w:rsidRPr="00000000" w14:paraId="00000140">
            <w:pPr>
              <w:pageBreakBefore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Description</w:t>
            </w:r>
          </w:p>
        </w:tc>
      </w:tr>
      <w:tr>
        <w:trPr>
          <w:cantSplit w:val="0"/>
          <w:trHeight w:val="575" w:hRule="atLeast"/>
          <w:tblHeader w:val="0"/>
        </w:trPr>
        <w:tc>
          <w:tcPr>
            <w:tcBorders>
              <w:top w:color="000000" w:space="0" w:sz="0" w:val="nil"/>
              <w:left w:color="000000" w:space="0" w:sz="0" w:val="nil"/>
              <w:bottom w:color="7f7f7f" w:space="0" w:sz="8" w:val="single"/>
              <w:right w:color="000000" w:space="0" w:sz="0" w:val="nil"/>
            </w:tcBorders>
            <w:shd w:fill="d9d9d9" w:val="clear"/>
            <w:tcMar>
              <w:top w:w="100.0" w:type="dxa"/>
              <w:left w:w="100.0" w:type="dxa"/>
              <w:bottom w:w="100.0" w:type="dxa"/>
              <w:right w:w="100.0" w:type="dxa"/>
            </w:tcMar>
            <w:vAlign w:val="top"/>
          </w:tcPr>
          <w:p w:rsidR="00000000" w:rsidDel="00000000" w:rsidP="00000000" w:rsidRDefault="00000000" w:rsidRPr="00000000" w14:paraId="00000141">
            <w:pPr>
              <w:pageBreakBefore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BraakStage</w:t>
            </w:r>
          </w:p>
        </w:tc>
        <w:tc>
          <w:tcPr>
            <w:tcBorders>
              <w:top w:color="000000" w:space="0" w:sz="0" w:val="nil"/>
              <w:left w:color="000000" w:space="0" w:sz="0" w:val="nil"/>
              <w:bottom w:color="7f7f7f"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42">
            <w:pPr>
              <w:pageBreakBefore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Refers to Braak Neurofibrillary Tangle Stage (0-VI) (Braak, Alafuzoff et al. 2006). Braak stages:</w:t>
            </w:r>
          </w:p>
          <w:p w:rsidR="00000000" w:rsidDel="00000000" w:rsidP="00000000" w:rsidRDefault="00000000" w:rsidRPr="00000000" w14:paraId="00000143">
            <w:pPr>
              <w:pageBreakBefore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(I/II) when neurofibrillary tangle involvement is limited to the transentorhinal region of the brain, stages</w:t>
            </w:r>
          </w:p>
          <w:p w:rsidR="00000000" w:rsidDel="00000000" w:rsidP="00000000" w:rsidRDefault="00000000" w:rsidRPr="00000000" w14:paraId="00000144">
            <w:pPr>
              <w:pageBreakBefore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(III/IV) when involvement of limbic regions such as the hippocampus appears.</w:t>
            </w:r>
          </w:p>
          <w:p w:rsidR="00000000" w:rsidDel="00000000" w:rsidP="00000000" w:rsidRDefault="00000000" w:rsidRPr="00000000" w14:paraId="00000145">
            <w:pPr>
              <w:pageBreakBefore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(V/VI) when there is extensive neocortical involvement.</w:t>
            </w:r>
          </w:p>
        </w:tc>
      </w:tr>
      <w:tr>
        <w:trPr>
          <w:cantSplit w:val="0"/>
          <w:trHeight w:val="755" w:hRule="atLeast"/>
          <w:tblHeader w:val="0"/>
        </w:trPr>
        <w:tc>
          <w:tcPr>
            <w:tcBorders>
              <w:top w:color="000000" w:space="0" w:sz="0" w:val="nil"/>
              <w:left w:color="000000" w:space="0" w:sz="0" w:val="nil"/>
              <w:bottom w:color="000000" w:space="0" w:sz="0" w:val="nil"/>
              <w:right w:color="000000" w:space="0" w:sz="0" w:val="nil"/>
            </w:tcBorders>
            <w:shd w:fill="d9d9d9" w:val="clear"/>
            <w:tcMar>
              <w:top w:w="100.0" w:type="dxa"/>
              <w:left w:w="100.0" w:type="dxa"/>
              <w:bottom w:w="100.0" w:type="dxa"/>
              <w:right w:w="100.0" w:type="dxa"/>
            </w:tcMar>
            <w:vAlign w:val="top"/>
          </w:tcPr>
          <w:p w:rsidR="00000000" w:rsidDel="00000000" w:rsidP="00000000" w:rsidRDefault="00000000" w:rsidRPr="00000000" w14:paraId="00000146">
            <w:pPr>
              <w:pageBreakBefore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BrainNetStage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47">
            <w:pPr>
              <w:pageBreakBefore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Brain-Net Tau Stage (1-6) - (Brain-Net Europe protocol for tau pathology)</w:t>
            </w:r>
          </w:p>
        </w:tc>
      </w:tr>
      <w:tr>
        <w:trPr>
          <w:cantSplit w:val="0"/>
          <w:trHeight w:val="575" w:hRule="atLeast"/>
          <w:tblHeader w:val="0"/>
        </w:trPr>
        <w:tc>
          <w:tcPr>
            <w:tcBorders>
              <w:top w:color="7f7f7f" w:space="0" w:sz="8" w:val="single"/>
              <w:left w:color="000000" w:space="0" w:sz="0" w:val="nil"/>
              <w:bottom w:color="7f7f7f" w:space="0" w:sz="8" w:val="single"/>
              <w:right w:color="000000" w:space="0" w:sz="0" w:val="nil"/>
            </w:tcBorders>
            <w:shd w:fill="d9d9d9" w:val="clear"/>
            <w:tcMar>
              <w:top w:w="100.0" w:type="dxa"/>
              <w:left w:w="100.0" w:type="dxa"/>
              <w:bottom w:w="100.0" w:type="dxa"/>
              <w:right w:w="100.0" w:type="dxa"/>
            </w:tcMar>
            <w:vAlign w:val="top"/>
          </w:tcPr>
          <w:p w:rsidR="00000000" w:rsidDel="00000000" w:rsidP="00000000" w:rsidRDefault="00000000" w:rsidRPr="00000000" w14:paraId="00000148">
            <w:pPr>
              <w:pageBreakBefore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Aged</w:t>
            </w:r>
          </w:p>
        </w:tc>
        <w:tc>
          <w:tcPr>
            <w:tcBorders>
              <w:top w:color="7f7f7f" w:space="0" w:sz="8" w:val="single"/>
              <w:left w:color="000000" w:space="0" w:sz="0" w:val="nil"/>
              <w:bottom w:color="7f7f7f"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49">
            <w:pPr>
              <w:pageBreakBefore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Age of an individual at death</w:t>
            </w:r>
          </w:p>
        </w:tc>
      </w:tr>
      <w:tr>
        <w:trPr>
          <w:cantSplit w:val="0"/>
          <w:trHeight w:val="755" w:hRule="atLeast"/>
          <w:tblHeader w:val="0"/>
        </w:trPr>
        <w:tc>
          <w:tcPr>
            <w:tcBorders>
              <w:top w:color="000000" w:space="0" w:sz="0" w:val="nil"/>
              <w:left w:color="000000" w:space="0" w:sz="0" w:val="nil"/>
              <w:bottom w:color="000000" w:space="0" w:sz="0" w:val="nil"/>
              <w:right w:color="000000" w:space="0" w:sz="0" w:val="nil"/>
            </w:tcBorders>
            <w:shd w:fill="d9d9d9" w:val="clear"/>
            <w:tcMar>
              <w:top w:w="100.0" w:type="dxa"/>
              <w:left w:w="100.0" w:type="dxa"/>
              <w:bottom w:w="100.0" w:type="dxa"/>
              <w:right w:w="100.0" w:type="dxa"/>
            </w:tcMar>
            <w:vAlign w:val="top"/>
          </w:tcPr>
          <w:p w:rsidR="00000000" w:rsidDel="00000000" w:rsidP="00000000" w:rsidRDefault="00000000" w:rsidRPr="00000000" w14:paraId="0000014A">
            <w:pPr>
              <w:pageBreakBefore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CAATotalSev</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4B">
            <w:pPr>
              <w:pageBreakBefore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Cerebral amyloid angiopathy (CAA) total severity is the scores for leptomeningeal and parenchymal amyloid, giving a score out of maximum of 24 for severity in cortical areas. </w:t>
            </w:r>
          </w:p>
        </w:tc>
      </w:tr>
      <w:tr>
        <w:trPr>
          <w:cantSplit w:val="0"/>
          <w:trHeight w:val="755" w:hRule="atLeast"/>
          <w:tblHeader w:val="0"/>
        </w:trPr>
        <w:tc>
          <w:tcPr>
            <w:tcBorders>
              <w:top w:color="7f7f7f" w:space="0" w:sz="8" w:val="single"/>
              <w:left w:color="000000" w:space="0" w:sz="0" w:val="nil"/>
              <w:bottom w:color="7f7f7f" w:space="0" w:sz="8" w:val="single"/>
              <w:right w:color="000000" w:space="0" w:sz="0" w:val="nil"/>
            </w:tcBorders>
            <w:shd w:fill="d9d9d9" w:val="clear"/>
            <w:tcMar>
              <w:top w:w="100.0" w:type="dxa"/>
              <w:left w:w="100.0" w:type="dxa"/>
              <w:bottom w:w="100.0" w:type="dxa"/>
              <w:right w:w="100.0" w:type="dxa"/>
            </w:tcMar>
            <w:vAlign w:val="top"/>
          </w:tcPr>
          <w:p w:rsidR="00000000" w:rsidDel="00000000" w:rsidP="00000000" w:rsidRDefault="00000000" w:rsidRPr="00000000" w14:paraId="0000014C">
            <w:pPr>
              <w:pageBreakBefore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CAAMeningeal</w:t>
            </w:r>
          </w:p>
        </w:tc>
        <w:tc>
          <w:tcPr>
            <w:tcBorders>
              <w:top w:color="7f7f7f" w:space="0" w:sz="8" w:val="single"/>
              <w:left w:color="000000" w:space="0" w:sz="0" w:val="nil"/>
              <w:bottom w:color="7f7f7f"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4D">
            <w:pPr>
              <w:pageBreakBefore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Cerebral amyloid angiopathy (CAA) Severity Meningeal as for parenchymal the scores are  out of 12</w:t>
            </w:r>
          </w:p>
        </w:tc>
      </w:tr>
      <w:tr>
        <w:trPr>
          <w:cantSplit w:val="0"/>
          <w:trHeight w:val="575" w:hRule="atLeast"/>
          <w:tblHeader w:val="0"/>
        </w:trPr>
        <w:tc>
          <w:tcPr>
            <w:tcBorders>
              <w:top w:color="000000" w:space="0" w:sz="0" w:val="nil"/>
              <w:left w:color="000000" w:space="0" w:sz="0" w:val="nil"/>
              <w:bottom w:color="000000" w:space="0" w:sz="0" w:val="nil"/>
              <w:right w:color="000000" w:space="0" w:sz="0" w:val="nil"/>
            </w:tcBorders>
            <w:shd w:fill="d9d9d9" w:val="clear"/>
            <w:tcMar>
              <w:top w:w="100.0" w:type="dxa"/>
              <w:left w:w="100.0" w:type="dxa"/>
              <w:bottom w:w="100.0" w:type="dxa"/>
              <w:right w:w="100.0" w:type="dxa"/>
            </w:tcMar>
            <w:vAlign w:val="top"/>
          </w:tcPr>
          <w:p w:rsidR="00000000" w:rsidDel="00000000" w:rsidP="00000000" w:rsidRDefault="00000000" w:rsidRPr="00000000" w14:paraId="0000014E">
            <w:pPr>
              <w:pageBreakBefore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Brain-weight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4F">
            <w:pPr>
              <w:pageBreakBefore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Brain weight of an individual after death</w:t>
            </w:r>
          </w:p>
        </w:tc>
      </w:tr>
      <w:tr>
        <w:trPr>
          <w:cantSplit w:val="0"/>
          <w:trHeight w:val="935" w:hRule="atLeast"/>
          <w:tblHeader w:val="0"/>
        </w:trPr>
        <w:tc>
          <w:tcPr>
            <w:tcBorders>
              <w:top w:color="7f7f7f" w:space="0" w:sz="8" w:val="single"/>
              <w:left w:color="000000" w:space="0" w:sz="0" w:val="nil"/>
              <w:bottom w:color="7f7f7f" w:space="0" w:sz="8" w:val="single"/>
              <w:right w:color="000000" w:space="0" w:sz="0" w:val="nil"/>
            </w:tcBorders>
            <w:shd w:fill="d9d9d9" w:val="clear"/>
            <w:tcMar>
              <w:top w:w="100.0" w:type="dxa"/>
              <w:left w:w="100.0" w:type="dxa"/>
              <w:bottom w:w="100.0" w:type="dxa"/>
              <w:right w:w="100.0" w:type="dxa"/>
            </w:tcMar>
            <w:vAlign w:val="top"/>
          </w:tcPr>
          <w:p w:rsidR="00000000" w:rsidDel="00000000" w:rsidP="00000000" w:rsidRDefault="00000000" w:rsidRPr="00000000" w14:paraId="00000150">
            <w:pPr>
              <w:pageBreakBefore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CAAType:</w:t>
            </w:r>
          </w:p>
        </w:tc>
        <w:tc>
          <w:tcPr>
            <w:tcBorders>
              <w:top w:color="7f7f7f" w:space="0" w:sz="8" w:val="single"/>
              <w:left w:color="000000" w:space="0" w:sz="0" w:val="nil"/>
              <w:bottom w:color="7f7f7f"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51">
            <w:pPr>
              <w:pageBreakBefore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Cerebral amyloid angiopathy (CAA) type as defined by Thal, (1) are cases with capillary amyloid and (2) only in larger vessels, (0) no CAA</w:t>
            </w:r>
          </w:p>
        </w:tc>
      </w:tr>
      <w:tr>
        <w:trPr>
          <w:cantSplit w:val="0"/>
          <w:trHeight w:val="935" w:hRule="atLeast"/>
          <w:tblHeader w:val="0"/>
        </w:trPr>
        <w:tc>
          <w:tcPr>
            <w:tcBorders>
              <w:top w:color="000000" w:space="0" w:sz="0" w:val="nil"/>
              <w:left w:color="000000" w:space="0" w:sz="0" w:val="nil"/>
              <w:bottom w:color="000000" w:space="0" w:sz="0" w:val="nil"/>
              <w:right w:color="000000" w:space="0" w:sz="0" w:val="nil"/>
            </w:tcBorders>
            <w:shd w:fill="d9d9d9" w:val="clear"/>
            <w:tcMar>
              <w:top w:w="100.0" w:type="dxa"/>
              <w:left w:w="100.0" w:type="dxa"/>
              <w:bottom w:w="100.0" w:type="dxa"/>
              <w:right w:w="100.0" w:type="dxa"/>
            </w:tcMar>
            <w:vAlign w:val="top"/>
          </w:tcPr>
          <w:p w:rsidR="00000000" w:rsidDel="00000000" w:rsidP="00000000" w:rsidRDefault="00000000" w:rsidRPr="00000000" w14:paraId="00000152">
            <w:pPr>
              <w:pageBreakBefore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ThalStage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53">
            <w:pPr>
              <w:pageBreakBefore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Thal Abeta stage- the new brain -Net-Stage for Abeta. This is a five-stage scheme. This is based on the detection of immunopositive amyloid in cortical and subcortical areas,</w:t>
            </w:r>
          </w:p>
          <w:p w:rsidR="00000000" w:rsidDel="00000000" w:rsidP="00000000" w:rsidRDefault="00000000" w:rsidRPr="00000000" w14:paraId="00000154">
            <w:pPr>
              <w:pageBreakBefore w:val="0"/>
              <w:numPr>
                <w:ilvl w:val="0"/>
                <w:numId w:val="1"/>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progressive deposition of amyloid in neocortex, </w:t>
            </w:r>
          </w:p>
          <w:p w:rsidR="00000000" w:rsidDel="00000000" w:rsidP="00000000" w:rsidRDefault="00000000" w:rsidRPr="00000000" w14:paraId="00000155">
            <w:pPr>
              <w:pageBreakBefore w:val="0"/>
              <w:numPr>
                <w:ilvl w:val="0"/>
                <w:numId w:val="1"/>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allocortex or limbic, </w:t>
            </w:r>
          </w:p>
          <w:p w:rsidR="00000000" w:rsidDel="00000000" w:rsidP="00000000" w:rsidRDefault="00000000" w:rsidRPr="00000000" w14:paraId="00000156">
            <w:pPr>
              <w:pageBreakBefore w:val="0"/>
              <w:numPr>
                <w:ilvl w:val="0"/>
                <w:numId w:val="1"/>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diencephalon/basal ganglia</w:t>
            </w:r>
          </w:p>
          <w:p w:rsidR="00000000" w:rsidDel="00000000" w:rsidP="00000000" w:rsidRDefault="00000000" w:rsidRPr="00000000" w14:paraId="00000157">
            <w:pPr>
              <w:pageBreakBefore w:val="0"/>
              <w:numPr>
                <w:ilvl w:val="0"/>
                <w:numId w:val="1"/>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brainstem/midbrain, </w:t>
            </w:r>
          </w:p>
          <w:p w:rsidR="00000000" w:rsidDel="00000000" w:rsidP="00000000" w:rsidRDefault="00000000" w:rsidRPr="00000000" w14:paraId="00000158">
            <w:pPr>
              <w:pageBreakBefore w:val="0"/>
              <w:numPr>
                <w:ilvl w:val="0"/>
                <w:numId w:val="1"/>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cerebellum</w:t>
            </w:r>
          </w:p>
        </w:tc>
      </w:tr>
      <w:tr>
        <w:trPr>
          <w:cantSplit w:val="0"/>
          <w:trHeight w:val="575" w:hRule="atLeast"/>
          <w:tblHeader w:val="0"/>
        </w:trPr>
        <w:tc>
          <w:tcPr>
            <w:tcBorders>
              <w:top w:color="7f7f7f" w:space="0" w:sz="8" w:val="single"/>
              <w:left w:color="000000" w:space="0" w:sz="0" w:val="nil"/>
              <w:bottom w:color="7f7f7f" w:space="0" w:sz="8" w:val="single"/>
              <w:right w:color="000000" w:space="0" w:sz="0" w:val="nil"/>
            </w:tcBorders>
            <w:shd w:fill="d9d9d9" w:val="clear"/>
            <w:tcMar>
              <w:top w:w="100.0" w:type="dxa"/>
              <w:left w:w="100.0" w:type="dxa"/>
              <w:bottom w:w="100.0" w:type="dxa"/>
              <w:right w:w="100.0" w:type="dxa"/>
            </w:tcMar>
            <w:vAlign w:val="top"/>
          </w:tcPr>
          <w:p w:rsidR="00000000" w:rsidDel="00000000" w:rsidP="00000000" w:rsidRDefault="00000000" w:rsidRPr="00000000" w14:paraId="00000159">
            <w:pPr>
              <w:pageBreakBefore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MTSPETSA</w:t>
            </w:r>
          </w:p>
        </w:tc>
        <w:tc>
          <w:tcPr>
            <w:tcBorders>
              <w:top w:color="7f7f7f" w:space="0" w:sz="8" w:val="single"/>
              <w:left w:color="000000" w:space="0" w:sz="0" w:val="nil"/>
              <w:bottom w:color="7f7f7f"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5A">
            <w:pPr>
              <w:pageBreakBefore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Thorn-Shaped Astrcytes (TSA) subpial/epen mesial temporal</w:t>
            </w:r>
          </w:p>
        </w:tc>
      </w:tr>
      <w:tr>
        <w:trPr>
          <w:cantSplit w:val="0"/>
          <w:trHeight w:val="575" w:hRule="atLeast"/>
          <w:tblHeader w:val="0"/>
        </w:trPr>
        <w:tc>
          <w:tcPr>
            <w:tcBorders>
              <w:top w:color="000000" w:space="0" w:sz="0" w:val="nil"/>
              <w:left w:color="000000" w:space="0" w:sz="0" w:val="nil"/>
              <w:bottom w:color="000000" w:space="0" w:sz="0" w:val="nil"/>
              <w:right w:color="000000" w:space="0" w:sz="0" w:val="nil"/>
            </w:tcBorders>
            <w:shd w:fill="d9d9d9" w:val="clear"/>
            <w:tcMar>
              <w:top w:w="100.0" w:type="dxa"/>
              <w:left w:w="100.0" w:type="dxa"/>
              <w:bottom w:w="100.0" w:type="dxa"/>
              <w:right w:w="100.0" w:type="dxa"/>
            </w:tcMar>
            <w:vAlign w:val="top"/>
          </w:tcPr>
          <w:p w:rsidR="00000000" w:rsidDel="00000000" w:rsidP="00000000" w:rsidRDefault="00000000" w:rsidRPr="00000000" w14:paraId="0000015B">
            <w:pPr>
              <w:pageBreakBefore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CAAAreas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5C">
            <w:pPr>
              <w:pageBreakBefore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Number of brain areas examined that have cerebral amyloid angiopathy (CAA). The number of anatomical areas involved from all the areas in the sampling set to obtain a measure of the extent (number of areas out of 9 maximum).</w:t>
            </w:r>
          </w:p>
        </w:tc>
      </w:tr>
      <w:tr>
        <w:trPr>
          <w:cantSplit w:val="0"/>
          <w:trHeight w:val="575" w:hRule="atLeast"/>
          <w:tblHeader w:val="0"/>
        </w:trPr>
        <w:tc>
          <w:tcPr>
            <w:tcBorders>
              <w:top w:color="7f7f7f" w:space="0" w:sz="8" w:val="single"/>
              <w:left w:color="000000" w:space="0" w:sz="0" w:val="nil"/>
              <w:bottom w:color="7f7f7f" w:space="0" w:sz="8" w:val="single"/>
              <w:right w:color="000000" w:space="0" w:sz="0" w:val="nil"/>
            </w:tcBorders>
            <w:shd w:fill="d9d9d9" w:val="clear"/>
            <w:tcMar>
              <w:top w:w="100.0" w:type="dxa"/>
              <w:left w:w="100.0" w:type="dxa"/>
              <w:bottom w:w="100.0" w:type="dxa"/>
              <w:right w:w="100.0" w:type="dxa"/>
            </w:tcMar>
            <w:vAlign w:val="top"/>
          </w:tcPr>
          <w:p w:rsidR="00000000" w:rsidDel="00000000" w:rsidP="00000000" w:rsidRDefault="00000000" w:rsidRPr="00000000" w14:paraId="0000015D">
            <w:pPr>
              <w:pageBreakBefore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Subpialbrainstem</w:t>
            </w:r>
          </w:p>
        </w:tc>
        <w:tc>
          <w:tcPr>
            <w:tcBorders>
              <w:top w:color="7f7f7f" w:space="0" w:sz="8" w:val="single"/>
              <w:left w:color="000000" w:space="0" w:sz="0" w:val="nil"/>
              <w:bottom w:color="7f7f7f"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5E">
            <w:pPr>
              <w:pageBreakBefore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Subpial tau neurites in brainstem/subcortical region</w:t>
            </w:r>
          </w:p>
        </w:tc>
      </w:tr>
      <w:tr>
        <w:trPr>
          <w:cantSplit w:val="0"/>
          <w:trHeight w:val="755" w:hRule="atLeast"/>
          <w:tblHeader w:val="0"/>
        </w:trPr>
        <w:tc>
          <w:tcPr>
            <w:tcBorders>
              <w:top w:color="000000" w:space="0" w:sz="0" w:val="nil"/>
              <w:left w:color="000000" w:space="0" w:sz="0" w:val="nil"/>
              <w:bottom w:color="000000" w:space="0" w:sz="0" w:val="nil"/>
              <w:right w:color="000000" w:space="0" w:sz="0" w:val="nil"/>
            </w:tcBorders>
            <w:shd w:fill="d9d9d9" w:val="clear"/>
            <w:tcMar>
              <w:top w:w="100.0" w:type="dxa"/>
              <w:left w:w="100.0" w:type="dxa"/>
              <w:bottom w:w="100.0" w:type="dxa"/>
              <w:right w:w="100.0" w:type="dxa"/>
            </w:tcMar>
            <w:vAlign w:val="top"/>
          </w:tcPr>
          <w:p w:rsidR="00000000" w:rsidDel="00000000" w:rsidP="00000000" w:rsidRDefault="00000000" w:rsidRPr="00000000" w14:paraId="0000015F">
            <w:pPr>
              <w:pageBreakBefore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CAAParenc</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60">
            <w:pPr>
              <w:pageBreakBefore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Cerebral amyloid angiopathy (CAA) Severity score (Love 2014) Parenchymal-So in any area CAA can be 1, 2 or 3</w:t>
            </w:r>
          </w:p>
        </w:tc>
      </w:tr>
      <w:tr>
        <w:trPr>
          <w:cantSplit w:val="0"/>
          <w:trHeight w:val="755" w:hRule="atLeast"/>
          <w:tblHeader w:val="0"/>
        </w:trPr>
        <w:tc>
          <w:tcPr>
            <w:tcBorders>
              <w:top w:color="7f7f7f" w:space="0" w:sz="8" w:val="single"/>
              <w:left w:color="000000" w:space="0" w:sz="0" w:val="nil"/>
              <w:bottom w:color="7f7f7f" w:space="0" w:sz="8" w:val="single"/>
              <w:right w:color="000000" w:space="0" w:sz="0" w:val="nil"/>
            </w:tcBorders>
            <w:shd w:fill="d9d9d9" w:val="clear"/>
            <w:tcMar>
              <w:top w:w="100.0" w:type="dxa"/>
              <w:left w:w="100.0" w:type="dxa"/>
              <w:bottom w:w="100.0" w:type="dxa"/>
              <w:right w:w="100.0" w:type="dxa"/>
            </w:tcMar>
            <w:vAlign w:val="top"/>
          </w:tcPr>
          <w:p w:rsidR="00000000" w:rsidDel="00000000" w:rsidP="00000000" w:rsidRDefault="00000000" w:rsidRPr="00000000" w14:paraId="00000161">
            <w:pPr>
              <w:pageBreakBefore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TSATotal</w:t>
            </w:r>
          </w:p>
        </w:tc>
        <w:tc>
          <w:tcPr>
            <w:tcBorders>
              <w:top w:color="7f7f7f" w:space="0" w:sz="8" w:val="single"/>
              <w:left w:color="000000" w:space="0" w:sz="0" w:val="nil"/>
              <w:bottom w:color="7f7f7f"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62">
            <w:pPr>
              <w:pageBreakBefore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Thorn-Shaped Astrcytes (TSA), presence (1) or absence (0) TSA in any brain area</w:t>
            </w:r>
          </w:p>
        </w:tc>
      </w:tr>
      <w:tr>
        <w:trPr>
          <w:cantSplit w:val="0"/>
          <w:trHeight w:val="575" w:hRule="atLeast"/>
          <w:tblHeader w:val="0"/>
        </w:trPr>
        <w:tc>
          <w:tcPr>
            <w:tcBorders>
              <w:top w:color="000000" w:space="0" w:sz="0" w:val="nil"/>
              <w:left w:color="000000" w:space="0" w:sz="0" w:val="nil"/>
              <w:bottom w:color="000000" w:space="0" w:sz="0" w:val="nil"/>
              <w:right w:color="000000" w:space="0" w:sz="0" w:val="nil"/>
            </w:tcBorders>
            <w:shd w:fill="d9d9d9" w:val="clear"/>
            <w:tcMar>
              <w:top w:w="100.0" w:type="dxa"/>
              <w:left w:w="100.0" w:type="dxa"/>
              <w:bottom w:w="100.0" w:type="dxa"/>
              <w:right w:w="100.0" w:type="dxa"/>
            </w:tcMar>
            <w:vAlign w:val="top"/>
          </w:tcPr>
          <w:p w:rsidR="00000000" w:rsidDel="00000000" w:rsidP="00000000" w:rsidRDefault="00000000" w:rsidRPr="00000000" w14:paraId="00000163">
            <w:pPr>
              <w:pageBreakBefore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TSAAny</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64">
            <w:pPr>
              <w:pageBreakBefore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Thorn-Shaped Astrcytes (TSA), Total number of areas with TSA</w:t>
            </w:r>
          </w:p>
        </w:tc>
      </w:tr>
      <w:tr>
        <w:trPr>
          <w:cantSplit w:val="0"/>
          <w:trHeight w:val="575" w:hRule="atLeast"/>
          <w:tblHeader w:val="0"/>
        </w:trPr>
        <w:tc>
          <w:tcPr>
            <w:tcBorders>
              <w:top w:color="7f7f7f" w:space="0" w:sz="8" w:val="single"/>
              <w:left w:color="000000" w:space="0" w:sz="0" w:val="nil"/>
              <w:bottom w:color="7f7f7f" w:space="0" w:sz="8" w:val="single"/>
              <w:right w:color="000000" w:space="0" w:sz="0" w:val="nil"/>
            </w:tcBorders>
            <w:shd w:fill="d9d9d9" w:val="clear"/>
            <w:tcMar>
              <w:top w:w="100.0" w:type="dxa"/>
              <w:left w:w="100.0" w:type="dxa"/>
              <w:bottom w:w="100.0" w:type="dxa"/>
              <w:right w:w="100.0" w:type="dxa"/>
            </w:tcMar>
            <w:vAlign w:val="top"/>
          </w:tcPr>
          <w:p w:rsidR="00000000" w:rsidDel="00000000" w:rsidP="00000000" w:rsidRDefault="00000000" w:rsidRPr="00000000" w14:paraId="00000165">
            <w:pPr>
              <w:pageBreakBefore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CAAParietal</w:t>
            </w:r>
          </w:p>
        </w:tc>
        <w:tc>
          <w:tcPr>
            <w:tcBorders>
              <w:top w:color="7f7f7f" w:space="0" w:sz="8" w:val="single"/>
              <w:left w:color="000000" w:space="0" w:sz="0" w:val="nil"/>
              <w:bottom w:color="7f7f7f"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66">
            <w:pPr>
              <w:pageBreakBefore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Cerebral amyloid angiopathy (CAA) is present or not in Parietal Cortex</w:t>
            </w:r>
          </w:p>
        </w:tc>
      </w:tr>
      <w:tr>
        <w:trPr>
          <w:cantSplit w:val="0"/>
          <w:trHeight w:val="575" w:hRule="atLeast"/>
          <w:tblHeader w:val="0"/>
        </w:trPr>
        <w:tc>
          <w:tcPr>
            <w:tcBorders>
              <w:top w:color="000000" w:space="0" w:sz="0" w:val="nil"/>
              <w:left w:color="000000" w:space="0" w:sz="0" w:val="nil"/>
              <w:bottom w:color="000000" w:space="0" w:sz="0" w:val="nil"/>
              <w:right w:color="000000" w:space="0" w:sz="0" w:val="nil"/>
            </w:tcBorders>
            <w:shd w:fill="d9d9d9" w:val="clear"/>
            <w:tcMar>
              <w:top w:w="100.0" w:type="dxa"/>
              <w:left w:w="100.0" w:type="dxa"/>
              <w:bottom w:w="100.0" w:type="dxa"/>
              <w:right w:w="100.0" w:type="dxa"/>
            </w:tcMar>
            <w:vAlign w:val="top"/>
          </w:tcPr>
          <w:p w:rsidR="00000000" w:rsidDel="00000000" w:rsidP="00000000" w:rsidRDefault="00000000" w:rsidRPr="00000000" w14:paraId="00000167">
            <w:pPr>
              <w:pageBreakBefore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CAAHippocampus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68">
            <w:pPr>
              <w:pageBreakBefore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Cerebral amyloid angiopathy (CAA) is present or not in Hippocampus and (OTG)  occipitotemporal gyrus</w:t>
            </w:r>
          </w:p>
        </w:tc>
      </w:tr>
      <w:tr>
        <w:trPr>
          <w:cantSplit w:val="0"/>
          <w:trHeight w:val="575" w:hRule="atLeast"/>
          <w:tblHeader w:val="0"/>
        </w:trPr>
        <w:tc>
          <w:tcPr>
            <w:tcBorders>
              <w:top w:color="7f7f7f" w:space="0" w:sz="8" w:val="single"/>
              <w:left w:color="000000" w:space="0" w:sz="0" w:val="nil"/>
              <w:bottom w:color="7f7f7f" w:space="0" w:sz="8" w:val="single"/>
              <w:right w:color="000000" w:space="0" w:sz="0" w:val="nil"/>
            </w:tcBorders>
            <w:shd w:fill="d9d9d9" w:val="clear"/>
            <w:tcMar>
              <w:top w:w="100.0" w:type="dxa"/>
              <w:left w:w="100.0" w:type="dxa"/>
              <w:bottom w:w="100.0" w:type="dxa"/>
              <w:right w:w="100.0" w:type="dxa"/>
            </w:tcMar>
            <w:vAlign w:val="top"/>
          </w:tcPr>
          <w:p w:rsidR="00000000" w:rsidDel="00000000" w:rsidP="00000000" w:rsidRDefault="00000000" w:rsidRPr="00000000" w14:paraId="00000169">
            <w:pPr>
              <w:pageBreakBefore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CAAFrontal</w:t>
            </w:r>
          </w:p>
        </w:tc>
        <w:tc>
          <w:tcPr>
            <w:tcBorders>
              <w:top w:color="7f7f7f" w:space="0" w:sz="8" w:val="single"/>
              <w:left w:color="000000" w:space="0" w:sz="0" w:val="nil"/>
              <w:bottom w:color="7f7f7f"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6A">
            <w:pPr>
              <w:pageBreakBefore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Cerebral amyloid angiopathy (CAA) is present or not in Frontal Cortex</w:t>
            </w:r>
          </w:p>
        </w:tc>
      </w:tr>
      <w:tr>
        <w:trPr>
          <w:cantSplit w:val="0"/>
          <w:trHeight w:val="575" w:hRule="atLeast"/>
          <w:tblHeader w:val="0"/>
        </w:trPr>
        <w:tc>
          <w:tcPr>
            <w:tcBorders>
              <w:top w:color="000000" w:space="0" w:sz="0" w:val="nil"/>
              <w:left w:color="000000" w:space="0" w:sz="0" w:val="nil"/>
              <w:bottom w:color="000000" w:space="0" w:sz="0" w:val="nil"/>
              <w:right w:color="000000" w:space="0" w:sz="0" w:val="nil"/>
            </w:tcBorders>
            <w:shd w:fill="d9d9d9" w:val="clear"/>
            <w:tcMar>
              <w:top w:w="100.0" w:type="dxa"/>
              <w:left w:w="100.0" w:type="dxa"/>
              <w:bottom w:w="100.0" w:type="dxa"/>
              <w:right w:w="100.0" w:type="dxa"/>
            </w:tcMar>
            <w:vAlign w:val="top"/>
          </w:tcPr>
          <w:p w:rsidR="00000000" w:rsidDel="00000000" w:rsidP="00000000" w:rsidRDefault="00000000" w:rsidRPr="00000000" w14:paraId="0000016B">
            <w:pPr>
              <w:pageBreakBefore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CAAOcciptal</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6C">
            <w:pPr>
              <w:pageBreakBefore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Cerebral amyloid angiopathy (CAA) is present or not in Occipital Cortex</w:t>
            </w:r>
          </w:p>
        </w:tc>
      </w:tr>
      <w:tr>
        <w:trPr>
          <w:cantSplit w:val="0"/>
          <w:trHeight w:val="575" w:hRule="atLeast"/>
          <w:tblHeader w:val="0"/>
        </w:trPr>
        <w:tc>
          <w:tcPr>
            <w:tcBorders>
              <w:top w:color="7f7f7f" w:space="0" w:sz="8" w:val="single"/>
              <w:left w:color="000000" w:space="0" w:sz="0" w:val="nil"/>
              <w:bottom w:color="7f7f7f" w:space="0" w:sz="8" w:val="single"/>
              <w:right w:color="000000" w:space="0" w:sz="0" w:val="nil"/>
            </w:tcBorders>
            <w:shd w:fill="d9d9d9" w:val="clear"/>
            <w:tcMar>
              <w:top w:w="100.0" w:type="dxa"/>
              <w:left w:w="100.0" w:type="dxa"/>
              <w:bottom w:w="100.0" w:type="dxa"/>
              <w:right w:w="100.0" w:type="dxa"/>
            </w:tcMar>
            <w:vAlign w:val="top"/>
          </w:tcPr>
          <w:p w:rsidR="00000000" w:rsidDel="00000000" w:rsidP="00000000" w:rsidRDefault="00000000" w:rsidRPr="00000000" w14:paraId="0000016D">
            <w:pPr>
              <w:pageBreakBefore w:val="0"/>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BSSPETSA</w:t>
            </w:r>
          </w:p>
        </w:tc>
        <w:tc>
          <w:tcPr>
            <w:tcBorders>
              <w:top w:color="7f7f7f" w:space="0" w:sz="8" w:val="single"/>
              <w:left w:color="000000" w:space="0" w:sz="0" w:val="nil"/>
              <w:bottom w:color="7f7f7f"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6E">
            <w:pPr>
              <w:pageBreakBefore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Thorn-Shaped Astrcytes (TSA) subpial/epend brainstem</w:t>
            </w:r>
          </w:p>
        </w:tc>
      </w:tr>
      <w:tr>
        <w:trPr>
          <w:cantSplit w:val="0"/>
          <w:trHeight w:val="575" w:hRule="atLeast"/>
          <w:tblHeader w:val="0"/>
        </w:trPr>
        <w:tc>
          <w:tcPr>
            <w:tcBorders>
              <w:top w:color="000000" w:space="0" w:sz="0" w:val="nil"/>
              <w:left w:color="000000" w:space="0" w:sz="0" w:val="nil"/>
              <w:bottom w:color="000000" w:space="0" w:sz="0" w:val="nil"/>
              <w:right w:color="000000" w:space="0" w:sz="0" w:val="nil"/>
            </w:tcBorders>
            <w:shd w:fill="d9d9d9" w:val="clear"/>
            <w:tcMar>
              <w:top w:w="100.0" w:type="dxa"/>
              <w:left w:w="100.0" w:type="dxa"/>
              <w:bottom w:w="100.0" w:type="dxa"/>
              <w:right w:w="100.0" w:type="dxa"/>
            </w:tcMar>
            <w:vAlign w:val="top"/>
          </w:tcPr>
          <w:p w:rsidR="00000000" w:rsidDel="00000000" w:rsidP="00000000" w:rsidRDefault="00000000" w:rsidRPr="00000000" w14:paraId="0000016F">
            <w:pPr>
              <w:pageBreakBefore w:val="0"/>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CAACerebellum</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70">
            <w:pPr>
              <w:pageBreakBefore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Cerebral amyloid angiopathy (CAA) is present or not in Cerebellum</w:t>
            </w:r>
          </w:p>
        </w:tc>
      </w:tr>
      <w:tr>
        <w:trPr>
          <w:cantSplit w:val="0"/>
          <w:trHeight w:val="575" w:hRule="atLeast"/>
          <w:tblHeader w:val="0"/>
        </w:trPr>
        <w:tc>
          <w:tcPr>
            <w:tcBorders>
              <w:top w:color="7f7f7f" w:space="0" w:sz="8" w:val="single"/>
              <w:left w:color="000000" w:space="0" w:sz="0" w:val="nil"/>
              <w:bottom w:color="7f7f7f" w:space="0" w:sz="8" w:val="single"/>
              <w:right w:color="000000" w:space="0" w:sz="0" w:val="nil"/>
            </w:tcBorders>
            <w:shd w:fill="d9d9d9" w:val="clear"/>
            <w:tcMar>
              <w:top w:w="100.0" w:type="dxa"/>
              <w:left w:w="100.0" w:type="dxa"/>
              <w:bottom w:w="100.0" w:type="dxa"/>
              <w:right w:w="100.0" w:type="dxa"/>
            </w:tcMar>
            <w:vAlign w:val="top"/>
          </w:tcPr>
          <w:p w:rsidR="00000000" w:rsidDel="00000000" w:rsidP="00000000" w:rsidRDefault="00000000" w:rsidRPr="00000000" w14:paraId="00000171">
            <w:pPr>
              <w:pageBreakBefore w:val="0"/>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AbStageTypical</w:t>
            </w:r>
          </w:p>
        </w:tc>
        <w:tc>
          <w:tcPr>
            <w:tcBorders>
              <w:top w:color="7f7f7f" w:space="0" w:sz="8" w:val="single"/>
              <w:left w:color="000000" w:space="0" w:sz="0" w:val="nil"/>
              <w:bottom w:color="7f7f7f"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72">
            <w:pPr>
              <w:pageBreakBefore w:val="0"/>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Thal typical, (2) atypical</w:t>
            </w:r>
          </w:p>
        </w:tc>
      </w:tr>
      <w:tr>
        <w:trPr>
          <w:cantSplit w:val="0"/>
          <w:trHeight w:val="575" w:hRule="atLeast"/>
          <w:tblHeader w:val="0"/>
        </w:trPr>
        <w:tc>
          <w:tcPr>
            <w:tcBorders>
              <w:top w:color="000000" w:space="0" w:sz="0" w:val="nil"/>
              <w:left w:color="000000" w:space="0" w:sz="0" w:val="nil"/>
              <w:bottom w:color="000000" w:space="0" w:sz="0" w:val="nil"/>
              <w:right w:color="000000" w:space="0" w:sz="0" w:val="nil"/>
            </w:tcBorders>
            <w:shd w:fill="d9d9d9" w:val="clear"/>
            <w:tcMar>
              <w:top w:w="100.0" w:type="dxa"/>
              <w:left w:w="100.0" w:type="dxa"/>
              <w:bottom w:w="100.0" w:type="dxa"/>
              <w:right w:w="100.0" w:type="dxa"/>
            </w:tcMar>
            <w:vAlign w:val="top"/>
          </w:tcPr>
          <w:p w:rsidR="00000000" w:rsidDel="00000000" w:rsidP="00000000" w:rsidRDefault="00000000" w:rsidRPr="00000000" w14:paraId="00000173">
            <w:pPr>
              <w:pageBreakBefore w:val="0"/>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HippocTauStage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74">
            <w:pPr>
              <w:pageBreakBefore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Hippocampal Lace Tau Stage based on progression through the hippocampus</w:t>
            </w:r>
          </w:p>
        </w:tc>
      </w:tr>
      <w:tr>
        <w:trPr>
          <w:cantSplit w:val="0"/>
          <w:trHeight w:val="755" w:hRule="atLeast"/>
          <w:tblHeader w:val="0"/>
        </w:trPr>
        <w:tc>
          <w:tcPr>
            <w:tcBorders>
              <w:top w:color="7f7f7f" w:space="0" w:sz="8" w:val="single"/>
              <w:left w:color="000000" w:space="0" w:sz="0" w:val="nil"/>
              <w:bottom w:color="7f7f7f" w:space="0" w:sz="8" w:val="single"/>
              <w:right w:color="000000" w:space="0" w:sz="0" w:val="nil"/>
            </w:tcBorders>
            <w:shd w:fill="d9d9d9" w:val="clear"/>
            <w:tcMar>
              <w:top w:w="100.0" w:type="dxa"/>
              <w:left w:w="100.0" w:type="dxa"/>
              <w:bottom w:w="100.0" w:type="dxa"/>
              <w:right w:w="100.0" w:type="dxa"/>
            </w:tcMar>
            <w:vAlign w:val="top"/>
          </w:tcPr>
          <w:p w:rsidR="00000000" w:rsidDel="00000000" w:rsidP="00000000" w:rsidRDefault="00000000" w:rsidRPr="00000000" w14:paraId="00000175">
            <w:pPr>
              <w:pageBreakBefore w:val="0"/>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SubcorticalStage</w:t>
            </w:r>
          </w:p>
        </w:tc>
        <w:tc>
          <w:tcPr>
            <w:tcBorders>
              <w:top w:color="7f7f7f" w:space="0" w:sz="8" w:val="single"/>
              <w:left w:color="000000" w:space="0" w:sz="0" w:val="nil"/>
              <w:bottom w:color="7f7f7f"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76">
            <w:pPr>
              <w:pageBreakBefore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Subcortical lacune stage- number of subcortical areas that have microinfarcts</w:t>
            </w:r>
          </w:p>
        </w:tc>
      </w:tr>
      <w:tr>
        <w:trPr>
          <w:cantSplit w:val="0"/>
          <w:trHeight w:val="755" w:hRule="atLeast"/>
          <w:tblHeader w:val="0"/>
        </w:trPr>
        <w:tc>
          <w:tcPr>
            <w:tcBorders>
              <w:top w:color="000000" w:space="0" w:sz="0" w:val="nil"/>
              <w:left w:color="000000" w:space="0" w:sz="0" w:val="nil"/>
              <w:bottom w:color="000000" w:space="0" w:sz="0" w:val="nil"/>
              <w:right w:color="000000" w:space="0" w:sz="0" w:val="nil"/>
            </w:tcBorders>
            <w:shd w:fill="d9d9d9" w:val="clear"/>
            <w:tcMar>
              <w:top w:w="100.0" w:type="dxa"/>
              <w:left w:w="100.0" w:type="dxa"/>
              <w:bottom w:w="100.0" w:type="dxa"/>
              <w:right w:w="100.0" w:type="dxa"/>
            </w:tcMar>
            <w:vAlign w:val="top"/>
          </w:tcPr>
          <w:p w:rsidR="00000000" w:rsidDel="00000000" w:rsidP="00000000" w:rsidRDefault="00000000" w:rsidRPr="00000000" w14:paraId="00000177">
            <w:pPr>
              <w:pageBreakBefore w:val="0"/>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CorticalStage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78">
            <w:pPr>
              <w:pageBreakBefore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Cortical microinfarct stage- number of cortical areas that have microinfarcts</w:t>
            </w:r>
          </w:p>
        </w:tc>
      </w:tr>
      <w:tr>
        <w:trPr>
          <w:cantSplit w:val="0"/>
          <w:trHeight w:val="575" w:hRule="atLeast"/>
          <w:tblHeader w:val="0"/>
        </w:trPr>
        <w:tc>
          <w:tcPr>
            <w:tcBorders>
              <w:top w:color="7f7f7f" w:space="0" w:sz="8" w:val="single"/>
              <w:left w:color="000000" w:space="0" w:sz="0" w:val="nil"/>
              <w:bottom w:color="7f7f7f" w:space="0" w:sz="8" w:val="single"/>
              <w:right w:color="000000" w:space="0" w:sz="0" w:val="nil"/>
            </w:tcBorders>
            <w:shd w:fill="d9d9d9" w:val="clear"/>
            <w:tcMar>
              <w:top w:w="100.0" w:type="dxa"/>
              <w:left w:w="100.0" w:type="dxa"/>
              <w:bottom w:w="100.0" w:type="dxa"/>
              <w:right w:w="100.0" w:type="dxa"/>
            </w:tcMar>
            <w:vAlign w:val="top"/>
          </w:tcPr>
          <w:p w:rsidR="00000000" w:rsidDel="00000000" w:rsidP="00000000" w:rsidRDefault="00000000" w:rsidRPr="00000000" w14:paraId="00000179">
            <w:pPr>
              <w:pageBreakBefore w:val="0"/>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SubpialMesTemp</w:t>
            </w:r>
          </w:p>
        </w:tc>
        <w:tc>
          <w:tcPr>
            <w:tcBorders>
              <w:top w:color="7f7f7f" w:space="0" w:sz="8" w:val="single"/>
              <w:left w:color="000000" w:space="0" w:sz="0" w:val="nil"/>
              <w:bottom w:color="7f7f7f"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7A">
            <w:pPr>
              <w:pageBreakBefore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Subpial tau neurites in mesial temporal</w:t>
            </w:r>
          </w:p>
        </w:tc>
      </w:tr>
      <w:tr>
        <w:trPr>
          <w:cantSplit w:val="0"/>
          <w:trHeight w:val="575" w:hRule="atLeast"/>
          <w:tblHeader w:val="0"/>
        </w:trPr>
        <w:tc>
          <w:tcPr>
            <w:tcBorders>
              <w:top w:color="000000" w:space="0" w:sz="0" w:val="nil"/>
              <w:left w:color="000000" w:space="0" w:sz="0" w:val="nil"/>
              <w:bottom w:color="000000" w:space="0" w:sz="0" w:val="nil"/>
              <w:right w:color="000000" w:space="0" w:sz="0" w:val="nil"/>
            </w:tcBorders>
            <w:shd w:fill="d9d9d9" w:val="clear"/>
            <w:tcMar>
              <w:top w:w="100.0" w:type="dxa"/>
              <w:left w:w="100.0" w:type="dxa"/>
              <w:bottom w:w="100.0" w:type="dxa"/>
              <w:right w:w="100.0" w:type="dxa"/>
            </w:tcMar>
            <w:vAlign w:val="top"/>
          </w:tcPr>
          <w:p w:rsidR="00000000" w:rsidDel="00000000" w:rsidP="00000000" w:rsidRDefault="00000000" w:rsidRPr="00000000" w14:paraId="0000017B">
            <w:pPr>
              <w:pageBreakBefore w:val="0"/>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PARTall</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7C">
            <w:pPr>
              <w:pageBreakBefore w:val="0"/>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333333"/>
                <w:sz w:val="24"/>
                <w:szCs w:val="24"/>
                <w:highlight w:val="white"/>
                <w:rtl w:val="0"/>
              </w:rPr>
              <w:t xml:space="preserve">Primary age-related tauopathy (PART),</w:t>
            </w:r>
            <w:r w:rsidDel="00000000" w:rsidR="00000000" w:rsidRPr="00000000">
              <w:rPr>
                <w:rFonts w:ascii="Georgia" w:cs="Georgia" w:eastAsia="Georgia" w:hAnsi="Georgia"/>
                <w:color w:val="333333"/>
                <w:sz w:val="27"/>
                <w:szCs w:val="27"/>
                <w:highlight w:val="white"/>
                <w:rtl w:val="0"/>
              </w:rPr>
              <w:t xml:space="preserve"> </w:t>
            </w:r>
            <w:r w:rsidDel="00000000" w:rsidR="00000000" w:rsidRPr="00000000">
              <w:rPr>
                <w:rFonts w:ascii="Times New Roman" w:cs="Times New Roman" w:eastAsia="Times New Roman" w:hAnsi="Times New Roman"/>
                <w:sz w:val="24"/>
                <w:szCs w:val="24"/>
                <w:rtl w:val="0"/>
              </w:rPr>
              <w:t xml:space="preserve">(1) PARTall  Abeta 0-2/tau I-IV, (2) Abeta 3+/tau I-IV</w:t>
            </w:r>
          </w:p>
        </w:tc>
      </w:tr>
      <w:tr>
        <w:trPr>
          <w:cantSplit w:val="0"/>
          <w:trHeight w:val="755" w:hRule="atLeast"/>
          <w:tblHeader w:val="0"/>
        </w:trPr>
        <w:tc>
          <w:tcPr>
            <w:tcBorders>
              <w:top w:color="7f7f7f" w:space="0" w:sz="8" w:val="single"/>
              <w:left w:color="000000" w:space="0" w:sz="0" w:val="nil"/>
              <w:bottom w:color="7f7f7f" w:space="0" w:sz="8" w:val="single"/>
              <w:right w:color="000000" w:space="0" w:sz="0" w:val="nil"/>
            </w:tcBorders>
            <w:shd w:fill="d9d9d9" w:val="clear"/>
            <w:tcMar>
              <w:top w:w="100.0" w:type="dxa"/>
              <w:left w:w="100.0" w:type="dxa"/>
              <w:bottom w:w="100.0" w:type="dxa"/>
              <w:right w:w="100.0" w:type="dxa"/>
            </w:tcMar>
            <w:vAlign w:val="top"/>
          </w:tcPr>
          <w:p w:rsidR="00000000" w:rsidDel="00000000" w:rsidP="00000000" w:rsidRDefault="00000000" w:rsidRPr="00000000" w14:paraId="0000017D">
            <w:pPr>
              <w:pageBreakBefore w:val="0"/>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MicroinfractStage</w:t>
            </w:r>
          </w:p>
        </w:tc>
        <w:tc>
          <w:tcPr>
            <w:tcBorders>
              <w:top w:color="7f7f7f" w:space="0" w:sz="8" w:val="single"/>
              <w:left w:color="000000" w:space="0" w:sz="0" w:val="nil"/>
              <w:bottom w:color="7f7f7f"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7E">
            <w:pPr>
              <w:pageBreakBefore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Total microinfarct stage- number of total of areas that have microinfarcts</w:t>
            </w:r>
          </w:p>
        </w:tc>
      </w:tr>
      <w:tr>
        <w:trPr>
          <w:cantSplit w:val="0"/>
          <w:trHeight w:val="575" w:hRule="atLeast"/>
          <w:tblHeader w:val="0"/>
        </w:trPr>
        <w:tc>
          <w:tcPr>
            <w:tcBorders>
              <w:top w:color="000000" w:space="0" w:sz="0" w:val="nil"/>
              <w:left w:color="000000" w:space="0" w:sz="0" w:val="nil"/>
              <w:bottom w:color="000000" w:space="0" w:sz="0" w:val="nil"/>
              <w:right w:color="000000" w:space="0" w:sz="0" w:val="nil"/>
            </w:tcBorders>
            <w:shd w:fill="d9d9d9" w:val="clear"/>
            <w:tcMar>
              <w:top w:w="100.0" w:type="dxa"/>
              <w:left w:w="100.0" w:type="dxa"/>
              <w:bottom w:w="100.0" w:type="dxa"/>
              <w:right w:w="100.0" w:type="dxa"/>
            </w:tcMar>
            <w:vAlign w:val="top"/>
          </w:tcPr>
          <w:p w:rsidR="00000000" w:rsidDel="00000000" w:rsidP="00000000" w:rsidRDefault="00000000" w:rsidRPr="00000000" w14:paraId="0000017F">
            <w:pPr>
              <w:pageBreakBefore w:val="0"/>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ArgyGrains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80">
            <w:pPr>
              <w:pageBreakBefore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Argyrophilic grains</w:t>
            </w:r>
          </w:p>
        </w:tc>
      </w:tr>
      <w:tr>
        <w:trPr>
          <w:cantSplit w:val="0"/>
          <w:trHeight w:val="575" w:hRule="atLeast"/>
          <w:tblHeader w:val="0"/>
        </w:trPr>
        <w:tc>
          <w:tcPr>
            <w:tcBorders>
              <w:top w:color="7f7f7f" w:space="0" w:sz="8" w:val="single"/>
              <w:left w:color="000000" w:space="0" w:sz="0" w:val="nil"/>
              <w:bottom w:color="7f7f7f" w:space="0" w:sz="8" w:val="single"/>
              <w:right w:color="000000" w:space="0" w:sz="0" w:val="nil"/>
            </w:tcBorders>
            <w:shd w:fill="d9d9d9" w:val="clear"/>
            <w:tcMar>
              <w:top w:w="100.0" w:type="dxa"/>
              <w:left w:w="100.0" w:type="dxa"/>
              <w:bottom w:w="100.0" w:type="dxa"/>
              <w:right w:w="100.0" w:type="dxa"/>
            </w:tcMar>
            <w:vAlign w:val="top"/>
          </w:tcPr>
          <w:p w:rsidR="00000000" w:rsidDel="00000000" w:rsidP="00000000" w:rsidRDefault="00000000" w:rsidRPr="00000000" w14:paraId="00000181">
            <w:pPr>
              <w:pageBreakBefore w:val="0"/>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OccipMicroing</w:t>
            </w:r>
          </w:p>
        </w:tc>
        <w:tc>
          <w:tcPr>
            <w:tcBorders>
              <w:top w:color="7f7f7f" w:space="0" w:sz="8" w:val="single"/>
              <w:left w:color="000000" w:space="0" w:sz="0" w:val="nil"/>
              <w:bottom w:color="7f7f7f"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82">
            <w:pPr>
              <w:pageBreakBefore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Occipital Microinfarct</w:t>
            </w:r>
          </w:p>
        </w:tc>
      </w:tr>
      <w:tr>
        <w:trPr>
          <w:cantSplit w:val="0"/>
          <w:trHeight w:val="575" w:hRule="atLeast"/>
          <w:tblHeader w:val="0"/>
        </w:trPr>
        <w:tc>
          <w:tcPr>
            <w:tcBorders>
              <w:top w:color="000000" w:space="0" w:sz="0" w:val="nil"/>
              <w:left w:color="000000" w:space="0" w:sz="0" w:val="nil"/>
              <w:bottom w:color="000000" w:space="0" w:sz="0" w:val="nil"/>
              <w:right w:color="000000" w:space="0" w:sz="0" w:val="nil"/>
            </w:tcBorders>
            <w:shd w:fill="d9d9d9" w:val="clear"/>
            <w:tcMar>
              <w:top w:w="100.0" w:type="dxa"/>
              <w:left w:w="100.0" w:type="dxa"/>
              <w:bottom w:w="100.0" w:type="dxa"/>
              <w:right w:w="100.0" w:type="dxa"/>
            </w:tcMar>
            <w:vAlign w:val="top"/>
          </w:tcPr>
          <w:p w:rsidR="00000000" w:rsidDel="00000000" w:rsidP="00000000" w:rsidRDefault="00000000" w:rsidRPr="00000000" w14:paraId="00000183">
            <w:pPr>
              <w:pageBreakBefore w:val="0"/>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ParMicrin</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84">
            <w:pPr>
              <w:pageBreakBefore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Parietal Microinfarct</w:t>
            </w:r>
          </w:p>
        </w:tc>
      </w:tr>
      <w:tr>
        <w:trPr>
          <w:cantSplit w:val="0"/>
          <w:trHeight w:val="575" w:hRule="atLeast"/>
          <w:tblHeader w:val="0"/>
        </w:trPr>
        <w:tc>
          <w:tcPr>
            <w:tcBorders>
              <w:top w:color="7f7f7f" w:space="0" w:sz="8" w:val="single"/>
              <w:left w:color="000000" w:space="0" w:sz="0" w:val="nil"/>
              <w:bottom w:color="7f7f7f" w:space="0" w:sz="8" w:val="single"/>
              <w:right w:color="000000" w:space="0" w:sz="0" w:val="nil"/>
            </w:tcBorders>
            <w:shd w:fill="d9d9d9" w:val="clear"/>
            <w:tcMar>
              <w:top w:w="100.0" w:type="dxa"/>
              <w:left w:w="100.0" w:type="dxa"/>
              <w:bottom w:w="100.0" w:type="dxa"/>
              <w:right w:w="100.0" w:type="dxa"/>
            </w:tcMar>
            <w:vAlign w:val="top"/>
          </w:tcPr>
          <w:p w:rsidR="00000000" w:rsidDel="00000000" w:rsidP="00000000" w:rsidRDefault="00000000" w:rsidRPr="00000000" w14:paraId="00000185">
            <w:pPr>
              <w:pageBreakBefore w:val="0"/>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PARTdefinite</w:t>
            </w:r>
          </w:p>
        </w:tc>
        <w:tc>
          <w:tcPr>
            <w:tcBorders>
              <w:top w:color="7f7f7f" w:space="0" w:sz="8" w:val="single"/>
              <w:left w:color="000000" w:space="0" w:sz="0" w:val="nil"/>
              <w:bottom w:color="7f7f7f"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86">
            <w:pPr>
              <w:pageBreakBefore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333333"/>
                <w:sz w:val="24"/>
                <w:szCs w:val="24"/>
                <w:highlight w:val="white"/>
                <w:rtl w:val="0"/>
              </w:rPr>
              <w:t xml:space="preserve">Primary age-related tauopathy (PART), </w:t>
            </w:r>
            <w:r w:rsidDel="00000000" w:rsidR="00000000" w:rsidRPr="00000000">
              <w:rPr>
                <w:rFonts w:ascii="Times New Roman" w:cs="Times New Roman" w:eastAsia="Times New Roman" w:hAnsi="Times New Roman"/>
                <w:sz w:val="24"/>
                <w:szCs w:val="24"/>
                <w:rtl w:val="0"/>
              </w:rPr>
              <w:t xml:space="preserve">PART-definite is defined as no Aβ pathology (Thal stage 0) and Braak NFT stage I-IV and PART-possible as mild Aβ pathology (Thal stage I-II)/Braak NFT stage I-IV (Crary, Trojanowski et al. 2014).</w:t>
            </w:r>
          </w:p>
        </w:tc>
      </w:tr>
      <w:tr>
        <w:trPr>
          <w:cantSplit w:val="0"/>
          <w:trHeight w:val="575" w:hRule="atLeast"/>
          <w:tblHeader w:val="0"/>
        </w:trPr>
        <w:tc>
          <w:tcPr>
            <w:tcBorders>
              <w:top w:color="000000" w:space="0" w:sz="0" w:val="nil"/>
              <w:left w:color="000000" w:space="0" w:sz="0" w:val="nil"/>
              <w:bottom w:color="000000" w:space="0" w:sz="0" w:val="nil"/>
              <w:right w:color="000000" w:space="0" w:sz="0" w:val="nil"/>
            </w:tcBorders>
            <w:shd w:fill="d9d9d9" w:val="clear"/>
            <w:tcMar>
              <w:top w:w="100.0" w:type="dxa"/>
              <w:left w:w="100.0" w:type="dxa"/>
              <w:bottom w:w="100.0" w:type="dxa"/>
              <w:right w:w="100.0" w:type="dxa"/>
            </w:tcMar>
            <w:vAlign w:val="top"/>
          </w:tcPr>
          <w:p w:rsidR="00000000" w:rsidDel="00000000" w:rsidP="00000000" w:rsidRDefault="00000000" w:rsidRPr="00000000" w14:paraId="00000187">
            <w:pPr>
              <w:pageBreakBefore w:val="0"/>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FrontalMicroin</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88">
            <w:pPr>
              <w:pageBreakBefore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Frontal Microinfarct</w:t>
            </w:r>
          </w:p>
        </w:tc>
      </w:tr>
      <w:tr>
        <w:trPr>
          <w:cantSplit w:val="0"/>
          <w:trHeight w:val="575" w:hRule="atLeast"/>
          <w:tblHeader w:val="0"/>
        </w:trPr>
        <w:tc>
          <w:tcPr>
            <w:tcBorders>
              <w:top w:color="7f7f7f" w:space="0" w:sz="8" w:val="single"/>
              <w:left w:color="000000" w:space="0" w:sz="0" w:val="nil"/>
              <w:bottom w:color="7f7f7f" w:space="0" w:sz="8" w:val="single"/>
              <w:right w:color="000000" w:space="0" w:sz="0" w:val="nil"/>
            </w:tcBorders>
            <w:shd w:fill="d9d9d9" w:val="clear"/>
            <w:tcMar>
              <w:top w:w="100.0" w:type="dxa"/>
              <w:left w:w="100.0" w:type="dxa"/>
              <w:bottom w:w="100.0" w:type="dxa"/>
              <w:right w:w="100.0" w:type="dxa"/>
            </w:tcMar>
            <w:vAlign w:val="top"/>
          </w:tcPr>
          <w:p w:rsidR="00000000" w:rsidDel="00000000" w:rsidP="00000000" w:rsidRDefault="00000000" w:rsidRPr="00000000" w14:paraId="00000189">
            <w:pPr>
              <w:pageBreakBefore w:val="0"/>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TempMicroinf</w:t>
            </w:r>
          </w:p>
        </w:tc>
        <w:tc>
          <w:tcPr>
            <w:tcBorders>
              <w:top w:color="7f7f7f" w:space="0" w:sz="8" w:val="single"/>
              <w:left w:color="000000" w:space="0" w:sz="0" w:val="nil"/>
              <w:bottom w:color="7f7f7f"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8A">
            <w:pPr>
              <w:pageBreakBefore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Temporal Microinfarct</w:t>
            </w:r>
          </w:p>
        </w:tc>
      </w:tr>
      <w:tr>
        <w:trPr>
          <w:cantSplit w:val="0"/>
          <w:trHeight w:val="575" w:hRule="atLeast"/>
          <w:tblHeader w:val="0"/>
        </w:trPr>
        <w:tc>
          <w:tcPr>
            <w:tcBorders>
              <w:top w:color="000000" w:space="0" w:sz="0" w:val="nil"/>
              <w:left w:color="000000" w:space="0" w:sz="0" w:val="nil"/>
              <w:bottom w:color="000000" w:space="0" w:sz="0" w:val="nil"/>
              <w:right w:color="000000" w:space="0" w:sz="0" w:val="nil"/>
            </w:tcBorders>
            <w:shd w:fill="d9d9d9" w:val="clear"/>
            <w:tcMar>
              <w:top w:w="100.0" w:type="dxa"/>
              <w:left w:w="100.0" w:type="dxa"/>
              <w:bottom w:w="100.0" w:type="dxa"/>
              <w:right w:w="100.0" w:type="dxa"/>
            </w:tcMar>
            <w:vAlign w:val="top"/>
          </w:tcPr>
          <w:p w:rsidR="00000000" w:rsidDel="00000000" w:rsidP="00000000" w:rsidRDefault="00000000" w:rsidRPr="00000000" w14:paraId="0000018B">
            <w:pPr>
              <w:pageBreakBefore w:val="0"/>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CxSPETSA</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8C">
            <w:pPr>
              <w:pageBreakBefore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Thorn-Shaped Astrcytes (TSA) subpial/epend cortex</w:t>
            </w:r>
          </w:p>
        </w:tc>
      </w:tr>
      <w:tr>
        <w:trPr>
          <w:cantSplit w:val="0"/>
          <w:trHeight w:val="575" w:hRule="atLeast"/>
          <w:tblHeader w:val="0"/>
        </w:trPr>
        <w:tc>
          <w:tcPr>
            <w:tcBorders>
              <w:top w:color="7f7f7f" w:space="0" w:sz="8" w:val="single"/>
              <w:left w:color="000000" w:space="0" w:sz="0" w:val="nil"/>
              <w:bottom w:color="7f7f7f" w:space="0" w:sz="8" w:val="single"/>
              <w:right w:color="000000" w:space="0" w:sz="0" w:val="nil"/>
            </w:tcBorders>
            <w:shd w:fill="d9d9d9" w:val="clear"/>
            <w:tcMar>
              <w:top w:w="100.0" w:type="dxa"/>
              <w:left w:w="100.0" w:type="dxa"/>
              <w:bottom w:w="100.0" w:type="dxa"/>
              <w:right w:w="100.0" w:type="dxa"/>
            </w:tcMar>
            <w:vAlign w:val="top"/>
          </w:tcPr>
          <w:p w:rsidR="00000000" w:rsidDel="00000000" w:rsidP="00000000" w:rsidRDefault="00000000" w:rsidRPr="00000000" w14:paraId="0000018D">
            <w:pPr>
              <w:pageBreakBefore w:val="0"/>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CAATemp</w:t>
            </w:r>
          </w:p>
        </w:tc>
        <w:tc>
          <w:tcPr>
            <w:tcBorders>
              <w:top w:color="7f7f7f" w:space="0" w:sz="8" w:val="single"/>
              <w:left w:color="000000" w:space="0" w:sz="0" w:val="nil"/>
              <w:bottom w:color="7f7f7f"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8E">
            <w:pPr>
              <w:pageBreakBefore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Cerebral amyloid angiopathy (CAA) is present or not in Temporal Cortex</w:t>
            </w:r>
          </w:p>
        </w:tc>
      </w:tr>
      <w:tr>
        <w:trPr>
          <w:cantSplit w:val="0"/>
          <w:trHeight w:val="575" w:hRule="atLeast"/>
          <w:tblHeader w:val="0"/>
        </w:trPr>
        <w:tc>
          <w:tcPr>
            <w:tcBorders>
              <w:top w:color="000000" w:space="0" w:sz="0" w:val="nil"/>
              <w:left w:color="000000" w:space="0" w:sz="0" w:val="nil"/>
              <w:bottom w:color="7f7f7f" w:space="0" w:sz="8" w:val="single"/>
              <w:right w:color="000000" w:space="0" w:sz="0" w:val="nil"/>
            </w:tcBorders>
            <w:shd w:fill="d9d9d9" w:val="clear"/>
            <w:tcMar>
              <w:top w:w="100.0" w:type="dxa"/>
              <w:left w:w="100.0" w:type="dxa"/>
              <w:bottom w:w="100.0" w:type="dxa"/>
              <w:right w:w="100.0" w:type="dxa"/>
            </w:tcMar>
            <w:vAlign w:val="top"/>
          </w:tcPr>
          <w:p w:rsidR="00000000" w:rsidDel="00000000" w:rsidP="00000000" w:rsidRDefault="00000000" w:rsidRPr="00000000" w14:paraId="0000018F">
            <w:pPr>
              <w:pageBreakBefore w:val="0"/>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TuffedAst</w:t>
            </w:r>
          </w:p>
        </w:tc>
        <w:tc>
          <w:tcPr>
            <w:tcBorders>
              <w:top w:color="000000" w:space="0" w:sz="0" w:val="nil"/>
              <w:left w:color="000000" w:space="0" w:sz="0" w:val="nil"/>
              <w:bottom w:color="7f7f7f"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90">
            <w:pPr>
              <w:pageBreakBefore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Tufted parencymal astrocytes any area</w:t>
            </w:r>
          </w:p>
        </w:tc>
      </w:tr>
    </w:tbl>
    <w:p w:rsidR="00000000" w:rsidDel="00000000" w:rsidP="00000000" w:rsidRDefault="00000000" w:rsidRPr="00000000" w14:paraId="00000191">
      <w:pPr>
        <w:pageBreakBefore w:val="0"/>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92">
      <w:pPr>
        <w:pageBreakBefore w:val="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5.png"/><Relationship Id="rId10" Type="http://schemas.openxmlformats.org/officeDocument/2006/relationships/image" Target="media/image4.png"/><Relationship Id="rId9" Type="http://schemas.openxmlformats.org/officeDocument/2006/relationships/image" Target="media/image3.png"/><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