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A276D" w:rsidRDefault="00511121">
      <w:pPr>
        <w:rPr>
          <w:rFonts w:ascii="Times New Roman" w:eastAsia="Times New Roman" w:hAnsi="Times New Roman" w:cs="Times New Roman"/>
          <w:b/>
        </w:rPr>
      </w:pPr>
      <w:r>
        <w:rPr>
          <w:rFonts w:ascii="Times New Roman" w:eastAsia="Times New Roman" w:hAnsi="Times New Roman" w:cs="Times New Roman"/>
          <w:b/>
        </w:rPr>
        <w:t>Supplementary Material</w:t>
      </w:r>
    </w:p>
    <w:p w14:paraId="00000002" w14:textId="77777777" w:rsidR="007A276D" w:rsidRDefault="007A276D">
      <w:pPr>
        <w:rPr>
          <w:rFonts w:ascii="Times New Roman" w:eastAsia="Times New Roman" w:hAnsi="Times New Roman" w:cs="Times New Roman"/>
        </w:rPr>
      </w:pPr>
    </w:p>
    <w:p w14:paraId="00000003" w14:textId="11D1F716" w:rsidR="007A276D" w:rsidRDefault="000A5CC3">
      <w:pPr>
        <w:spacing w:after="160"/>
        <w:jc w:val="both"/>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3F00CE2D" wp14:editId="7F396587">
            <wp:extent cx="4944526" cy="72305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4957573" cy="7249613"/>
                    </a:xfrm>
                    <a:prstGeom prst="rect">
                      <a:avLst/>
                    </a:prstGeom>
                  </pic:spPr>
                </pic:pic>
              </a:graphicData>
            </a:graphic>
          </wp:inline>
        </w:drawing>
      </w:r>
    </w:p>
    <w:p w14:paraId="00000004" w14:textId="4F740281" w:rsidR="007A276D" w:rsidRDefault="00511121" w:rsidP="000A5CC3">
      <w:pPr>
        <w:jc w:val="both"/>
        <w:rPr>
          <w:rFonts w:ascii="Times New Roman" w:eastAsia="Times New Roman" w:hAnsi="Times New Roman" w:cs="Times New Roman"/>
          <w:color w:val="333333"/>
          <w:highlight w:val="white"/>
        </w:rPr>
      </w:pPr>
      <w:r w:rsidRPr="00705AFD">
        <w:rPr>
          <w:rFonts w:ascii="Times New Roman" w:eastAsia="Times New Roman" w:hAnsi="Times New Roman" w:cs="Times New Roman"/>
          <w:b/>
          <w:color w:val="020202"/>
          <w:highlight w:val="white"/>
        </w:rPr>
        <w:t>Supplementary Figure 1.</w:t>
      </w:r>
      <w:r>
        <w:rPr>
          <w:rFonts w:ascii="Times New Roman" w:eastAsia="Times New Roman" w:hAnsi="Times New Roman" w:cs="Times New Roman"/>
          <w:color w:val="020202"/>
          <w:highlight w:val="white"/>
        </w:rPr>
        <w:t xml:space="preserve"> </w:t>
      </w:r>
      <w:r>
        <w:rPr>
          <w:rFonts w:ascii="Times New Roman" w:eastAsia="Times New Roman" w:hAnsi="Times New Roman" w:cs="Times New Roman"/>
          <w:color w:val="333333"/>
          <w:highlight w:val="white"/>
        </w:rPr>
        <w:t xml:space="preserve">PhyloFlash heatmap of taxonomic assignments (rows, with prokaryotes in blue and eukaryotes in red) for small-subunit rRNA reads in the six individual foregut and midgut metagenomes (columns). The intensity of colors indicates the percentage of reads that mapped to a given taxon. Metagenomes are clustered by their similarity in terms of taxonomic profile and taxa are clustered by their co-occurrence across metagenomes. The </w:t>
      </w:r>
      <w:r w:rsidR="001E4638">
        <w:rPr>
          <w:rFonts w:ascii="Times New Roman" w:eastAsia="Times New Roman" w:hAnsi="Times New Roman" w:cs="Times New Roman"/>
          <w:color w:val="333333"/>
          <w:highlight w:val="white"/>
        </w:rPr>
        <w:t>E</w:t>
      </w:r>
      <w:r>
        <w:rPr>
          <w:rFonts w:ascii="Times New Roman" w:eastAsia="Times New Roman" w:hAnsi="Times New Roman" w:cs="Times New Roman"/>
          <w:color w:val="333333"/>
          <w:highlight w:val="white"/>
        </w:rPr>
        <w:t>uclidean distance and the Ward's minimum variance method were used for clustering.</w:t>
      </w:r>
    </w:p>
    <w:p w14:paraId="3090F631" w14:textId="3468B88E" w:rsidR="000A5CC3" w:rsidRDefault="000A5CC3" w:rsidP="000A5CC3">
      <w:pPr>
        <w:jc w:val="both"/>
        <w:rPr>
          <w:rFonts w:ascii="Times New Roman" w:eastAsia="Times New Roman" w:hAnsi="Times New Roman" w:cs="Times New Roman"/>
          <w:color w:val="020202"/>
          <w:highlight w:val="white"/>
        </w:rPr>
      </w:pPr>
      <w:r>
        <w:rPr>
          <w:rFonts w:ascii="Times New Roman" w:eastAsia="Times New Roman" w:hAnsi="Times New Roman" w:cs="Times New Roman"/>
          <w:noProof/>
          <w:color w:val="020202"/>
        </w:rPr>
        <w:lastRenderedPageBreak/>
        <w:drawing>
          <wp:inline distT="0" distB="0" distL="0" distR="0" wp14:anchorId="307CF54E" wp14:editId="2E488665">
            <wp:extent cx="5731510" cy="77920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5731510" cy="7792085"/>
                    </a:xfrm>
                    <a:prstGeom prst="rect">
                      <a:avLst/>
                    </a:prstGeom>
                  </pic:spPr>
                </pic:pic>
              </a:graphicData>
            </a:graphic>
          </wp:inline>
        </w:drawing>
      </w:r>
    </w:p>
    <w:p w14:paraId="00000005" w14:textId="02FB407C" w:rsidR="007A276D" w:rsidRDefault="00511121" w:rsidP="000A5CC3">
      <w:pPr>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t>Supplementary Figure 2.</w:t>
      </w:r>
      <w:r>
        <w:rPr>
          <w:rFonts w:ascii="Times New Roman" w:eastAsia="Times New Roman" w:hAnsi="Times New Roman" w:cs="Times New Roman"/>
          <w:color w:val="333333"/>
          <w:highlight w:val="white"/>
        </w:rPr>
        <w:t xml:space="preserve"> KEGG Decoder heatmap showing the completeness of the metabolic pathways of the MAGs based on gene presence or absence. The top dendrogram represents the similarity between MAGs based on their metabolic pathways using Euclidean distance and complete linkage clustering. Taxonomic affiliations at the class and phylum levels and MAG completions are indicated </w:t>
      </w:r>
      <w:r w:rsidR="001E4638">
        <w:rPr>
          <w:rFonts w:ascii="Times New Roman" w:eastAsia="Times New Roman" w:hAnsi="Times New Roman" w:cs="Times New Roman"/>
          <w:color w:val="333333"/>
          <w:highlight w:val="white"/>
        </w:rPr>
        <w:t>at</w:t>
      </w:r>
      <w:r>
        <w:rPr>
          <w:rFonts w:ascii="Times New Roman" w:eastAsia="Times New Roman" w:hAnsi="Times New Roman" w:cs="Times New Roman"/>
          <w:color w:val="333333"/>
          <w:highlight w:val="white"/>
        </w:rPr>
        <w:t xml:space="preserve"> the top of the heatmap.</w:t>
      </w:r>
    </w:p>
    <w:p w14:paraId="0FEBD386" w14:textId="77777777" w:rsidR="000A5CC3" w:rsidRDefault="000A5CC3">
      <w:pPr>
        <w:spacing w:after="160" w:line="480" w:lineRule="auto"/>
        <w:jc w:val="both"/>
        <w:rPr>
          <w:rFonts w:ascii="Times New Roman" w:eastAsia="Times New Roman" w:hAnsi="Times New Roman" w:cs="Times New Roman"/>
          <w:b/>
          <w:color w:val="333333"/>
          <w:highlight w:val="white"/>
        </w:rPr>
      </w:pPr>
      <w:r>
        <w:rPr>
          <w:rFonts w:ascii="Times New Roman" w:eastAsia="Times New Roman" w:hAnsi="Times New Roman" w:cs="Times New Roman"/>
          <w:b/>
          <w:noProof/>
          <w:color w:val="333333"/>
        </w:rPr>
        <w:lastRenderedPageBreak/>
        <w:drawing>
          <wp:inline distT="0" distB="0" distL="0" distR="0" wp14:anchorId="1C96DB25" wp14:editId="6086BB1D">
            <wp:extent cx="4394200" cy="4762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4394200" cy="4762500"/>
                    </a:xfrm>
                    <a:prstGeom prst="rect">
                      <a:avLst/>
                    </a:prstGeom>
                  </pic:spPr>
                </pic:pic>
              </a:graphicData>
            </a:graphic>
          </wp:inline>
        </w:drawing>
      </w:r>
    </w:p>
    <w:p w14:paraId="00000006" w14:textId="0438BE5E" w:rsidR="007A276D" w:rsidRDefault="00511121" w:rsidP="000A5CC3">
      <w:pPr>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t>Supplementary Figure 3.</w:t>
      </w:r>
      <w:r>
        <w:rPr>
          <w:rFonts w:ascii="Times New Roman" w:eastAsia="Times New Roman" w:hAnsi="Times New Roman" w:cs="Times New Roman"/>
          <w:color w:val="333333"/>
          <w:highlight w:val="white"/>
        </w:rPr>
        <w:t xml:space="preserve"> Number of CAZYmes famil</w:t>
      </w:r>
      <w:r w:rsidR="00AC41FF">
        <w:rPr>
          <w:rFonts w:ascii="Times New Roman" w:eastAsia="Times New Roman" w:hAnsi="Times New Roman" w:cs="Times New Roman"/>
          <w:color w:val="333333"/>
          <w:highlight w:val="white"/>
        </w:rPr>
        <w:t>ies</w:t>
      </w:r>
      <w:r>
        <w:rPr>
          <w:rFonts w:ascii="Times New Roman" w:eastAsia="Times New Roman" w:hAnsi="Times New Roman" w:cs="Times New Roman"/>
          <w:color w:val="333333"/>
          <w:highlight w:val="white"/>
        </w:rPr>
        <w:t xml:space="preserve"> observed for the different MAG famil</w:t>
      </w:r>
      <w:r w:rsidR="00AC41FF">
        <w:rPr>
          <w:rFonts w:ascii="Times New Roman" w:eastAsia="Times New Roman" w:hAnsi="Times New Roman" w:cs="Times New Roman"/>
          <w:color w:val="333333"/>
          <w:highlight w:val="white"/>
        </w:rPr>
        <w:t>ies</w:t>
      </w:r>
      <w:r>
        <w:rPr>
          <w:rFonts w:ascii="Times New Roman" w:eastAsia="Times New Roman" w:hAnsi="Times New Roman" w:cs="Times New Roman"/>
          <w:color w:val="333333"/>
          <w:highlight w:val="white"/>
        </w:rPr>
        <w:t>.</w:t>
      </w:r>
    </w:p>
    <w:p w14:paraId="57DE67C8" w14:textId="77777777" w:rsidR="000A5CC3" w:rsidRDefault="000A5CC3">
      <w:pPr>
        <w:spacing w:after="160" w:line="480" w:lineRule="auto"/>
        <w:jc w:val="both"/>
        <w:rPr>
          <w:rFonts w:ascii="Times New Roman" w:eastAsia="Times New Roman" w:hAnsi="Times New Roman" w:cs="Times New Roman"/>
          <w:b/>
          <w:color w:val="020202"/>
          <w:highlight w:val="white"/>
        </w:rPr>
      </w:pPr>
    </w:p>
    <w:p w14:paraId="00000007" w14:textId="040F3E87" w:rsidR="007A276D" w:rsidRDefault="00511121">
      <w:pPr>
        <w:spacing w:after="160" w:line="480" w:lineRule="auto"/>
        <w:jc w:val="both"/>
        <w:rPr>
          <w:rFonts w:ascii="Times New Roman" w:eastAsia="Times New Roman" w:hAnsi="Times New Roman" w:cs="Times New Roman"/>
          <w:color w:val="020202"/>
          <w:highlight w:val="white"/>
        </w:rPr>
      </w:pPr>
      <w:r w:rsidRPr="00705AFD">
        <w:rPr>
          <w:rFonts w:ascii="Times New Roman" w:eastAsia="Times New Roman" w:hAnsi="Times New Roman" w:cs="Times New Roman"/>
          <w:b/>
          <w:color w:val="020202"/>
          <w:highlight w:val="white"/>
        </w:rPr>
        <w:t>Supplementary Table 1.</w:t>
      </w:r>
      <w:r>
        <w:rPr>
          <w:rFonts w:ascii="Times New Roman" w:eastAsia="Times New Roman" w:hAnsi="Times New Roman" w:cs="Times New Roman"/>
          <w:color w:val="020202"/>
          <w:highlight w:val="white"/>
        </w:rPr>
        <w:t xml:space="preserve"> Description of metagenomes and assemblies. Number of metagenomic short</w:t>
      </w:r>
      <w:r w:rsidR="008E41AB">
        <w:rPr>
          <w:rFonts w:ascii="Times New Roman" w:eastAsia="Times New Roman" w:hAnsi="Times New Roman" w:cs="Times New Roman"/>
          <w:color w:val="020202"/>
          <w:highlight w:val="white"/>
        </w:rPr>
        <w:t xml:space="preserve"> </w:t>
      </w:r>
      <w:r>
        <w:rPr>
          <w:rFonts w:ascii="Times New Roman" w:eastAsia="Times New Roman" w:hAnsi="Times New Roman" w:cs="Times New Roman"/>
          <w:color w:val="020202"/>
          <w:highlight w:val="white"/>
        </w:rPr>
        <w:t>reads sequenced and mapped to the different assemblies and MAGs.</w:t>
      </w:r>
    </w:p>
    <w:p w14:paraId="00000008" w14:textId="77777777" w:rsidR="007A276D" w:rsidRDefault="00511121">
      <w:pPr>
        <w:spacing w:after="160" w:line="480" w:lineRule="auto"/>
        <w:jc w:val="both"/>
        <w:rPr>
          <w:rFonts w:ascii="Times New Roman" w:eastAsia="Times New Roman" w:hAnsi="Times New Roman" w:cs="Times New Roman"/>
          <w:color w:val="020202"/>
          <w:highlight w:val="white"/>
        </w:rPr>
      </w:pPr>
      <w:r>
        <w:rPr>
          <w:rFonts w:ascii="Times New Roman" w:eastAsia="Times New Roman" w:hAnsi="Times New Roman" w:cs="Times New Roman"/>
          <w:b/>
          <w:color w:val="020202"/>
          <w:highlight w:val="white"/>
        </w:rPr>
        <w:t>Supplementary Table 2.</w:t>
      </w:r>
      <w:r>
        <w:rPr>
          <w:rFonts w:ascii="Times New Roman" w:eastAsia="Times New Roman" w:hAnsi="Times New Roman" w:cs="Times New Roman"/>
          <w:color w:val="020202"/>
          <w:highlight w:val="white"/>
        </w:rPr>
        <w:t xml:space="preserve"> Description of MAGs. Anvi’o statistics of MAGs and taxonomic assignments obtained with GTDB-Tk.</w:t>
      </w:r>
    </w:p>
    <w:p w14:paraId="0000000A" w14:textId="7BE573D7" w:rsidR="007A276D" w:rsidRDefault="00511121">
      <w:pPr>
        <w:spacing w:after="160" w:line="480" w:lineRule="auto"/>
        <w:jc w:val="both"/>
        <w:rPr>
          <w:rFonts w:ascii="Times New Roman" w:eastAsia="Times New Roman" w:hAnsi="Times New Roman" w:cs="Times New Roman"/>
          <w:color w:val="020202"/>
          <w:highlight w:val="white"/>
        </w:rPr>
      </w:pPr>
      <w:r>
        <w:rPr>
          <w:rFonts w:ascii="Times New Roman" w:eastAsia="Times New Roman" w:hAnsi="Times New Roman" w:cs="Times New Roman"/>
          <w:b/>
          <w:color w:val="020202"/>
          <w:highlight w:val="white"/>
        </w:rPr>
        <w:t xml:space="preserve">Supplementary Table </w:t>
      </w:r>
      <w:sdt>
        <w:sdtPr>
          <w:tag w:val="goog_rdk_6"/>
          <w:id w:val="-1142885040"/>
        </w:sdtPr>
        <w:sdtEndPr/>
        <w:sdtContent>
          <w:r>
            <w:rPr>
              <w:rFonts w:ascii="Times New Roman" w:eastAsia="Times New Roman" w:hAnsi="Times New Roman" w:cs="Times New Roman"/>
              <w:b/>
              <w:color w:val="020202"/>
              <w:highlight w:val="white"/>
            </w:rPr>
            <w:t>3</w:t>
          </w:r>
        </w:sdtContent>
      </w:sdt>
      <w:r>
        <w:rPr>
          <w:rFonts w:ascii="Times New Roman" w:eastAsia="Times New Roman" w:hAnsi="Times New Roman" w:cs="Times New Roman"/>
          <w:b/>
          <w:color w:val="020202"/>
          <w:highlight w:val="white"/>
        </w:rPr>
        <w:t>.</w:t>
      </w:r>
      <w:r>
        <w:rPr>
          <w:rFonts w:ascii="Times New Roman" w:eastAsia="Times New Roman" w:hAnsi="Times New Roman" w:cs="Times New Roman"/>
          <w:color w:val="020202"/>
          <w:highlight w:val="white"/>
        </w:rPr>
        <w:t xml:space="preserve"> MAG single-copy core genes for domain bacteria for each of the 20 studied MAGs. </w:t>
      </w:r>
    </w:p>
    <w:p w14:paraId="0000000B" w14:textId="4D3C373D" w:rsidR="007A276D" w:rsidRDefault="00511121">
      <w:pPr>
        <w:spacing w:after="160" w:line="480" w:lineRule="auto"/>
        <w:jc w:val="both"/>
        <w:rPr>
          <w:rFonts w:ascii="Times New Roman" w:eastAsia="Times New Roman" w:hAnsi="Times New Roman" w:cs="Times New Roman"/>
          <w:color w:val="020202"/>
          <w:highlight w:val="white"/>
        </w:rPr>
      </w:pPr>
      <w:r>
        <w:rPr>
          <w:rFonts w:ascii="Times New Roman" w:eastAsia="Times New Roman" w:hAnsi="Times New Roman" w:cs="Times New Roman"/>
          <w:b/>
          <w:color w:val="020202"/>
          <w:highlight w:val="white"/>
        </w:rPr>
        <w:t>Supplementary Table 4.</w:t>
      </w:r>
      <w:r>
        <w:rPr>
          <w:rFonts w:ascii="Times New Roman" w:eastAsia="Times New Roman" w:hAnsi="Times New Roman" w:cs="Times New Roman"/>
          <w:color w:val="020202"/>
          <w:highlight w:val="white"/>
        </w:rPr>
        <w:t xml:space="preserve"> List and copy numbers of the genes featured in Figure 4.</w:t>
      </w:r>
      <w:sdt>
        <w:sdtPr>
          <w:tag w:val="goog_rdk_10"/>
          <w:id w:val="66774836"/>
        </w:sdtPr>
        <w:sdtEndPr/>
        <w:sdtContent/>
      </w:sdt>
    </w:p>
    <w:p w14:paraId="0000000C" w14:textId="2C99F20D" w:rsidR="007A276D" w:rsidRDefault="00511121">
      <w:pPr>
        <w:spacing w:after="160" w:line="480" w:lineRule="auto"/>
        <w:jc w:val="both"/>
        <w:rPr>
          <w:rFonts w:ascii="Times New Roman" w:eastAsia="Times New Roman" w:hAnsi="Times New Roman" w:cs="Times New Roman"/>
          <w:color w:val="020202"/>
          <w:highlight w:val="white"/>
        </w:rPr>
      </w:pPr>
      <w:r w:rsidRPr="00705AFD">
        <w:rPr>
          <w:rFonts w:ascii="Times New Roman" w:eastAsia="Times New Roman" w:hAnsi="Times New Roman" w:cs="Times New Roman"/>
          <w:b/>
          <w:bCs/>
          <w:color w:val="020202"/>
          <w:highlight w:val="white"/>
        </w:rPr>
        <w:lastRenderedPageBreak/>
        <w:t>Supplementary Table 5.</w:t>
      </w:r>
      <w:r>
        <w:rPr>
          <w:rFonts w:ascii="Times New Roman" w:eastAsia="Times New Roman" w:hAnsi="Times New Roman" w:cs="Times New Roman"/>
          <w:color w:val="020202"/>
          <w:highlight w:val="white"/>
        </w:rPr>
        <w:t xml:space="preserve"> CRISPRs with evidence level 4 and their Cas genes found in the MAG contigs.</w:t>
      </w:r>
    </w:p>
    <w:p w14:paraId="0000000E" w14:textId="28AEA2F7" w:rsidR="007A276D" w:rsidRDefault="000A5CC3">
      <w:pPr>
        <w:spacing w:after="160" w:line="480" w:lineRule="auto"/>
        <w:jc w:val="both"/>
        <w:rPr>
          <w:rFonts w:ascii="Times New Roman" w:eastAsia="Times New Roman" w:hAnsi="Times New Roman" w:cs="Times New Roman"/>
          <w:color w:val="333333"/>
          <w:highlight w:val="white"/>
        </w:rPr>
      </w:pPr>
      <w:sdt>
        <w:sdtPr>
          <w:tag w:val="goog_rdk_17"/>
          <w:id w:val="-334144082"/>
        </w:sdtPr>
        <w:sdtEndPr/>
        <w:sdtContent>
          <w:sdt>
            <w:sdtPr>
              <w:tag w:val="goog_rdk_15"/>
              <w:id w:val="1983036077"/>
            </w:sdtPr>
            <w:sdtEndPr/>
            <w:sdtContent>
              <w:sdt>
                <w:sdtPr>
                  <w:tag w:val="goog_rdk_16"/>
                  <w:id w:val="1992515479"/>
                </w:sdtPr>
                <w:sdtEndPr/>
                <w:sdtContent/>
              </w:sdt>
            </w:sdtContent>
          </w:sdt>
        </w:sdtContent>
      </w:sdt>
      <w:r w:rsidR="00511121" w:rsidRPr="00705AFD">
        <w:rPr>
          <w:rFonts w:ascii="Times New Roman" w:eastAsia="Times New Roman" w:hAnsi="Times New Roman" w:cs="Times New Roman"/>
          <w:b/>
          <w:bCs/>
          <w:color w:val="333333"/>
          <w:highlight w:val="white"/>
        </w:rPr>
        <w:t>Supplementary Table 6.</w:t>
      </w:r>
      <w:r w:rsidR="00511121">
        <w:rPr>
          <w:rFonts w:ascii="Times New Roman" w:eastAsia="Times New Roman" w:hAnsi="Times New Roman" w:cs="Times New Roman"/>
          <w:color w:val="333333"/>
          <w:highlight w:val="white"/>
        </w:rPr>
        <w:t xml:space="preserve"> gANI percent identity and percent alignment coverage between </w:t>
      </w:r>
      <w:r w:rsidR="00511121" w:rsidRPr="00511121">
        <w:rPr>
          <w:rFonts w:ascii="Times New Roman" w:eastAsia="Times New Roman" w:hAnsi="Times New Roman" w:cs="Times New Roman"/>
          <w:i/>
          <w:iCs/>
          <w:color w:val="333333"/>
          <w:highlight w:val="white"/>
        </w:rPr>
        <w:t>Deferribacteres</w:t>
      </w:r>
      <w:r w:rsidR="00511121">
        <w:rPr>
          <w:rFonts w:ascii="Times New Roman" w:eastAsia="Times New Roman" w:hAnsi="Times New Roman" w:cs="Times New Roman"/>
          <w:color w:val="333333"/>
          <w:highlight w:val="white"/>
        </w:rPr>
        <w:t xml:space="preserve"> and </w:t>
      </w:r>
      <w:r w:rsidR="00511121">
        <w:rPr>
          <w:rFonts w:ascii="Times New Roman" w:eastAsia="Times New Roman" w:hAnsi="Times New Roman" w:cs="Times New Roman"/>
          <w:i/>
          <w:color w:val="333333"/>
          <w:highlight w:val="white"/>
        </w:rPr>
        <w:t>Hepatoplasmataceae</w:t>
      </w:r>
      <w:r w:rsidR="00511121">
        <w:rPr>
          <w:rFonts w:ascii="Times New Roman" w:eastAsia="Times New Roman" w:hAnsi="Times New Roman" w:cs="Times New Roman"/>
          <w:color w:val="333333"/>
          <w:highlight w:val="white"/>
        </w:rPr>
        <w:t xml:space="preserve"> MAGs and their most closely related GTDB genomes.</w:t>
      </w:r>
    </w:p>
    <w:sectPr w:rsidR="007A276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76D"/>
    <w:rsid w:val="000A5CC3"/>
    <w:rsid w:val="001E4638"/>
    <w:rsid w:val="002D55CC"/>
    <w:rsid w:val="00511121"/>
    <w:rsid w:val="00705AFD"/>
    <w:rsid w:val="00722DC6"/>
    <w:rsid w:val="007A276D"/>
    <w:rsid w:val="008E41AB"/>
    <w:rsid w:val="0090626F"/>
    <w:rsid w:val="009D720B"/>
    <w:rsid w:val="009E16AD"/>
    <w:rsid w:val="00AB7AA5"/>
    <w:rsid w:val="00AC41FF"/>
    <w:rsid w:val="00DC3DDB"/>
    <w:rsid w:val="00E17A50"/>
    <w:rsid w:val="00F715AE"/>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7100C0E5"/>
  <w15:docId w15:val="{AD8F8EF5-4987-D64D-96CE-BB99FC26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F715AE"/>
    <w:rPr>
      <w:sz w:val="16"/>
      <w:szCs w:val="16"/>
    </w:rPr>
  </w:style>
  <w:style w:type="paragraph" w:styleId="CommentText">
    <w:name w:val="annotation text"/>
    <w:basedOn w:val="Normal"/>
    <w:link w:val="CommentTextChar"/>
    <w:uiPriority w:val="99"/>
    <w:semiHidden/>
    <w:unhideWhenUsed/>
    <w:rsid w:val="00F715AE"/>
    <w:rPr>
      <w:sz w:val="20"/>
      <w:szCs w:val="20"/>
    </w:rPr>
  </w:style>
  <w:style w:type="character" w:customStyle="1" w:styleId="CommentTextChar">
    <w:name w:val="Comment Text Char"/>
    <w:basedOn w:val="DefaultParagraphFont"/>
    <w:link w:val="CommentText"/>
    <w:uiPriority w:val="99"/>
    <w:semiHidden/>
    <w:rsid w:val="00F715AE"/>
    <w:rPr>
      <w:sz w:val="20"/>
      <w:szCs w:val="20"/>
    </w:rPr>
  </w:style>
  <w:style w:type="paragraph" w:styleId="CommentSubject">
    <w:name w:val="annotation subject"/>
    <w:basedOn w:val="CommentText"/>
    <w:next w:val="CommentText"/>
    <w:link w:val="CommentSubjectChar"/>
    <w:uiPriority w:val="99"/>
    <w:semiHidden/>
    <w:unhideWhenUsed/>
    <w:rsid w:val="00F715AE"/>
    <w:rPr>
      <w:b/>
      <w:bCs/>
    </w:rPr>
  </w:style>
  <w:style w:type="character" w:customStyle="1" w:styleId="CommentSubjectChar">
    <w:name w:val="Comment Subject Char"/>
    <w:basedOn w:val="CommentTextChar"/>
    <w:link w:val="CommentSubject"/>
    <w:uiPriority w:val="99"/>
    <w:semiHidden/>
    <w:rsid w:val="00F715AE"/>
    <w:rPr>
      <w:b/>
      <w:bCs/>
      <w:sz w:val="20"/>
      <w:szCs w:val="20"/>
    </w:rPr>
  </w:style>
  <w:style w:type="paragraph" w:styleId="Revision">
    <w:name w:val="Revision"/>
    <w:hidden/>
    <w:uiPriority w:val="99"/>
    <w:semiHidden/>
    <w:rsid w:val="001E4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ZzzR9yJ8l2OcykqpJdO42P7tRg==">AMUW2mX0b0hNlVTEBpuKk4/tmFQ8xsG4C9U5xKyizLsYzxMxhlfS9+A4G4Gfo1TyP75eW3+bm8JNX+CMejrNumuwf2TqotMbX+0DYpcsfY+4hAApHcXalfO1pLy86Wo4V8iJveUuVDhIPRCiuf4YmqZ/UjRAKEu1LEHa5ZDPsnqvcT/ZKN7eex7c3NBAJ9wJ9JfMFPHGMl8DDN7Ne8zhxwNTCc4BZUeTplKnDV09Ufd8enp3aEY9jYsLPbM1p09tidVJl2MWtNVT3WC6IiDZ36aJus5NGdKrp+o/CCv8iXOvxCDjwfbQ4aOQJ8URUqe3nIl4kGJGvQtci15DX2XYKJle50Cnc8RTgLC8fD2kiwC+dCMk9rA+7Z5TjAtwci4q+tSJpGB5bwPF+QhReswWg1hLmxktX9Cz1EH6YHSMsi+PbRAFOUDXgViOxZol67u8IX+wPAH00iBIkZbjHhSbVhsCgjlJX5lPOixnWUH7dROZEq2Xj+FiJkCSoQQyuVTgu2swgxKsHmH3kkRI0wogty/FjhuqQyy+pr6gSV605wliTqBgfpKkgOUWK+SsmSIaljjEE/4yCwIAwSUst029wQ2dQlXq+wmbqi9haMrLNakcKjnDLWhruq/k4uxqwYE047wU8R9Q0QCmoRw/UqVXMZiHlP4fKQkWSswrDrkKcHBnzaU/u41EMPAGXVGmgLV9sluPs2gUjs3Heleq1+aDFjN8WZdX7DNd4av/1Hx9sA4nsM718vd7skRuus60zK/Cb7FwD3bDTZb/lmvC7wY5+8BRTermCuuQSbC5SS4+8CEmPVYYiXXuq4WV0IiQ1hLYnZPQnuBj6mvEDeSTvwYjvSiuAktEeKkoWfdK0cW+7+N1/nF22BsP2JWhUpD4T1HG3GBe15UT6i4MfzlXBrhRH9xm3NxZ22F8dsavAKDM7ZfZSU1Yc6nezVTK6uwG+yWiXFegb4miGCTpxVlSGlXFN2GKwklLmn9Nv4hrQOjTVqaE2k07CimWep+D9OLx8P6Y3elbv+n326QuAIdjKXw9uVqIBvRAsWbN6rRY1O3LwZeYmFlqsM+bfUV/WfZ3E0LpT7zT/GHo21h0gNjmkhj1D/nNZjzfLDDiO6zY1igNGJY1zI5rcqOJBHx2z3dnJRMnlGlZBycu6anH8Rktplo7FcZQuvcf5knQza6KrE5KCj42jo8BvkisVT6N+IFlRyw3VTo7WcfvXGsFNeeIwYEN8K7xBezMRVlbkL1/0nX7jQ757YPSF/myQgYr7Wx1QQzcVVbViA88njTiT2S355XbuHEX1a1x8fbcByT9Zz/Rz5gQFS/88/I90DF2DmQwhHJFXPXDbkt09HBtEVw00VqnbCv8hwBaI/Am5mTzhjdIWEPD0nEaiTivAzHDHVIgxA/AnDBQwKqQ2RSwZuJzJTEOVYxCZBb771BJNprIwzkP35EUYRAvLPSeDrG2MYnRt7xAdXO9oI8ekYYUARvjX2pBHkVcD84EtUpjtYsEt1rHzxvczTUbjyLuGK5CKnGSLf4Atj/yv1NK49ySgA5aP6kU16taUuY3l45ki5lC3Cf6wNVAYgbLb9DkHbyC8gTk7xl9Tbp6dLm6mt9qNyS2YgS3/22IqGQRv5e5TDVuhD9+TVtnKOr58uHozne5/xkZxRneTdmNaZaw5MAzG+dN9gwX51LBXQsYvi6in3I6Y7S+0wkFW3iua39QXftcxI4SxCy+2q/3g9o3b9vk0FbS+t+9CNAEpgjevnm4jI8uwWE6ZVct2YO+ZfIAo8rjByYFusACY/WI9C2XEuKJ+2a2PJ7aZx1pwgkil6zuWqcxhL3NQjZOlU5/r4nNpj494zFz7gJYiMh5f4CXib78ON9eZhXwFxuRgXsTWBhB4bCwrzQs2cKNjtCHzhvGhXZ4mQNoF2mc8ADh2bLLIjwKEE56P6Glsr82Ob0XxYbElWSVkz52x5WznWkXS1aQ+MWWpDugAy49/tMTbBDoxuJ8JY8v3zcDrEeh+bsOj/+QhPHmFF5r0cpF8/YhkPkA/Nx7e9h43mOfKWuP/GGisRDQXaeE9fmXbTNCUAUt84sPdGiXZk7yzhn7HG5qJUKcoh4dRXa2ow+JCooxq+lSUWExxnJUwKgjAaa2amDneDS4u+r/OzH6ijlf96bBTSHlzR6L4h9Q1/X1hWPaSqiRYDCpNY44iqUL+J38i0/E+vzvtdtZnkCDfoousLSkN4abn0JGMihHyzFLqtxwDSx3Q6dptaH4Nh8ga/tizkdD6foJ+IHtWPmrJax8LRmfueloxQaUJPWpbpQyhWM8bpWeX2WTtgo72Qi3xxJm1Qe3h7Js1AWgu710AB4xURbk5ckXjM1vutm8OZx75DfANtbcWFoInUcJZxkL9x4N2Oxv6/oqvWHtqljv8slsdbX2jB5qmHEXq2G/wAPcY10FqQku4hggmk6Csc0WA7ECs/IKJEjBxoF839S419WvlCxEXV/VQvGYzA6lefvja6Hf4nnDgNzUD3YOsYEF+Lminkub54FM8j9QX7Nl9RxOP23BZZWJic+EZEJtKCTKAABvSjrJAGsaqNM5wQd7X+125x+ZvI4q+DWnTuC69beKyigVv9ZaksYF7l0ffY6/WU7iSgRwUH6Ihj6hqyNSxss5OmIBupusH4EOS0Z9IGNWdqjDMOJuMxproFLfxApsFUDQQUo5WrBP2DD5TbpLLRYKuVScJIrgBvarEWZlMGOpftu5gKdoONCDEhxFnbBZ28stQB4akPcEdXXe/tGpZecf8CQ9hDR8czsOPq3Ejgi05DJPbZNQnwXZGAR2hS0ZOGAvverH1M9xDPsA/QKfaKS+UDR1Lh26oP/YU7o/ZfODRCh9s8Lyg3ioOz8RgZ3di1+jZ8vabo9vWAW38Y7CYI7W/5FBUyQ8yB4WufNeBUL7CKaHX3mDGD3c7XYJSIeY4zD1YGCeCoNU/84Dezp1L7NW7KJ1iM8QG8CkjSvDNDekZAciob2U/ArASspoGL5LCPgIVdZl8zAEA+EuWQk/jS+YHeBdjwnn2JTN2tb92pu1fzG0XC0R0Oh57BKhiuAI9izHiVFRh1ekzNobRaiNc6b+TI4qvxkYdWkLNmWkhnSN531Fu8csKDlC5nVmaXchyvQPXwAjk+tV6asjUi/yJTMKN7qUB1xcTySArMys//HkVG/3iPyZ/ir00R+0hu6WAJ/a0J4L/RU2Voz3meK5cOQpic3Lc7JA3PXJoOsZQ/cqxDsu2rYLsqgO7nK9+lnTgSp03eS8t25QmJqqGRtYZE5v31oYQULfHBR1qnIvrObv4VDOOoALFnyDiEznvelTicI9DmfzE9En1E7oDrlmc6c08b9cBpCHk9ww+tugqriOtQqbXmrdKgdFDUBoV+JZj74JezENaqdwL4/AgB4aoE76fsNc40vOTk2nX2Ry+yVLCK+5GoQPtpfHOYC3ZFXGh4wq6+/MnHO7qoOepuERWdihIaOamZREv5tKHkjtuL685NgSDwBBb+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Reveillaud</dc:creator>
  <cp:lastModifiedBy>Julie Reveillaud</cp:lastModifiedBy>
  <cp:revision>3</cp:revision>
  <dcterms:created xsi:type="dcterms:W3CDTF">2022-04-22T06:56:00Z</dcterms:created>
  <dcterms:modified xsi:type="dcterms:W3CDTF">2022-04-22T11:55:00Z</dcterms:modified>
</cp:coreProperties>
</file>