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798" w:rsidRPr="00822A44" w:rsidRDefault="00177381" w:rsidP="000C2798">
      <w:pPr>
        <w:spacing w:line="240" w:lineRule="auto"/>
        <w:rPr>
          <w:rFonts w:asciiTheme="minorHAnsi" w:hAnsiTheme="minorHAnsi" w:cstheme="minorHAnsi"/>
          <w:sz w:val="20"/>
          <w:lang w:val="en-US"/>
        </w:rPr>
      </w:pPr>
      <w:bookmarkStart w:id="0" w:name="_GoBack"/>
      <w:r w:rsidRPr="00822A44">
        <w:rPr>
          <w:rFonts w:asciiTheme="minorHAnsi" w:hAnsiTheme="minorHAnsi" w:cstheme="minorHAnsi"/>
          <w:sz w:val="20"/>
          <w:lang w:val="en-US"/>
        </w:rPr>
        <w:t>Additional Table 1</w:t>
      </w:r>
      <w:r w:rsidR="000C2798" w:rsidRPr="00822A44">
        <w:rPr>
          <w:rFonts w:asciiTheme="minorHAnsi" w:hAnsiTheme="minorHAnsi" w:cstheme="minorHAnsi"/>
          <w:sz w:val="20"/>
          <w:lang w:val="en-US"/>
        </w:rPr>
        <w:t>. Basic description of the HILM-CH instrument</w:t>
      </w:r>
    </w:p>
    <w:tbl>
      <w:tblPr>
        <w:tblStyle w:val="TableauGrille1Clair-Accentuation3"/>
        <w:tblW w:w="6476" w:type="dxa"/>
        <w:jc w:val="center"/>
        <w:tblLook w:val="04A0" w:firstRow="1" w:lastRow="0" w:firstColumn="1" w:lastColumn="0" w:noHBand="0" w:noVBand="1"/>
      </w:tblPr>
      <w:tblGrid>
        <w:gridCol w:w="720"/>
        <w:gridCol w:w="795"/>
        <w:gridCol w:w="795"/>
        <w:gridCol w:w="118"/>
        <w:gridCol w:w="961"/>
        <w:gridCol w:w="12"/>
        <w:gridCol w:w="939"/>
        <w:gridCol w:w="9"/>
        <w:gridCol w:w="12"/>
        <w:gridCol w:w="983"/>
        <w:gridCol w:w="12"/>
        <w:gridCol w:w="1120"/>
      </w:tblGrid>
      <w:tr w:rsidR="000C2798" w:rsidRPr="00D52F2E" w:rsidTr="000A4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bookmarkEnd w:id="0"/>
          <w:p w:rsidR="000C2798" w:rsidRPr="00D52F2E" w:rsidRDefault="000C2798" w:rsidP="00E40166">
            <w:pPr>
              <w:pStyle w:val="Sansinterligne"/>
              <w:jc w:val="center"/>
              <w:rPr>
                <w:lang w:val="en-US"/>
              </w:rPr>
            </w:pPr>
            <w:r w:rsidRPr="00D52F2E">
              <w:rPr>
                <w:lang w:val="en-US"/>
              </w:rPr>
              <w:t>Items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Mean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SD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Skewness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Kurtosis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Floor (%)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Ceiling (%)</w:t>
            </w:r>
          </w:p>
        </w:tc>
      </w:tr>
      <w:tr w:rsidR="000C2798" w:rsidRPr="00D52F2E" w:rsidTr="00B10FD9">
        <w:trPr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12"/>
          </w:tcPr>
          <w:p w:rsidR="000C2798" w:rsidRPr="00D52F2E" w:rsidRDefault="000C2798" w:rsidP="00E40166">
            <w:pPr>
              <w:pStyle w:val="Sansinterligne"/>
              <w:rPr>
                <w:lang w:val="en-US"/>
              </w:rPr>
            </w:pPr>
            <w:r w:rsidRPr="00D52F2E">
              <w:rPr>
                <w:lang w:val="en-US"/>
              </w:rPr>
              <w:t xml:space="preserve">Scale 1: confidence </w:t>
            </w:r>
            <w:r w:rsidR="00AF75D9">
              <w:rPr>
                <w:lang w:val="en-US"/>
              </w:rPr>
              <w:t xml:space="preserve">in </w:t>
            </w:r>
            <w:r w:rsidRPr="00D52F2E">
              <w:rPr>
                <w:lang w:val="en-US"/>
              </w:rPr>
              <w:t>choosing</w:t>
            </w:r>
          </w:p>
        </w:tc>
      </w:tr>
      <w:tr w:rsidR="000C2798" w:rsidRPr="00D52F2E" w:rsidTr="000A49C6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2.7966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0.7237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-0.2860</w:t>
            </w:r>
          </w:p>
        </w:tc>
        <w:tc>
          <w:tcPr>
            <w:tcW w:w="951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2.957</w:t>
            </w:r>
          </w:p>
        </w:tc>
        <w:tc>
          <w:tcPr>
            <w:tcW w:w="1004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3.88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14.07</w:t>
            </w:r>
          </w:p>
        </w:tc>
      </w:tr>
      <w:tr w:rsidR="000C2798" w:rsidRPr="00D52F2E" w:rsidTr="000A49C6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2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2.8776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0.7499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-0.4108</w:t>
            </w:r>
          </w:p>
        </w:tc>
        <w:tc>
          <w:tcPr>
            <w:tcW w:w="951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3.0364</w:t>
            </w:r>
          </w:p>
        </w:tc>
        <w:tc>
          <w:tcPr>
            <w:tcW w:w="1004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4.41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18.06</w:t>
            </w:r>
          </w:p>
        </w:tc>
      </w:tr>
      <w:tr w:rsidR="000C2798" w:rsidRPr="00D52F2E" w:rsidTr="000A49C6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3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2.8988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0.7296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-0.3498</w:t>
            </w:r>
          </w:p>
        </w:tc>
        <w:tc>
          <w:tcPr>
            <w:tcW w:w="951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2.9976</w:t>
            </w:r>
          </w:p>
        </w:tc>
        <w:tc>
          <w:tcPr>
            <w:tcW w:w="1004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3.28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18.84</w:t>
            </w:r>
          </w:p>
        </w:tc>
      </w:tr>
      <w:tr w:rsidR="000C2798" w:rsidRPr="00D52F2E" w:rsidTr="000A49C6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4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3.0389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0.7232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-0.4344</w:t>
            </w:r>
          </w:p>
        </w:tc>
        <w:tc>
          <w:tcPr>
            <w:tcW w:w="951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3.0329</w:t>
            </w:r>
          </w:p>
        </w:tc>
        <w:tc>
          <w:tcPr>
            <w:tcW w:w="1004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2.37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25.35</w:t>
            </w:r>
          </w:p>
        </w:tc>
      </w:tr>
      <w:tr w:rsidR="000C2798" w:rsidRPr="00D52F2E" w:rsidTr="000A49C6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5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2.5704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0.9610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-0.1290</w:t>
            </w:r>
          </w:p>
        </w:tc>
        <w:tc>
          <w:tcPr>
            <w:tcW w:w="951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2.0676</w:t>
            </w:r>
          </w:p>
        </w:tc>
        <w:tc>
          <w:tcPr>
            <w:tcW w:w="1004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15.77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18.01</w:t>
            </w:r>
          </w:p>
        </w:tc>
      </w:tr>
      <w:tr w:rsidR="000C2798" w:rsidRPr="00D52F2E" w:rsidTr="000A49C6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6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2.9961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0.7072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-0.3544</w:t>
            </w:r>
          </w:p>
        </w:tc>
        <w:tc>
          <w:tcPr>
            <w:tcW w:w="951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3.0097</w:t>
            </w:r>
          </w:p>
        </w:tc>
        <w:tc>
          <w:tcPr>
            <w:tcW w:w="1004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2.05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22.45</w:t>
            </w:r>
          </w:p>
        </w:tc>
      </w:tr>
      <w:tr w:rsidR="000C2798" w:rsidRPr="00D52F2E" w:rsidTr="00B10FD9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12"/>
          </w:tcPr>
          <w:p w:rsidR="000C2798" w:rsidRPr="00D52F2E" w:rsidRDefault="000C2798" w:rsidP="00E40166">
            <w:pPr>
              <w:pStyle w:val="Sansinterligne"/>
              <w:rPr>
                <w:lang w:val="en-US"/>
              </w:rPr>
            </w:pPr>
            <w:r w:rsidRPr="00D52F2E">
              <w:rPr>
                <w:lang w:val="en-US"/>
              </w:rPr>
              <w:t>Scale 2: comparing health plans</w:t>
            </w:r>
          </w:p>
        </w:tc>
      </w:tr>
      <w:tr w:rsidR="000C2798" w:rsidRPr="00D52F2E" w:rsidTr="000A49C6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7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2.9278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0.7521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-0.3045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2.7385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3.03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21.67</w:t>
            </w:r>
          </w:p>
        </w:tc>
      </w:tr>
      <w:tr w:rsidR="000C2798" w:rsidRPr="00D52F2E" w:rsidTr="000A49C6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8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2.6481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0.8259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-0.0699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2.4303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7.37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15.28</w:t>
            </w:r>
          </w:p>
        </w:tc>
      </w:tr>
      <w:tr w:rsidR="000C2798" w:rsidRPr="00D52F2E" w:rsidTr="000A49C6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9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2.7706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0.8148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-0.1825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2.4736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5.63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18.77</w:t>
            </w:r>
          </w:p>
        </w:tc>
      </w:tr>
      <w:tr w:rsidR="000C2798" w:rsidRPr="00D52F2E" w:rsidTr="000A49C6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10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2.8037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0.8112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-0.2035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2.4767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5.14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19.88</w:t>
            </w:r>
          </w:p>
        </w:tc>
      </w:tr>
      <w:tr w:rsidR="000C2798" w:rsidRPr="00D52F2E" w:rsidTr="000A49C6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11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2.9468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0.7747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-0.3327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2.6506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3.35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23.59</w:t>
            </w:r>
          </w:p>
        </w:tc>
      </w:tr>
      <w:tr w:rsidR="000C2798" w:rsidRPr="00D52F2E" w:rsidTr="000A49C6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12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2.7991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0.7662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-0.2030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2.6548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4.17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17.00</w:t>
            </w:r>
          </w:p>
        </w:tc>
      </w:tr>
      <w:tr w:rsidR="000C2798" w:rsidRPr="00D52F2E" w:rsidTr="000A49C6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13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2.8384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0.7746</w:t>
            </w:r>
          </w:p>
        </w:tc>
        <w:tc>
          <w:tcPr>
            <w:tcW w:w="1079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-0.2410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2.6389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4.16</w:t>
            </w:r>
          </w:p>
        </w:tc>
        <w:tc>
          <w:tcPr>
            <w:tcW w:w="1132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18.92</w:t>
            </w:r>
          </w:p>
        </w:tc>
      </w:tr>
      <w:tr w:rsidR="000C2798" w:rsidRPr="00D52F2E" w:rsidTr="00B10FD9">
        <w:trPr>
          <w:trHeight w:val="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12"/>
          </w:tcPr>
          <w:p w:rsidR="000C2798" w:rsidRPr="00D52F2E" w:rsidRDefault="000C2798" w:rsidP="00E40166">
            <w:pPr>
              <w:pStyle w:val="Sansinterligne"/>
              <w:rPr>
                <w:lang w:val="en-US"/>
              </w:rPr>
            </w:pPr>
            <w:r w:rsidRPr="00D52F2E">
              <w:rPr>
                <w:lang w:val="en-US"/>
              </w:rPr>
              <w:t>Scale 3: confidence using</w:t>
            </w:r>
          </w:p>
        </w:tc>
      </w:tr>
      <w:tr w:rsidR="000C2798" w:rsidRPr="00D52F2E" w:rsidTr="000A49C6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14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2.4393</w:t>
            </w:r>
          </w:p>
        </w:tc>
        <w:tc>
          <w:tcPr>
            <w:tcW w:w="91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0.8863</w:t>
            </w:r>
          </w:p>
        </w:tc>
        <w:tc>
          <w:tcPr>
            <w:tcW w:w="97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.01022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2.2855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14.89</w:t>
            </w:r>
          </w:p>
        </w:tc>
        <w:tc>
          <w:tcPr>
            <w:tcW w:w="1120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11.99</w:t>
            </w:r>
          </w:p>
        </w:tc>
      </w:tr>
      <w:tr w:rsidR="000C2798" w:rsidRPr="00D52F2E" w:rsidTr="000A49C6">
        <w:trPr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15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2.8004</w:t>
            </w:r>
          </w:p>
        </w:tc>
        <w:tc>
          <w:tcPr>
            <w:tcW w:w="91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0.7756</w:t>
            </w:r>
          </w:p>
        </w:tc>
        <w:tc>
          <w:tcPr>
            <w:tcW w:w="97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-0.2056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2.6172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4.37</w:t>
            </w:r>
          </w:p>
        </w:tc>
        <w:tc>
          <w:tcPr>
            <w:tcW w:w="1120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17.53</w:t>
            </w:r>
          </w:p>
        </w:tc>
      </w:tr>
      <w:tr w:rsidR="000C2798" w:rsidRPr="00D52F2E" w:rsidTr="000A49C6">
        <w:trPr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16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2.8201</w:t>
            </w:r>
          </w:p>
        </w:tc>
        <w:tc>
          <w:tcPr>
            <w:tcW w:w="91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0.7698</w:t>
            </w:r>
          </w:p>
        </w:tc>
        <w:tc>
          <w:tcPr>
            <w:tcW w:w="97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-0.2284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2.6590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4.13</w:t>
            </w:r>
          </w:p>
        </w:tc>
        <w:tc>
          <w:tcPr>
            <w:tcW w:w="1120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17.81</w:t>
            </w:r>
          </w:p>
        </w:tc>
      </w:tr>
      <w:tr w:rsidR="000C2798" w:rsidRPr="00D52F2E" w:rsidTr="000A49C6">
        <w:trPr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17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2.9302</w:t>
            </w:r>
          </w:p>
        </w:tc>
        <w:tc>
          <w:tcPr>
            <w:tcW w:w="91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0.7959</w:t>
            </w:r>
          </w:p>
        </w:tc>
        <w:tc>
          <w:tcPr>
            <w:tcW w:w="97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-0.3361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2.684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3.63</w:t>
            </w:r>
          </w:p>
        </w:tc>
        <w:tc>
          <w:tcPr>
            <w:tcW w:w="1120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24.37</w:t>
            </w:r>
          </w:p>
        </w:tc>
      </w:tr>
      <w:tr w:rsidR="000C2798" w:rsidRPr="00D52F2E" w:rsidTr="000A49C6">
        <w:trPr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12"/>
          </w:tcPr>
          <w:p w:rsidR="000C2798" w:rsidRPr="00D52F2E" w:rsidRDefault="000C2798" w:rsidP="00E40166">
            <w:pPr>
              <w:pStyle w:val="Sansinterligne"/>
              <w:rPr>
                <w:lang w:val="en-US"/>
              </w:rPr>
            </w:pPr>
            <w:r w:rsidRPr="00D52F2E">
              <w:rPr>
                <w:lang w:val="en-US"/>
              </w:rPr>
              <w:t>Scale 4: being proactive</w:t>
            </w:r>
          </w:p>
        </w:tc>
      </w:tr>
      <w:tr w:rsidR="000C2798" w:rsidRPr="00D52F2E" w:rsidTr="000A49C6">
        <w:trPr>
          <w:trHeight w:val="1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18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2.9380</w:t>
            </w:r>
          </w:p>
        </w:tc>
        <w:tc>
          <w:tcPr>
            <w:tcW w:w="91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0.7938</w:t>
            </w:r>
          </w:p>
        </w:tc>
        <w:tc>
          <w:tcPr>
            <w:tcW w:w="97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-0.3361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2.5813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3.63</w:t>
            </w:r>
          </w:p>
        </w:tc>
        <w:tc>
          <w:tcPr>
            <w:tcW w:w="1120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24.37</w:t>
            </w:r>
          </w:p>
        </w:tc>
      </w:tr>
      <w:tr w:rsidR="000C2798" w:rsidRPr="00D52F2E" w:rsidTr="000A49C6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19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3.1720</w:t>
            </w:r>
          </w:p>
        </w:tc>
        <w:tc>
          <w:tcPr>
            <w:tcW w:w="91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0.7760</w:t>
            </w:r>
          </w:p>
        </w:tc>
        <w:tc>
          <w:tcPr>
            <w:tcW w:w="97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-0.5808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2.6712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2.14</w:t>
            </w:r>
          </w:p>
        </w:tc>
        <w:tc>
          <w:tcPr>
            <w:tcW w:w="1120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37.29</w:t>
            </w:r>
          </w:p>
        </w:tc>
      </w:tr>
      <w:tr w:rsidR="000C2798" w:rsidRPr="00D52F2E" w:rsidTr="000A49C6">
        <w:trPr>
          <w:trHeight w:val="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20</w:t>
            </w:r>
          </w:p>
        </w:tc>
        <w:tc>
          <w:tcPr>
            <w:tcW w:w="795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2.8261</w:t>
            </w:r>
          </w:p>
        </w:tc>
        <w:tc>
          <w:tcPr>
            <w:tcW w:w="91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0.9189</w:t>
            </w:r>
          </w:p>
        </w:tc>
        <w:tc>
          <w:tcPr>
            <w:tcW w:w="973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-0.2879</w:t>
            </w:r>
          </w:p>
        </w:tc>
        <w:tc>
          <w:tcPr>
            <w:tcW w:w="960" w:type="dxa"/>
            <w:gridSpan w:val="3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2.1821</w:t>
            </w:r>
          </w:p>
        </w:tc>
        <w:tc>
          <w:tcPr>
            <w:tcW w:w="995" w:type="dxa"/>
            <w:gridSpan w:val="2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8.43</w:t>
            </w:r>
          </w:p>
        </w:tc>
        <w:tc>
          <w:tcPr>
            <w:tcW w:w="1120" w:type="dxa"/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26.18</w:t>
            </w:r>
          </w:p>
        </w:tc>
      </w:tr>
      <w:tr w:rsidR="000C2798" w:rsidRPr="00D52F2E" w:rsidTr="000A49C6">
        <w:trPr>
          <w:trHeight w:val="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bottom w:val="single" w:sz="4" w:space="0" w:color="E7E6E6" w:themeColor="background2"/>
            </w:tcBorders>
          </w:tcPr>
          <w:p w:rsidR="000C2798" w:rsidRPr="00980492" w:rsidRDefault="000C2798" w:rsidP="00E40166">
            <w:pPr>
              <w:pStyle w:val="Sansinterligne"/>
              <w:jc w:val="righ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21</w:t>
            </w:r>
          </w:p>
        </w:tc>
        <w:tc>
          <w:tcPr>
            <w:tcW w:w="795" w:type="dxa"/>
            <w:tcBorders>
              <w:bottom w:val="single" w:sz="4" w:space="0" w:color="E7E6E6" w:themeColor="background2"/>
            </w:tcBorders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3.0883</w:t>
            </w:r>
          </w:p>
        </w:tc>
        <w:tc>
          <w:tcPr>
            <w:tcW w:w="913" w:type="dxa"/>
            <w:gridSpan w:val="2"/>
            <w:tcBorders>
              <w:bottom w:val="single" w:sz="4" w:space="0" w:color="E7E6E6" w:themeColor="background2"/>
            </w:tcBorders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0.8109</w:t>
            </w:r>
          </w:p>
        </w:tc>
        <w:tc>
          <w:tcPr>
            <w:tcW w:w="973" w:type="dxa"/>
            <w:gridSpan w:val="2"/>
            <w:tcBorders>
              <w:bottom w:val="single" w:sz="4" w:space="0" w:color="E7E6E6" w:themeColor="background2"/>
            </w:tcBorders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-0.5690</w:t>
            </w:r>
          </w:p>
        </w:tc>
        <w:tc>
          <w:tcPr>
            <w:tcW w:w="960" w:type="dxa"/>
            <w:gridSpan w:val="3"/>
            <w:tcBorders>
              <w:bottom w:val="single" w:sz="4" w:space="0" w:color="E7E6E6" w:themeColor="background2"/>
            </w:tcBorders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2.7188</w:t>
            </w:r>
          </w:p>
        </w:tc>
        <w:tc>
          <w:tcPr>
            <w:tcW w:w="995" w:type="dxa"/>
            <w:gridSpan w:val="2"/>
            <w:tcBorders>
              <w:bottom w:val="single" w:sz="4" w:space="0" w:color="E7E6E6" w:themeColor="background2"/>
            </w:tcBorders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3.53</w:t>
            </w:r>
          </w:p>
        </w:tc>
        <w:tc>
          <w:tcPr>
            <w:tcW w:w="1120" w:type="dxa"/>
            <w:tcBorders>
              <w:bottom w:val="single" w:sz="4" w:space="0" w:color="E7E6E6" w:themeColor="background2"/>
            </w:tcBorders>
            <w:vAlign w:val="center"/>
          </w:tcPr>
          <w:p w:rsidR="000C2798" w:rsidRPr="00D52F2E" w:rsidRDefault="000C2798" w:rsidP="00E40166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2F2E">
              <w:rPr>
                <w:lang w:val="en-US"/>
              </w:rPr>
              <w:t>34.51</w:t>
            </w:r>
          </w:p>
        </w:tc>
      </w:tr>
      <w:tr w:rsidR="000C2798" w:rsidRPr="00822A44" w:rsidTr="000A49C6">
        <w:trPr>
          <w:trHeight w:val="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6" w:type="dxa"/>
            <w:gridSpan w:val="12"/>
            <w:tcBorders>
              <w:top w:val="single" w:sz="4" w:space="0" w:color="E7E6E6" w:themeColor="background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C2798" w:rsidRPr="00980492" w:rsidRDefault="000C2798" w:rsidP="00E40166">
            <w:pPr>
              <w:pStyle w:val="Sansinterligne"/>
              <w:jc w:val="left"/>
              <w:rPr>
                <w:b w:val="0"/>
                <w:lang w:val="en-US"/>
              </w:rPr>
            </w:pPr>
            <w:r w:rsidRPr="00980492">
              <w:rPr>
                <w:b w:val="0"/>
                <w:lang w:val="en-US"/>
              </w:rPr>
              <w:t>Source: Swiss Health Insurance Literacy Survey 2021.</w:t>
            </w:r>
          </w:p>
        </w:tc>
      </w:tr>
    </w:tbl>
    <w:p w:rsidR="003D5DAD" w:rsidRDefault="000A49C6">
      <w:pPr>
        <w:rPr>
          <w:rFonts w:asciiTheme="minorHAnsi" w:hAnsiTheme="minorHAnsi" w:cstheme="minorHAnsi"/>
          <w:lang w:val="en-US"/>
        </w:rPr>
      </w:pPr>
      <w:r w:rsidRPr="000A49C6">
        <w:rPr>
          <w:rFonts w:asciiTheme="minorHAnsi" w:hAnsiTheme="minorHAnsi" w:cstheme="minorHAnsi"/>
          <w:lang w:val="en-US"/>
        </w:rPr>
        <w:t>Additional Table 1 shows the results of the descriptive analysis for each of the scores of the HILM-CH items according to the EFA model. The mean and standard deviation of the item score indicated that respondents tend to have positive self-perceived confidence and behavior. Floor and ceiling effects are present in the sample if more than 15% of the respondents answered the lowest or highest score (</w:t>
      </w:r>
      <w:r w:rsidR="00B10FD9">
        <w:rPr>
          <w:rFonts w:asciiTheme="minorHAnsi" w:hAnsiTheme="minorHAnsi" w:cstheme="minorHAnsi"/>
          <w:lang w:val="en-US"/>
        </w:rPr>
        <w:t>1</w:t>
      </w:r>
      <w:r w:rsidRPr="000A49C6">
        <w:rPr>
          <w:rFonts w:asciiTheme="minorHAnsi" w:hAnsiTheme="minorHAnsi" w:cstheme="minorHAnsi"/>
          <w:lang w:val="en-US"/>
        </w:rPr>
        <w:t>). In this analysis, floor effects could be detected for none of the items. However, except for items 1 and 14, all items had ceiling effects. Skewness and Kurtosis ranged from -0.57 to 0.09 and 2.08 to 3.03. Three items had kurtosis coefficients larger than 3.0, depicting data distributed with shape peaks and long and flat tails (</w:t>
      </w:r>
      <w:r w:rsidR="00B10FD9">
        <w:rPr>
          <w:rFonts w:asciiTheme="minorHAnsi" w:hAnsiTheme="minorHAnsi" w:cstheme="minorHAnsi"/>
          <w:lang w:val="en-US"/>
        </w:rPr>
        <w:t>2</w:t>
      </w:r>
      <w:r w:rsidRPr="000A49C6">
        <w:rPr>
          <w:rFonts w:asciiTheme="minorHAnsi" w:hAnsiTheme="minorHAnsi" w:cstheme="minorHAnsi"/>
          <w:lang w:val="en-US"/>
        </w:rPr>
        <w:t>).</w:t>
      </w:r>
    </w:p>
    <w:p w:rsidR="00B10FD9" w:rsidRPr="00B10FD9" w:rsidRDefault="00E01162" w:rsidP="00B10FD9">
      <w:pPr>
        <w:pStyle w:val="Bibliographi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1.</w:t>
      </w:r>
      <w:r w:rsidR="00B10FD9" w:rsidRPr="00B10FD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B10FD9" w:rsidRPr="00B10FD9">
        <w:rPr>
          <w:rFonts w:asciiTheme="minorHAnsi" w:hAnsiTheme="minorHAnsi" w:cstheme="minorHAnsi"/>
          <w:lang w:val="en-US"/>
        </w:rPr>
        <w:t>Terwee</w:t>
      </w:r>
      <w:proofErr w:type="spellEnd"/>
      <w:r w:rsidR="00B10FD9" w:rsidRPr="00B10FD9">
        <w:rPr>
          <w:rFonts w:asciiTheme="minorHAnsi" w:hAnsiTheme="minorHAnsi" w:cstheme="minorHAnsi"/>
          <w:lang w:val="en-US"/>
        </w:rPr>
        <w:t xml:space="preserve"> CB, Bot SDM, de Boer MR, van der </w:t>
      </w:r>
      <w:proofErr w:type="spellStart"/>
      <w:r w:rsidR="00B10FD9" w:rsidRPr="00B10FD9">
        <w:rPr>
          <w:rFonts w:asciiTheme="minorHAnsi" w:hAnsiTheme="minorHAnsi" w:cstheme="minorHAnsi"/>
          <w:lang w:val="en-US"/>
        </w:rPr>
        <w:t>Windt</w:t>
      </w:r>
      <w:proofErr w:type="spellEnd"/>
      <w:r w:rsidR="00B10FD9" w:rsidRPr="00B10FD9">
        <w:rPr>
          <w:rFonts w:asciiTheme="minorHAnsi" w:hAnsiTheme="minorHAnsi" w:cstheme="minorHAnsi"/>
          <w:lang w:val="en-US"/>
        </w:rPr>
        <w:t xml:space="preserve"> DAWM, </w:t>
      </w:r>
      <w:proofErr w:type="spellStart"/>
      <w:r w:rsidR="00B10FD9" w:rsidRPr="00B10FD9">
        <w:rPr>
          <w:rFonts w:asciiTheme="minorHAnsi" w:hAnsiTheme="minorHAnsi" w:cstheme="minorHAnsi"/>
          <w:lang w:val="en-US"/>
        </w:rPr>
        <w:t>Knol</w:t>
      </w:r>
      <w:proofErr w:type="spellEnd"/>
      <w:r w:rsidR="00B10FD9" w:rsidRPr="00B10FD9">
        <w:rPr>
          <w:rFonts w:asciiTheme="minorHAnsi" w:hAnsiTheme="minorHAnsi" w:cstheme="minorHAnsi"/>
          <w:lang w:val="en-US"/>
        </w:rPr>
        <w:t xml:space="preserve"> DL, Dekker J, et al. Quality criteria were proposed for measurement properties of health status questionnaires. J Clin Epidemiol. 2007 Jan;60(1):34–42. </w:t>
      </w:r>
    </w:p>
    <w:p w:rsidR="00B10FD9" w:rsidRPr="00B10FD9" w:rsidRDefault="00E01162" w:rsidP="00B10FD9">
      <w:pPr>
        <w:pStyle w:val="Bibliographi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2. </w:t>
      </w:r>
      <w:r w:rsidR="00B10FD9" w:rsidRPr="00B10FD9">
        <w:rPr>
          <w:rFonts w:asciiTheme="minorHAnsi" w:hAnsiTheme="minorHAnsi" w:cstheme="minorHAnsi"/>
          <w:lang w:val="en-US"/>
        </w:rPr>
        <w:t xml:space="preserve">Westfall PH. Kurtosis as </w:t>
      </w:r>
      <w:proofErr w:type="spellStart"/>
      <w:r w:rsidR="00B10FD9" w:rsidRPr="00B10FD9">
        <w:rPr>
          <w:rFonts w:asciiTheme="minorHAnsi" w:hAnsiTheme="minorHAnsi" w:cstheme="minorHAnsi"/>
          <w:lang w:val="en-US"/>
        </w:rPr>
        <w:t>Peakedness</w:t>
      </w:r>
      <w:proofErr w:type="spellEnd"/>
      <w:r w:rsidR="00B10FD9" w:rsidRPr="00B10FD9">
        <w:rPr>
          <w:rFonts w:asciiTheme="minorHAnsi" w:hAnsiTheme="minorHAnsi" w:cstheme="minorHAnsi"/>
          <w:lang w:val="en-US"/>
        </w:rPr>
        <w:t>, 1905 – 2014. R.I.P. Am Stat. 2014;68(3):191–5.</w:t>
      </w:r>
    </w:p>
    <w:sectPr w:rsidR="00B10FD9" w:rsidRPr="00B10F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98"/>
    <w:rsid w:val="000A49C6"/>
    <w:rsid w:val="000C2798"/>
    <w:rsid w:val="00177381"/>
    <w:rsid w:val="00561B3B"/>
    <w:rsid w:val="0072343D"/>
    <w:rsid w:val="007C67F3"/>
    <w:rsid w:val="007E49FD"/>
    <w:rsid w:val="00822A44"/>
    <w:rsid w:val="009769A3"/>
    <w:rsid w:val="009A05D8"/>
    <w:rsid w:val="00AF75D9"/>
    <w:rsid w:val="00B10FD9"/>
    <w:rsid w:val="00C93D7B"/>
    <w:rsid w:val="00D64E7E"/>
    <w:rsid w:val="00D833C1"/>
    <w:rsid w:val="00E01162"/>
    <w:rsid w:val="00E52DB6"/>
    <w:rsid w:val="00F8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9072C-4008-4646-9FC6-3974D828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798"/>
    <w:pPr>
      <w:spacing w:before="160" w:line="480" w:lineRule="auto"/>
      <w:jc w:val="both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C2798"/>
    <w:pPr>
      <w:spacing w:after="0" w:line="240" w:lineRule="auto"/>
      <w:jc w:val="both"/>
    </w:pPr>
    <w:rPr>
      <w:rFonts w:ascii="Arial" w:hAnsi="Arial"/>
      <w:sz w:val="16"/>
    </w:rPr>
  </w:style>
  <w:style w:type="table" w:styleId="TableauGrille1Clair-Accentuation3">
    <w:name w:val="Grid Table 1 Light Accent 3"/>
    <w:basedOn w:val="TableauNormal"/>
    <w:uiPriority w:val="46"/>
    <w:rsid w:val="000C279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bliographie">
    <w:name w:val="Bibliography"/>
    <w:basedOn w:val="Normal"/>
    <w:next w:val="Normal"/>
    <w:uiPriority w:val="37"/>
    <w:unhideWhenUsed/>
    <w:rsid w:val="00B1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Universität Luzern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Bardy Tess</dc:creator>
  <cp:keywords/>
  <dc:description/>
  <cp:lastModifiedBy>Bardy Tess</cp:lastModifiedBy>
  <cp:revision>14</cp:revision>
  <dcterms:created xsi:type="dcterms:W3CDTF">2022-01-03T14:13:00Z</dcterms:created>
  <dcterms:modified xsi:type="dcterms:W3CDTF">2022-06-02T10:00:00Z</dcterms:modified>
</cp:coreProperties>
</file>