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Table </w:t>
      </w:r>
      <w:r>
        <w:rPr>
          <w:rFonts w:hint="eastAsia" w:ascii="Times New Roman" w:hAnsi="Times New Roman" w:cs="Times New Roman"/>
          <w:b/>
          <w:bCs/>
          <w:sz w:val="28"/>
          <w:szCs w:val="28"/>
          <w:lang w:val="en-US" w:eastAsia="zh-CN"/>
        </w:rPr>
        <w:t>S</w:t>
      </w:r>
      <w:r>
        <w:rPr>
          <w:rFonts w:hint="default" w:ascii="Times New Roman" w:hAnsi="Times New Roman" w:cs="Times New Roman"/>
          <w:b/>
          <w:bCs/>
          <w:sz w:val="28"/>
          <w:szCs w:val="28"/>
          <w:lang w:val="en-US" w:eastAsia="zh-CN"/>
        </w:rPr>
        <w:t>1</w:t>
      </w:r>
      <w:r>
        <w:rPr>
          <w:rFonts w:hint="eastAsia" w:ascii="Times New Roman" w:hAnsi="Times New Roman" w:cs="Times New Roman"/>
          <w:b/>
          <w:bCs/>
          <w:sz w:val="28"/>
          <w:szCs w:val="28"/>
          <w:lang w:val="en-US" w:eastAsia="zh-CN"/>
        </w:rPr>
        <w:t xml:space="preserve">. Sequence information of </w:t>
      </w:r>
      <w:r>
        <w:rPr>
          <w:rFonts w:hint="eastAsia" w:ascii="Times New Roman" w:hAnsi="Times New Roman" w:cs="Times New Roman"/>
          <w:b/>
          <w:bCs/>
          <w:i/>
          <w:iCs/>
          <w:sz w:val="28"/>
          <w:szCs w:val="28"/>
          <w:lang w:val="en-US" w:eastAsia="zh-CN"/>
        </w:rPr>
        <w:t>GsMYB7</w:t>
      </w:r>
    </w:p>
    <w:p>
      <w:pPr>
        <w:spacing w:after="240"/>
        <w:rPr>
          <w:rFonts w:hint="eastAsia" w:ascii="Times New Roman" w:hAnsi="Times New Roman" w:eastAsia="宋体" w:cs="Times New Roman"/>
          <w:b/>
          <w:bCs/>
          <w:color w:val="000000"/>
          <w:sz w:val="24"/>
          <w:szCs w:val="24"/>
          <w:lang w:val="en-US" w:eastAsia="zh-CN"/>
        </w:rPr>
      </w:pPr>
      <w:bookmarkStart w:id="0" w:name="OLE_LINK9"/>
      <w:bookmarkStart w:id="38" w:name="_GoBack"/>
      <w:r>
        <w:rPr>
          <w:rFonts w:hint="default" w:ascii="Times New Roman" w:hAnsi="Times New Roman" w:cs="Times New Roman"/>
          <w:b/>
          <w:bCs/>
          <w:color w:val="000000"/>
          <w:sz w:val="24"/>
          <w:szCs w:val="24"/>
        </w:rPr>
        <w:t>Transcript sequence</w:t>
      </w:r>
      <w:r>
        <w:rPr>
          <w:rFonts w:hint="eastAsia" w:ascii="Times New Roman" w:hAnsi="Times New Roman" w:cs="Times New Roman"/>
          <w:b/>
          <w:bCs/>
          <w:color w:val="000000"/>
          <w:sz w:val="24"/>
          <w:szCs w:val="24"/>
          <w:lang w:val="en-US" w:eastAsia="zh-CN"/>
        </w:rPr>
        <w:t xml:space="preserve"> </w:t>
      </w:r>
      <w:r>
        <w:rPr>
          <w:rFonts w:ascii="Times New Roman" w:hAnsi="Times New Roman" w:cs="Times New Roman"/>
          <w:b/>
          <w:bCs/>
          <w:color w:val="000000"/>
          <w:sz w:val="24"/>
          <w:szCs w:val="24"/>
        </w:rPr>
        <w:t xml:space="preserve">information of </w:t>
      </w:r>
      <w:r>
        <w:rPr>
          <w:rFonts w:ascii="Times New Roman" w:hAnsi="Times New Roman" w:cs="Times New Roman"/>
          <w:b/>
          <w:bCs/>
          <w:i/>
          <w:iCs/>
          <w:color w:val="000000"/>
          <w:sz w:val="24"/>
          <w:szCs w:val="24"/>
        </w:rPr>
        <w:t>G</w:t>
      </w:r>
      <w:r>
        <w:rPr>
          <w:rFonts w:hint="eastAsia" w:ascii="Times New Roman" w:hAnsi="Times New Roman" w:cs="Times New Roman"/>
          <w:b/>
          <w:bCs/>
          <w:i/>
          <w:iCs/>
          <w:color w:val="000000"/>
          <w:sz w:val="24"/>
          <w:szCs w:val="24"/>
          <w:lang w:val="en-US" w:eastAsia="zh-CN"/>
        </w:rPr>
        <w:t>sMYB7</w:t>
      </w:r>
    </w:p>
    <w:p>
      <w:pPr>
        <w:autoSpaceDE w:val="0"/>
        <w:autoSpaceDN w:val="0"/>
        <w:adjustRightInd w:val="0"/>
        <w:spacing w:before="100" w:beforeAutospacing="1"/>
        <w:jc w:val="left"/>
        <w:rPr>
          <w:rFonts w:ascii="Times New Roman" w:hAnsi="Times New Roman" w:cs="Times New Roman"/>
          <w:kern w:val="0"/>
          <w:sz w:val="24"/>
          <w:szCs w:val="24"/>
        </w:rPr>
      </w:pPr>
      <w:r>
        <w:rPr>
          <w:rFonts w:ascii="Times New Roman" w:hAnsi="Times New Roman" w:cs="Times New Roman"/>
          <w:kern w:val="0"/>
          <w:sz w:val="24"/>
          <w:szCs w:val="24"/>
        </w:rPr>
        <w:t>ATAGCCCCAGTTGCAGAACCTTGTCTCTGCATCATCATAATTCTCTCAATTGAGGAGCCCAAAGGGATCAAATCTCTTCAACCCAGAAGAAGAAAAACAAAAGAGAAATTATAGAATTAAGTTGCTATAGCTAATAGCTATAACTGGCTTAGATATACCATTTTTATTTTATTTTTATTTTGGGGTGTACAAA</w:t>
      </w:r>
      <w:r>
        <w:rPr>
          <w:rFonts w:hint="default" w:ascii="Times New Roman" w:hAnsi="Times New Roman" w:cs="Times New Roman"/>
          <w:kern w:val="0"/>
          <w:sz w:val="24"/>
          <w:szCs w:val="24"/>
        </w:rPr>
        <w:t>ATGGGAAGACCACCTTGCTGTGATAAAATTGGGATTAAGAAAGGGCCTTGGACTCCTGAGGAAGACATCATCTTGGTCTCTTACATTCAAGAACATGGACCCGGAAATTGGAGATCGGTTCCCAGTAACACAGGTTTGATGAGATGCAGCAAAAGCTGCAGACTCAGATGGACCAACTATCTCCGACCTGGTATCAAACGAGGCAATTTCACCGATCATGAAGAGAAAATGATAATCCACCTCCAAGCTCTTTTGGGTAACAGATGGGCTGCTATAGCTTCCTACCTTCCACAAAGGACAGACAATGACATAAAGAACTATTGGAACACCCATTTGAAGAAGAAGCTGAAGAAGATGCAAATTGGGGGTGGTAGTGATGATGATAATAATGATGACAAATCAAACTCTTCTAACAATTCACAAATAAAGGGTCAATGGGAAAGAAGACTTCAAACAGATATCCACATGGCCAAACAAGCCTTATGTGAGGCCCTATCTCTTGACAAACCAACCCAAATTTTCCCAGAGACCAAATTACCCTCCACTTCTTCACACCACCACCCCACAACAACAACAACACCAAACCAAACAACATCCTTGTATGCATCAAGCACAGAAAACATAGCCAGATTGTTGGAGAATTGGATGAAGAAATCACCAAATATGACGACCACGACGACAACAACAATGGAGACAAAACCCTTCAGCAATAATAACATGGTAATAACCACAGGGTCTAGTTCTAGTGAGGGAACACAAAGCACAATCACATGCACACAGGAGTATGCCCTTGACTCCTTGTGGAGCTTCAACTCTGAACGCTCTTCTCAATCTGAAGAAAACACCAACTTGGGTGAGAGCAAGCCACAGTACCAAGAGCCTCAAGAGACACAAGTCCCTCTCATGTTGCTGGAGAATTGGCTCTTTGATGATGCTGCACCTCAATGCAATGAAGATCTAATGAACATGTCACTCGAGGAAAGTACAGAAGGGTTGTTCTAATTGACGATCCTAACGATGTAGCGGACTTGAGGTCGGAACAAAATTCATGTAACCAAATCAACCACAAAGGGTCTTTGAAAAAAAAAAATAAGAGTATGCGTGCGTGTGTGAATTAAACTTTATTAGAGTTCTTGCAAAATTGAACTACTTTTCTAGGCCCCCCAGTAGGAAGGTAACTCCCTCAATACAAGCAAAGTGTACATTACAAGTACATCTATAATTAACTACGATTATGTTAGCTTATCTTATCTACCATAATAACTGGAGTTGAATATATGTTGTGTTTTTACTTT</w:t>
      </w:r>
      <w:bookmarkEnd w:id="38"/>
    </w:p>
    <w:bookmarkEnd w:id="0"/>
    <w:p>
      <w:pPr>
        <w:spacing w:after="240"/>
        <w:rPr>
          <w:rFonts w:ascii="Times New Roman" w:hAnsi="Times New Roman" w:cs="Times New Roman"/>
          <w:b/>
          <w:bCs/>
          <w:color w:val="000000"/>
          <w:sz w:val="24"/>
          <w:szCs w:val="24"/>
        </w:rPr>
      </w:pPr>
    </w:p>
    <w:p>
      <w:pPr>
        <w:spacing w:after="240"/>
        <w:rPr>
          <w:rFonts w:hint="default" w:ascii="Times New Roman" w:hAnsi="Times New Roman" w:cs="Times New Roman" w:eastAsiaTheme="minorEastAsia"/>
          <w:sz w:val="24"/>
          <w:szCs w:val="24"/>
          <w:lang w:val="en-US" w:eastAsia="zh-CN"/>
        </w:rPr>
      </w:pPr>
      <w:r>
        <w:rPr>
          <w:rFonts w:ascii="Times New Roman" w:hAnsi="Times New Roman" w:cs="Times New Roman"/>
          <w:b/>
          <w:bCs/>
          <w:color w:val="000000"/>
          <w:sz w:val="24"/>
          <w:szCs w:val="24"/>
        </w:rPr>
        <w:t xml:space="preserve">CDS sequencing </w:t>
      </w:r>
      <w:bookmarkStart w:id="1" w:name="OLE_LINK8"/>
      <w:r>
        <w:rPr>
          <w:rFonts w:ascii="Times New Roman" w:hAnsi="Times New Roman" w:cs="Times New Roman"/>
          <w:b/>
          <w:bCs/>
          <w:color w:val="000000"/>
          <w:sz w:val="24"/>
          <w:szCs w:val="24"/>
        </w:rPr>
        <w:t xml:space="preserve">information of </w:t>
      </w:r>
      <w:r>
        <w:rPr>
          <w:rFonts w:ascii="Times New Roman" w:hAnsi="Times New Roman" w:cs="Times New Roman"/>
          <w:b/>
          <w:bCs/>
          <w:i/>
          <w:iCs/>
          <w:color w:val="000000"/>
          <w:sz w:val="24"/>
          <w:szCs w:val="24"/>
        </w:rPr>
        <w:t>G</w:t>
      </w:r>
      <w:r>
        <w:rPr>
          <w:rFonts w:hint="eastAsia" w:ascii="Times New Roman" w:hAnsi="Times New Roman" w:cs="Times New Roman"/>
          <w:b/>
          <w:bCs/>
          <w:i/>
          <w:iCs/>
          <w:color w:val="000000"/>
          <w:sz w:val="24"/>
          <w:szCs w:val="24"/>
          <w:lang w:val="en-US" w:eastAsia="zh-CN"/>
        </w:rPr>
        <w:t>sMYB7</w:t>
      </w:r>
      <w:bookmarkEnd w:id="1"/>
    </w:p>
    <w:p>
      <w:pPr>
        <w:autoSpaceDE w:val="0"/>
        <w:autoSpaceDN w:val="0"/>
        <w:adjustRightInd w:val="0"/>
        <w:spacing w:before="100" w:beforeAutospacing="1"/>
        <w:jc w:val="left"/>
        <w:rPr>
          <w:rFonts w:ascii="Times New Roman" w:hAnsi="Times New Roman" w:cs="Times New Roman"/>
          <w:kern w:val="0"/>
          <w:sz w:val="24"/>
          <w:szCs w:val="24"/>
        </w:rPr>
      </w:pPr>
      <w:r>
        <w:rPr>
          <w:rFonts w:ascii="Times New Roman" w:hAnsi="Times New Roman" w:cs="Times New Roman"/>
          <w:kern w:val="0"/>
          <w:sz w:val="24"/>
          <w:szCs w:val="24"/>
        </w:rPr>
        <w:t>ATGGGAAGACCACCTTGCTGTGATAAAATTGGGATTAAGAAAGGGCCTTGGACTCCTGAGGAAGACATCATCTTGGTCTCTTACATTCAAGAACATGGACCCGGAAATTGGAGATCGGTTCCCAGTAACACAGGTTTGATGAGATGCAGCAAAAGCTGCAGACTCAGATGGACCAACTATCTCCGACCTGGTATCAAACGAGGCAATTTCACCGATCATGAAGAGAAAATGATAATCCACCTCCAAGCTCTTTTGGGTAACAGATGGGCTGCTATAGCTTCCTACCTTCCACAAAGGACAGACAATGACATAAAGAACTATTGGAACACCCATTTGAAGAAGAAGCTGAAGAAGATGCAAATTGGGGGTGGTAGTGATGATGATAATAATGATGACAAATCAAACTCTTCTAACAATTCACAAATAAAGGGTCAATGGGAAAGAAGACTTCAAACAGATATCCACATGGCCAAACAAGCCTTATGTGAGGCCCTATCTCTTGACAAACCAACCCAAATTTTCCCAGAGACCAAATTACCCTCCACTTCTTCACACCACCACCCCACAACAACAACAACACCAAACCAAACAACATCCTTGTATGCATCAAGCACAGAAAACATAGCCAGATTGTTGGAGAATTGGATGAAGAAATCACCAAATATGACGACCACGACGACAACAACAATGGAGACAAAACCCTTCAGCAATAATAACATGGTAATAACCACAGGGTCTAGTTCTAGTGAGGGAACACAAAGCACAATCACATGCACACAGGAGTATGCCCTTGACTCCTTGTGGAGCTTCAACTCTGAACGCTCTTCTCAATCTGAAGAAAACACCAACTTGGGTGAGAGCAAGCCACAGTACCAAGAGCCTCAAGAGACACAAGTCCCTCTCATGTTGCTGGAGAATTGGCTCTTTGATGATGCTGCACCTCAATGCAATGAAGATCTAATGAACATGTCACTCGAGGAAAGTACAGAAGGGTTGTTCTAA</w:t>
      </w:r>
    </w:p>
    <w:p/>
    <w:p>
      <w:pPr>
        <w:spacing w:after="240"/>
      </w:pPr>
      <w:r>
        <w:rPr>
          <w:rFonts w:ascii="Times New Roman" w:hAnsi="Times New Roman" w:cs="Times New Roman"/>
          <w:b/>
          <w:bCs/>
          <w:color w:val="000000"/>
          <w:sz w:val="24"/>
          <w:szCs w:val="24"/>
        </w:rPr>
        <w:t>Amino acid sequence of G</w:t>
      </w:r>
      <w:r>
        <w:rPr>
          <w:rFonts w:hint="eastAsia" w:ascii="Times New Roman" w:hAnsi="Times New Roman" w:cs="Times New Roman"/>
          <w:b/>
          <w:bCs/>
          <w:color w:val="000000"/>
          <w:sz w:val="24"/>
          <w:szCs w:val="24"/>
          <w:lang w:val="en-US" w:eastAsia="zh-CN"/>
        </w:rPr>
        <w:t>sMYB7</w:t>
      </w:r>
      <w:r>
        <w:rPr>
          <w:rFonts w:ascii="Times New Roman" w:hAnsi="Times New Roman" w:cs="Times New Roman"/>
          <w:b/>
          <w:bCs/>
          <w:color w:val="000000"/>
          <w:sz w:val="24"/>
          <w:szCs w:val="24"/>
        </w:rPr>
        <w:t xml:space="preserve"> protein</w:t>
      </w:r>
    </w:p>
    <w:p>
      <w:pPr>
        <w:autoSpaceDE w:val="0"/>
        <w:autoSpaceDN w:val="0"/>
        <w:adjustRightInd w:val="0"/>
        <w:spacing w:before="100" w:beforeAutospacing="1"/>
        <w:jc w:val="left"/>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MGRPPCCDKIGIKKGPWTPEEDIILVSYIQEHGPGNWRSVPSNTGLMRCSKSCRLRWTNYLRPGIKRGNFTDHEEKMIIHLQALLGNRWAAIASYLPQRTDNDIKNYWNTHLKKKLKKMQIGGGSDDDNNDDKSNSSNNSQIKGQWERRLQTDIHMAKQALCEALSLDKPTQIFPETKLPSTSSHHHPTTTTTPNQTTSLYASSTENIARLLENWMKKSPNMTTTTTTTMETKPFSNNNMVITTGSSSSEGTQSTITCTQEYALDSLWSFNSERSSQSEENTNLGESKPQYQEPQETQVPLMLLENWLFDDAAPQCNEDLMNMSLEESTEGLF*</w:t>
      </w:r>
    </w:p>
    <w:p>
      <w:pPr>
        <w:spacing w:line="480" w:lineRule="auto"/>
        <w:jc w:val="center"/>
        <w:rPr>
          <w:rFonts w:hint="default" w:ascii="Times New Roman" w:hAnsi="Times New Roman" w:cs="Times New Roman"/>
          <w:b/>
          <w:bCs/>
          <w:sz w:val="24"/>
          <w:szCs w:val="24"/>
          <w:lang w:val="en-US" w:eastAsia="zh-CN"/>
        </w:rPr>
        <w:sectPr>
          <w:pgSz w:w="11906" w:h="16838"/>
          <w:pgMar w:top="1440" w:right="1800" w:bottom="1440" w:left="1800" w:header="851" w:footer="992" w:gutter="0"/>
          <w:cols w:space="425" w:num="1"/>
          <w:docGrid w:type="lines" w:linePitch="312" w:charSpace="0"/>
        </w:sectPr>
      </w:pPr>
    </w:p>
    <w:p>
      <w:pPr>
        <w:spacing w:line="480" w:lineRule="auto"/>
        <w:jc w:val="center"/>
        <w:rPr>
          <w:rFonts w:hint="default" w:ascii="Times New Roman" w:hAnsi="Times New Roman" w:cs="Times New Roman"/>
          <w:b w:val="0"/>
          <w:bCs w:val="0"/>
          <w:i/>
          <w:iCs/>
          <w:color w:val="auto"/>
          <w:kern w:val="0"/>
          <w:sz w:val="28"/>
          <w:szCs w:val="28"/>
          <w:lang w:val="en-US" w:eastAsia="zh-CN"/>
        </w:rPr>
      </w:pPr>
      <w:r>
        <w:rPr>
          <w:rFonts w:hint="default" w:ascii="Times New Roman" w:hAnsi="Times New Roman" w:cs="Times New Roman"/>
          <w:b/>
          <w:bCs/>
          <w:sz w:val="28"/>
          <w:szCs w:val="28"/>
          <w:lang w:val="en-US" w:eastAsia="zh-CN"/>
        </w:rPr>
        <w:t xml:space="preserve">Table </w:t>
      </w:r>
      <w:r>
        <w:rPr>
          <w:rFonts w:hint="eastAsia" w:ascii="Times New Roman" w:hAnsi="Times New Roman" w:cs="Times New Roman"/>
          <w:b/>
          <w:bCs/>
          <w:sz w:val="28"/>
          <w:szCs w:val="28"/>
          <w:lang w:val="en-US" w:eastAsia="zh-CN"/>
        </w:rPr>
        <w:t xml:space="preserve">S2. </w:t>
      </w:r>
      <w:r>
        <w:rPr>
          <w:rFonts w:hint="default" w:ascii="Times New Roman" w:hAnsi="Times New Roman" w:cs="Times New Roman"/>
          <w:b/>
          <w:bCs/>
          <w:sz w:val="28"/>
          <w:szCs w:val="28"/>
          <w:lang w:val="en-US" w:eastAsia="zh-CN"/>
        </w:rPr>
        <w:t xml:space="preserve">A cis-acting element in the upstream nucleotide sequence of the initiation codon of </w:t>
      </w:r>
      <w:r>
        <w:rPr>
          <w:rFonts w:hint="default" w:ascii="Times New Roman" w:hAnsi="Times New Roman" w:cs="Times New Roman"/>
          <w:b/>
          <w:bCs/>
          <w:i/>
          <w:iCs/>
          <w:sz w:val="28"/>
          <w:szCs w:val="28"/>
          <w:lang w:val="en-US" w:eastAsia="zh-CN"/>
        </w:rPr>
        <w:t>GsMYB7</w:t>
      </w:r>
    </w:p>
    <w:tbl>
      <w:tblPr>
        <w:tblStyle w:val="6"/>
        <w:tblW w:w="13161" w:type="dxa"/>
        <w:jc w:val="center"/>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78"/>
        <w:gridCol w:w="2754"/>
        <w:gridCol w:w="7629"/>
      </w:tblGrid>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2778" w:type="dxa"/>
            <w:tcBorders>
              <w:top w:val="single" w:color="000000" w:sz="8" w:space="0"/>
              <w:left w:val="nil"/>
              <w:bottom w:val="single" w:color="000000" w:sz="8" w:space="0"/>
              <w:right w:val="nil"/>
            </w:tcBorders>
            <w:noWrap w:val="0"/>
            <w:vAlign w:val="top"/>
          </w:tcPr>
          <w:p>
            <w:pPr>
              <w:spacing w:before="0" w:after="0" w:line="276" w:lineRule="auto"/>
              <w:rPr>
                <w:rFonts w:hint="default" w:ascii="Times New Roman" w:hAnsi="Times New Roman" w:eastAsia="宋体" w:cs="Times New Roman"/>
                <w:b/>
                <w:bCs/>
                <w:color w:val="auto"/>
                <w:kern w:val="0"/>
                <w:sz w:val="24"/>
                <w:szCs w:val="22"/>
                <w:lang w:val="en-US" w:eastAsia="zh-CN"/>
              </w:rPr>
            </w:pPr>
            <w:r>
              <w:rPr>
                <w:rFonts w:hint="default" w:ascii="Times New Roman" w:hAnsi="Times New Roman" w:cs="Times New Roman"/>
                <w:b/>
                <w:bCs/>
                <w:i/>
                <w:iCs/>
                <w:color w:val="auto"/>
                <w:kern w:val="0"/>
                <w:sz w:val="24"/>
                <w:szCs w:val="22"/>
                <w:lang w:val="en-US" w:eastAsia="zh-CN"/>
              </w:rPr>
              <w:t>Cis</w:t>
            </w:r>
            <w:r>
              <w:rPr>
                <w:rFonts w:hint="default" w:ascii="Times New Roman" w:hAnsi="Times New Roman" w:cs="Times New Roman"/>
                <w:b/>
                <w:bCs/>
                <w:color w:val="auto"/>
                <w:kern w:val="0"/>
                <w:sz w:val="24"/>
                <w:szCs w:val="22"/>
                <w:lang w:val="en-US" w:eastAsia="zh-CN"/>
              </w:rPr>
              <w:t>-element</w:t>
            </w:r>
          </w:p>
        </w:tc>
        <w:tc>
          <w:tcPr>
            <w:tcW w:w="2754" w:type="dxa"/>
            <w:tcBorders>
              <w:top w:val="single" w:color="000000" w:sz="8" w:space="0"/>
              <w:bottom w:val="single" w:color="000000" w:sz="8" w:space="0"/>
              <w:right w:val="nil"/>
            </w:tcBorders>
            <w:noWrap w:val="0"/>
            <w:vAlign w:val="top"/>
          </w:tcPr>
          <w:p>
            <w:pPr>
              <w:spacing w:before="0" w:after="0" w:line="276" w:lineRule="auto"/>
              <w:jc w:val="left"/>
              <w:rPr>
                <w:rFonts w:hint="default" w:ascii="Times New Roman" w:hAnsi="Times New Roman" w:eastAsia="宋体" w:cs="Times New Roman"/>
                <w:b/>
                <w:bCs/>
                <w:color w:val="auto"/>
                <w:kern w:val="0"/>
                <w:sz w:val="24"/>
                <w:szCs w:val="22"/>
                <w:lang w:val="en-US" w:eastAsia="zh-CN"/>
              </w:rPr>
            </w:pPr>
            <w:r>
              <w:rPr>
                <w:rFonts w:hint="default" w:ascii="Times New Roman" w:hAnsi="Times New Roman" w:cs="Times New Roman"/>
                <w:b/>
                <w:bCs/>
                <w:color w:val="auto"/>
                <w:kern w:val="0"/>
                <w:sz w:val="24"/>
                <w:szCs w:val="22"/>
                <w:lang w:val="en-US" w:eastAsia="zh-CN"/>
              </w:rPr>
              <w:t>Sequence(5’-3’)</w:t>
            </w:r>
          </w:p>
        </w:tc>
        <w:tc>
          <w:tcPr>
            <w:tcW w:w="7629" w:type="dxa"/>
            <w:tcBorders>
              <w:top w:val="single" w:color="000000" w:sz="8" w:space="0"/>
              <w:bottom w:val="single" w:color="000000" w:sz="8" w:space="0"/>
              <w:right w:val="nil"/>
            </w:tcBorders>
            <w:noWrap w:val="0"/>
            <w:vAlign w:val="top"/>
          </w:tcPr>
          <w:p>
            <w:pPr>
              <w:spacing w:before="0" w:after="0" w:line="276" w:lineRule="auto"/>
              <w:jc w:val="left"/>
              <w:rPr>
                <w:rFonts w:hint="default" w:ascii="Times New Roman" w:hAnsi="Times New Roman" w:eastAsia="宋体" w:cs="Times New Roman"/>
                <w:b/>
                <w:bCs/>
                <w:color w:val="auto"/>
                <w:kern w:val="0"/>
                <w:sz w:val="24"/>
                <w:szCs w:val="22"/>
                <w:lang w:val="en-US" w:eastAsia="zh-CN"/>
              </w:rPr>
            </w:pPr>
            <w:r>
              <w:rPr>
                <w:rFonts w:hint="default" w:ascii="Times New Roman" w:hAnsi="Times New Roman" w:cs="Times New Roman"/>
                <w:b/>
                <w:bCs/>
                <w:color w:val="auto"/>
                <w:kern w:val="0"/>
                <w:sz w:val="24"/>
                <w:szCs w:val="22"/>
                <w:lang w:val="en-US" w:eastAsia="zh-CN"/>
              </w:rPr>
              <w:t>Function</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color w:val="auto"/>
                <w:kern w:val="0"/>
                <w:sz w:val="24"/>
                <w:szCs w:val="22"/>
                <w:lang w:val="en-US" w:eastAsia="zh-CN"/>
              </w:rPr>
            </w:pPr>
            <w:r>
              <w:rPr>
                <w:rFonts w:hint="default" w:ascii="Times New Roman" w:hAnsi="Times New Roman" w:cs="Times New Roman"/>
                <w:b w:val="0"/>
                <w:bCs w:val="0"/>
                <w:color w:val="auto"/>
                <w:kern w:val="0"/>
                <w:sz w:val="24"/>
                <w:szCs w:val="22"/>
                <w:lang w:val="en-US" w:eastAsia="zh-CN"/>
              </w:rPr>
              <w:t>5UTR Py-rich stretch</w:t>
            </w:r>
          </w:p>
        </w:tc>
        <w:tc>
          <w:tcPr>
            <w:tcW w:w="2754" w:type="dxa"/>
            <w:noWrap w:val="0"/>
            <w:vAlign w:val="top"/>
          </w:tcPr>
          <w:p>
            <w:pPr>
              <w:spacing w:after="120" w:line="276" w:lineRule="auto"/>
              <w:jc w:val="left"/>
              <w:rPr>
                <w:rFonts w:hint="default" w:ascii="Times New Roman" w:hAnsi="Times New Roman"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TTTCTTCTCT</w:t>
            </w:r>
          </w:p>
        </w:tc>
        <w:tc>
          <w:tcPr>
            <w:tcW w:w="7629"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 xml:space="preserve">cis-acting element conferring high transcription levels </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color w:val="auto"/>
                <w:kern w:val="0"/>
                <w:sz w:val="24"/>
                <w:szCs w:val="22"/>
                <w:lang w:val="en-US" w:eastAsia="zh-CN"/>
              </w:rPr>
            </w:pPr>
            <w:r>
              <w:rPr>
                <w:rFonts w:hint="default" w:ascii="Times New Roman" w:hAnsi="Times New Roman" w:cs="Times New Roman"/>
                <w:b w:val="0"/>
                <w:bCs w:val="0"/>
                <w:color w:val="auto"/>
                <w:kern w:val="0"/>
                <w:sz w:val="24"/>
                <w:szCs w:val="22"/>
                <w:lang w:val="en-US" w:eastAsia="zh-CN"/>
              </w:rPr>
              <w:t>AE-box</w:t>
            </w:r>
          </w:p>
        </w:tc>
        <w:tc>
          <w:tcPr>
            <w:tcW w:w="2754" w:type="dxa"/>
            <w:noWrap w:val="0"/>
            <w:vAlign w:val="top"/>
          </w:tcPr>
          <w:p>
            <w:pPr>
              <w:spacing w:after="120" w:line="276" w:lineRule="auto"/>
              <w:jc w:val="left"/>
              <w:rPr>
                <w:rFonts w:hint="default" w:ascii="Times New Roman" w:hAnsi="Times New Roman"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AGAAACTT</w:t>
            </w:r>
          </w:p>
        </w:tc>
        <w:tc>
          <w:tcPr>
            <w:tcW w:w="7629"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Part of a module for light response</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color w:val="auto"/>
                <w:kern w:val="0"/>
                <w:sz w:val="24"/>
                <w:szCs w:val="22"/>
                <w:lang w:val="en-US" w:eastAsia="zh-CN"/>
              </w:rPr>
            </w:pPr>
            <w:r>
              <w:rPr>
                <w:rFonts w:hint="default" w:ascii="Times New Roman" w:hAnsi="Times New Roman" w:cs="Times New Roman"/>
                <w:b w:val="0"/>
                <w:bCs w:val="0"/>
                <w:color w:val="auto"/>
                <w:kern w:val="0"/>
                <w:sz w:val="24"/>
                <w:szCs w:val="22"/>
                <w:lang w:val="en-US" w:eastAsia="zh-CN"/>
              </w:rPr>
              <w:t>AT1-motif</w:t>
            </w:r>
          </w:p>
        </w:tc>
        <w:tc>
          <w:tcPr>
            <w:tcW w:w="2754" w:type="dxa"/>
            <w:noWrap w:val="0"/>
            <w:vAlign w:val="top"/>
          </w:tcPr>
          <w:p>
            <w:pPr>
              <w:spacing w:after="120" w:line="276" w:lineRule="auto"/>
              <w:jc w:val="left"/>
              <w:rPr>
                <w:rFonts w:hint="default" w:ascii="Times New Roman" w:hAnsi="Times New Roman"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AATTATTTTTTATT</w:t>
            </w:r>
          </w:p>
        </w:tc>
        <w:tc>
          <w:tcPr>
            <w:tcW w:w="7629" w:type="dxa"/>
            <w:noWrap w:val="0"/>
            <w:vAlign w:val="top"/>
          </w:tcPr>
          <w:p>
            <w:pPr>
              <w:spacing w:after="120" w:line="276" w:lineRule="auto"/>
              <w:jc w:val="left"/>
              <w:rPr>
                <w:rFonts w:hint="default" w:ascii="Times New Roman" w:hAnsi="Times New Roman" w:cs="Times New Roman"/>
                <w:color w:val="auto"/>
                <w:kern w:val="0"/>
                <w:sz w:val="24"/>
                <w:szCs w:val="22"/>
                <w:lang w:val="en-US"/>
              </w:rPr>
            </w:pPr>
            <w:r>
              <w:rPr>
                <w:rFonts w:hint="default" w:ascii="Times New Roman" w:hAnsi="Times New Roman" w:cs="Times New Roman"/>
                <w:color w:val="auto"/>
                <w:kern w:val="0"/>
                <w:sz w:val="24"/>
                <w:szCs w:val="22"/>
                <w:lang w:val="en-US" w:eastAsia="zh-CN"/>
              </w:rPr>
              <w:t>Part of a light responsive module</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2778" w:type="dxa"/>
            <w:noWrap w:val="0"/>
            <w:vAlign w:val="top"/>
          </w:tcPr>
          <w:p>
            <w:pPr>
              <w:spacing w:after="120" w:line="276" w:lineRule="auto"/>
              <w:jc w:val="left"/>
              <w:rPr>
                <w:rFonts w:hint="default" w:ascii="Times New Roman" w:hAnsi="Times New Roman" w:cs="Times New Roman"/>
                <w:b w:val="0"/>
                <w:bCs w:val="0"/>
                <w:i/>
                <w:iCs/>
                <w:color w:val="auto"/>
                <w:kern w:val="0"/>
                <w:sz w:val="24"/>
                <w:szCs w:val="22"/>
                <w:lang w:val="en-US" w:eastAsia="zh-CN"/>
              </w:rPr>
            </w:pPr>
            <w:r>
              <w:rPr>
                <w:rFonts w:hint="default" w:ascii="Times New Roman" w:hAnsi="Times New Roman" w:cs="Times New Roman"/>
                <w:b w:val="0"/>
                <w:bCs w:val="0"/>
                <w:i w:val="0"/>
                <w:iCs w:val="0"/>
                <w:color w:val="auto"/>
                <w:kern w:val="0"/>
                <w:sz w:val="24"/>
                <w:szCs w:val="22"/>
                <w:lang w:val="en-US" w:eastAsia="zh-CN"/>
              </w:rPr>
              <w:t>Box</w:t>
            </w:r>
            <w:r>
              <w:rPr>
                <w:rFonts w:hint="default" w:ascii="Times New Roman" w:hAnsi="Times New Roman" w:cs="Times New Roman"/>
                <w:b w:val="0"/>
                <w:bCs w:val="0"/>
                <w:i/>
                <w:iCs/>
                <w:color w:val="auto"/>
                <w:kern w:val="0"/>
                <w:sz w:val="24"/>
                <w:szCs w:val="22"/>
                <w:lang w:val="en-US" w:eastAsia="zh-CN"/>
              </w:rPr>
              <w:t xml:space="preserve"> </w:t>
            </w:r>
            <w:r>
              <w:rPr>
                <w:rFonts w:hint="default" w:ascii="Times New Roman" w:hAnsi="Times New Roman" w:cs="Times New Roman"/>
                <w:b w:val="0"/>
                <w:bCs w:val="0"/>
                <w:color w:val="auto"/>
                <w:kern w:val="0"/>
                <w:sz w:val="24"/>
                <w:szCs w:val="22"/>
              </w:rPr>
              <w:t>I</w:t>
            </w:r>
          </w:p>
        </w:tc>
        <w:tc>
          <w:tcPr>
            <w:tcW w:w="2754" w:type="dxa"/>
            <w:noWrap w:val="0"/>
            <w:vAlign w:val="top"/>
          </w:tcPr>
          <w:p>
            <w:pPr>
              <w:spacing w:after="120" w:line="276" w:lineRule="auto"/>
              <w:jc w:val="left"/>
              <w:rPr>
                <w:rFonts w:hint="default" w:ascii="Times New Roman" w:hAnsi="Times New Roman"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TTTCAAA</w:t>
            </w:r>
          </w:p>
        </w:tc>
        <w:tc>
          <w:tcPr>
            <w:tcW w:w="7629" w:type="dxa"/>
            <w:noWrap w:val="0"/>
            <w:vAlign w:val="top"/>
          </w:tcPr>
          <w:p>
            <w:pPr>
              <w:spacing w:after="120" w:line="276" w:lineRule="auto"/>
              <w:jc w:val="left"/>
              <w:rPr>
                <w:rFonts w:hint="default" w:ascii="Times New Roman" w:hAnsi="Times New Roman"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light responsive element</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i w:val="0"/>
                <w:iCs/>
                <w:color w:val="auto"/>
                <w:kern w:val="0"/>
                <w:sz w:val="24"/>
                <w:szCs w:val="22"/>
                <w:lang w:val="en-US" w:eastAsia="zh-CN"/>
              </w:rPr>
            </w:pPr>
            <w:r>
              <w:rPr>
                <w:rFonts w:hint="default" w:ascii="Times New Roman" w:hAnsi="Times New Roman" w:cs="Times New Roman"/>
                <w:b w:val="0"/>
                <w:bCs w:val="0"/>
                <w:i w:val="0"/>
                <w:iCs/>
                <w:color w:val="auto"/>
                <w:kern w:val="0"/>
                <w:sz w:val="24"/>
                <w:szCs w:val="22"/>
                <w:lang w:val="en-US" w:eastAsia="zh-CN"/>
              </w:rPr>
              <w:t>CAAT-box</w:t>
            </w:r>
          </w:p>
        </w:tc>
        <w:tc>
          <w:tcPr>
            <w:tcW w:w="2754" w:type="dxa"/>
            <w:noWrap w:val="0"/>
            <w:vAlign w:val="top"/>
          </w:tcPr>
          <w:p>
            <w:pPr>
              <w:spacing w:after="120" w:line="276" w:lineRule="auto"/>
              <w:jc w:val="left"/>
              <w:rPr>
                <w:rFonts w:hint="default" w:ascii="Times New Roman" w:hAnsi="Times New Roman"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CAAT</w:t>
            </w:r>
          </w:p>
        </w:tc>
        <w:tc>
          <w:tcPr>
            <w:tcW w:w="7629"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common cis-acting element in promoter and enhancer regions</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color w:val="auto"/>
                <w:kern w:val="0"/>
                <w:sz w:val="24"/>
                <w:szCs w:val="22"/>
                <w:lang w:val="en-US" w:eastAsia="zh-CN"/>
              </w:rPr>
            </w:pPr>
            <w:r>
              <w:rPr>
                <w:rFonts w:hint="default" w:ascii="Times New Roman" w:hAnsi="Times New Roman" w:cs="Times New Roman"/>
                <w:b w:val="0"/>
                <w:bCs w:val="0"/>
                <w:color w:val="auto"/>
                <w:kern w:val="0"/>
                <w:sz w:val="24"/>
                <w:szCs w:val="22"/>
                <w:lang w:val="en-US" w:eastAsia="zh-CN"/>
              </w:rPr>
              <w:t>ERE</w:t>
            </w:r>
          </w:p>
        </w:tc>
        <w:tc>
          <w:tcPr>
            <w:tcW w:w="2754"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ATTTCAAA</w:t>
            </w:r>
          </w:p>
        </w:tc>
        <w:tc>
          <w:tcPr>
            <w:tcW w:w="7629"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Ethylene-responsive element</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color w:val="auto"/>
                <w:kern w:val="0"/>
                <w:sz w:val="24"/>
                <w:szCs w:val="22"/>
                <w:lang w:val="en-US" w:eastAsia="zh-CN" w:bidi="ar-SA"/>
              </w:rPr>
            </w:pPr>
            <w:r>
              <w:rPr>
                <w:rFonts w:hint="default" w:ascii="Times New Roman" w:hAnsi="Times New Roman" w:cs="Times New Roman"/>
                <w:b w:val="0"/>
                <w:bCs w:val="0"/>
                <w:color w:val="auto"/>
                <w:kern w:val="0"/>
                <w:sz w:val="24"/>
                <w:szCs w:val="22"/>
                <w:lang w:val="en-US" w:eastAsia="zh-CN"/>
              </w:rPr>
              <w:t>HSE</w:t>
            </w:r>
          </w:p>
        </w:tc>
        <w:tc>
          <w:tcPr>
            <w:tcW w:w="2754"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AAAAAATTTC</w:t>
            </w:r>
          </w:p>
        </w:tc>
        <w:tc>
          <w:tcPr>
            <w:tcW w:w="7629" w:type="dxa"/>
            <w:noWrap w:val="0"/>
            <w:vAlign w:val="top"/>
          </w:tcPr>
          <w:p>
            <w:pPr>
              <w:spacing w:after="120" w:line="276" w:lineRule="auto"/>
              <w:jc w:val="left"/>
              <w:rPr>
                <w:rFonts w:hint="default" w:ascii="Times New Roman" w:hAnsi="Times New Roman" w:cs="Times New Roman"/>
                <w:color w:val="auto"/>
                <w:kern w:val="0"/>
                <w:sz w:val="24"/>
                <w:szCs w:val="22"/>
                <w:lang w:val="en-US"/>
              </w:rPr>
            </w:pPr>
            <w:r>
              <w:rPr>
                <w:rFonts w:hint="default" w:ascii="Times New Roman" w:hAnsi="Times New Roman" w:cs="Times New Roman"/>
                <w:color w:val="auto"/>
                <w:kern w:val="0"/>
                <w:sz w:val="24"/>
                <w:szCs w:val="22"/>
                <w:lang w:val="en-US" w:eastAsia="zh-CN"/>
              </w:rPr>
              <w:t>cis-acting element involved in heat stress responsiveness</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color w:val="auto"/>
                <w:kern w:val="0"/>
                <w:sz w:val="24"/>
                <w:szCs w:val="22"/>
                <w:lang w:val="en-US" w:eastAsia="zh-CN" w:bidi="ar-SA"/>
              </w:rPr>
            </w:pPr>
            <w:r>
              <w:rPr>
                <w:rFonts w:hint="default" w:ascii="Times New Roman" w:hAnsi="Times New Roman" w:cs="Times New Roman"/>
                <w:b w:val="0"/>
                <w:bCs w:val="0"/>
                <w:color w:val="auto"/>
                <w:kern w:val="0"/>
                <w:sz w:val="24"/>
                <w:szCs w:val="22"/>
                <w:lang w:val="en-US" w:eastAsia="zh-CN"/>
              </w:rPr>
              <w:t>Skn-1 motif</w:t>
            </w:r>
          </w:p>
        </w:tc>
        <w:tc>
          <w:tcPr>
            <w:tcW w:w="2754"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GTCAT</w:t>
            </w:r>
          </w:p>
        </w:tc>
        <w:tc>
          <w:tcPr>
            <w:tcW w:w="7629" w:type="dxa"/>
            <w:noWrap w:val="0"/>
            <w:vAlign w:val="top"/>
          </w:tcPr>
          <w:p>
            <w:pPr>
              <w:spacing w:after="120" w:line="276" w:lineRule="auto"/>
              <w:jc w:val="left"/>
              <w:rPr>
                <w:rFonts w:hint="default" w:ascii="Times New Roman" w:hAnsi="Times New Roman" w:cs="Times New Roman"/>
                <w:color w:val="auto"/>
                <w:kern w:val="0"/>
                <w:sz w:val="24"/>
                <w:szCs w:val="22"/>
                <w:lang w:val="en-US"/>
              </w:rPr>
            </w:pPr>
            <w:r>
              <w:rPr>
                <w:rFonts w:hint="default" w:ascii="Times New Roman" w:hAnsi="Times New Roman" w:cs="Times New Roman"/>
                <w:color w:val="auto"/>
                <w:kern w:val="0"/>
                <w:sz w:val="24"/>
                <w:szCs w:val="22"/>
                <w:lang w:val="en-US" w:eastAsia="zh-CN"/>
              </w:rPr>
              <w:t>cis-acting regulatory element required for endosperm expression</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 w:hRule="atLeast"/>
          <w:jc w:val="center"/>
        </w:trPr>
        <w:tc>
          <w:tcPr>
            <w:tcW w:w="2778" w:type="dxa"/>
            <w:noWrap w:val="0"/>
            <w:vAlign w:val="top"/>
          </w:tcPr>
          <w:p>
            <w:pPr>
              <w:spacing w:after="120" w:line="276" w:lineRule="auto"/>
              <w:jc w:val="left"/>
              <w:rPr>
                <w:rFonts w:hint="default" w:ascii="Times New Roman" w:hAnsi="Times New Roman" w:eastAsia="宋体" w:cs="Times New Roman"/>
                <w:b w:val="0"/>
                <w:bCs w:val="0"/>
                <w:color w:val="auto"/>
                <w:kern w:val="0"/>
                <w:sz w:val="24"/>
                <w:szCs w:val="22"/>
                <w:lang w:val="en-US" w:eastAsia="zh-CN" w:bidi="ar-SA"/>
              </w:rPr>
            </w:pPr>
            <w:r>
              <w:rPr>
                <w:rFonts w:hint="default" w:ascii="Times New Roman" w:hAnsi="Times New Roman" w:cs="Times New Roman"/>
                <w:b w:val="0"/>
                <w:bCs w:val="0"/>
                <w:color w:val="auto"/>
                <w:kern w:val="0"/>
                <w:sz w:val="24"/>
                <w:szCs w:val="22"/>
                <w:lang w:val="en-US" w:eastAsia="zh-CN"/>
              </w:rPr>
              <w:t>TC-rich repeats</w:t>
            </w:r>
          </w:p>
        </w:tc>
        <w:tc>
          <w:tcPr>
            <w:tcW w:w="2754" w:type="dxa"/>
            <w:noWrap w:val="0"/>
            <w:vAlign w:val="top"/>
          </w:tcPr>
          <w:p>
            <w:pPr>
              <w:spacing w:after="120" w:line="276" w:lineRule="auto"/>
              <w:jc w:val="left"/>
              <w:rPr>
                <w:rFonts w:hint="default" w:ascii="Times New Roman" w:hAnsi="Times New Roman" w:eastAsia="宋体" w:cs="Times New Roman"/>
                <w:color w:val="auto"/>
                <w:kern w:val="0"/>
                <w:sz w:val="24"/>
                <w:szCs w:val="22"/>
                <w:lang w:val="en-US" w:eastAsia="zh-CN"/>
              </w:rPr>
            </w:pPr>
            <w:r>
              <w:rPr>
                <w:rFonts w:hint="default" w:ascii="Times New Roman" w:hAnsi="Times New Roman" w:cs="Times New Roman"/>
                <w:color w:val="auto"/>
                <w:kern w:val="0"/>
                <w:sz w:val="24"/>
                <w:szCs w:val="22"/>
                <w:lang w:val="en-US" w:eastAsia="zh-CN"/>
              </w:rPr>
              <w:t>ATTTTCTTCA</w:t>
            </w:r>
          </w:p>
        </w:tc>
        <w:tc>
          <w:tcPr>
            <w:tcW w:w="7629" w:type="dxa"/>
            <w:noWrap w:val="0"/>
            <w:vAlign w:val="top"/>
          </w:tcPr>
          <w:p>
            <w:pPr>
              <w:spacing w:after="120" w:line="276" w:lineRule="auto"/>
              <w:jc w:val="left"/>
              <w:rPr>
                <w:rFonts w:hint="default" w:ascii="Times New Roman" w:hAnsi="Times New Roman" w:cs="Times New Roman"/>
                <w:color w:val="auto"/>
                <w:kern w:val="0"/>
                <w:sz w:val="24"/>
                <w:szCs w:val="22"/>
                <w:lang w:val="en-US"/>
              </w:rPr>
            </w:pPr>
            <w:r>
              <w:rPr>
                <w:rFonts w:hint="default" w:ascii="Times New Roman" w:hAnsi="Times New Roman" w:cs="Times New Roman"/>
                <w:color w:val="auto"/>
                <w:kern w:val="0"/>
                <w:sz w:val="24"/>
                <w:szCs w:val="22"/>
                <w:lang w:val="en-US" w:eastAsia="zh-CN"/>
              </w:rPr>
              <w:t>cis-acting element involved in defense and stress responsiveness</w:t>
            </w:r>
          </w:p>
        </w:tc>
      </w:tr>
    </w:tbl>
    <w:p>
      <w:pPr>
        <w:sectPr>
          <w:pgSz w:w="16838" w:h="11906" w:orient="landscape"/>
          <w:pgMar w:top="1800" w:right="1440" w:bottom="1800" w:left="1440" w:header="851" w:footer="992" w:gutter="0"/>
          <w:cols w:space="425" w:num="1"/>
          <w:docGrid w:type="lines" w:linePitch="312" w:charSpace="0"/>
        </w:sectPr>
      </w:pPr>
    </w:p>
    <w:p>
      <w:pPr>
        <w:spacing w:line="480" w:lineRule="auto"/>
        <w:jc w:val="center"/>
        <w:rPr>
          <w:rFonts w:hint="default" w:eastAsia="宋体"/>
          <w:sz w:val="28"/>
          <w:szCs w:val="28"/>
          <w:lang w:val="en-US" w:eastAsia="zh-CN"/>
        </w:rPr>
      </w:pPr>
      <w:r>
        <w:rPr>
          <w:rFonts w:hint="eastAsia" w:ascii="Times New Roman" w:hAnsi="Times New Roman" w:cs="Times New Roman"/>
          <w:b/>
          <w:bCs/>
          <w:sz w:val="28"/>
          <w:szCs w:val="28"/>
        </w:rPr>
        <w:t>T</w:t>
      </w:r>
      <w:r>
        <w:rPr>
          <w:rFonts w:ascii="Times New Roman" w:hAnsi="Times New Roman" w:cs="Times New Roman"/>
          <w:b/>
          <w:bCs/>
          <w:sz w:val="28"/>
          <w:szCs w:val="28"/>
        </w:rPr>
        <w:t xml:space="preserve">able </w:t>
      </w:r>
      <w:r>
        <w:rPr>
          <w:rFonts w:hint="eastAsia" w:ascii="Times New Roman" w:hAnsi="Times New Roman" w:cs="Times New Roman"/>
          <w:b/>
          <w:bCs/>
          <w:sz w:val="28"/>
          <w:szCs w:val="28"/>
        </w:rPr>
        <w:t>S</w:t>
      </w:r>
      <w:r>
        <w:rPr>
          <w:rFonts w:hint="eastAsia" w:ascii="Times New Roman" w:hAnsi="Times New Roman" w:cs="Times New Roman"/>
          <w:b/>
          <w:bCs/>
          <w:sz w:val="28"/>
          <w:szCs w:val="28"/>
          <w:lang w:val="en-US" w:eastAsia="zh-CN"/>
        </w:rPr>
        <w:t>3</w:t>
      </w:r>
      <w:r>
        <w:rPr>
          <w:rFonts w:hint="eastAsia" w:ascii="Times New Roman" w:hAnsi="Times New Roman" w:cs="Times New Roman"/>
          <w:b/>
          <w:bCs/>
          <w:sz w:val="28"/>
          <w:szCs w:val="28"/>
        </w:rPr>
        <w:t>.</w:t>
      </w:r>
      <w:r>
        <w:rPr>
          <w:rFonts w:hint="eastAsia" w:ascii="Times New Roman" w:hAnsi="Times New Roman" w:cs="Times New Roman"/>
          <w:b/>
          <w:bCs/>
          <w:sz w:val="28"/>
          <w:szCs w:val="28"/>
          <w:lang w:val="en-US" w:eastAsia="zh-CN"/>
        </w:rPr>
        <w:t xml:space="preserve"> </w:t>
      </w:r>
      <w:r>
        <w:rPr>
          <w:rFonts w:ascii="Times New Roman" w:hAnsi="Times New Roman" w:cs="Times New Roman"/>
          <w:b/>
          <w:sz w:val="28"/>
          <w:szCs w:val="28"/>
        </w:rPr>
        <w:t xml:space="preserve">The primers used in the </w:t>
      </w:r>
      <w:r>
        <w:rPr>
          <w:rFonts w:hint="eastAsia" w:ascii="Times New Roman" w:hAnsi="Times New Roman" w:cs="Times New Roman"/>
          <w:b/>
          <w:sz w:val="28"/>
          <w:szCs w:val="28"/>
          <w:lang w:val="en-US" w:eastAsia="zh-CN"/>
        </w:rPr>
        <w:t>study</w:t>
      </w:r>
    </w:p>
    <w:tbl>
      <w:tblPr>
        <w:tblStyle w:val="4"/>
        <w:tblW w:w="13875" w:type="dxa"/>
        <w:tblInd w:w="163" w:type="dxa"/>
        <w:tblBorders>
          <w:top w:val="single" w:color="000000" w:sz="8" w:space="0"/>
          <w:left w:val="none" w:color="auto" w:sz="0" w:space="0"/>
          <w:bottom w:val="single" w:color="000000"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07"/>
        <w:gridCol w:w="2468"/>
        <w:gridCol w:w="4459"/>
        <w:gridCol w:w="4741"/>
      </w:tblGrid>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tcBorders>
              <w:top w:val="single" w:color="000000" w:sz="8" w:space="0"/>
              <w:left w:val="nil"/>
              <w:bottom w:val="single" w:color="000000" w:sz="8" w:space="0"/>
              <w:right w:val="nil"/>
            </w:tcBorders>
            <w:noWrap w:val="0"/>
            <w:vAlign w:val="top"/>
          </w:tcPr>
          <w:p>
            <w:pPr>
              <w:wordWrap w:val="0"/>
              <w:spacing w:before="0" w:after="0" w:line="276" w:lineRule="auto"/>
              <w:jc w:val="left"/>
              <w:rPr>
                <w:b/>
                <w:bCs/>
                <w:color w:val="auto"/>
                <w:kern w:val="2"/>
                <w:sz w:val="24"/>
                <w:szCs w:val="24"/>
              </w:rPr>
            </w:pPr>
            <w:r>
              <w:rPr>
                <w:rFonts w:ascii="Times New Roman" w:hAnsi="Times New Roman" w:eastAsia="宋体" w:cs="Times New Roman"/>
                <w:b/>
                <w:bCs/>
                <w:color w:val="000000"/>
                <w:sz w:val="24"/>
                <w:szCs w:val="24"/>
              </w:rPr>
              <w:t xml:space="preserve">Primer </w:t>
            </w:r>
            <w:r>
              <w:rPr>
                <w:rFonts w:hint="eastAsia" w:ascii="Times New Roman" w:hAnsi="Times New Roman" w:cs="Times New Roman"/>
                <w:b/>
                <w:bCs/>
                <w:color w:val="000000"/>
                <w:sz w:val="24"/>
                <w:szCs w:val="24"/>
                <w:lang w:val="en-US" w:eastAsia="zh-CN"/>
              </w:rPr>
              <w:t>N</w:t>
            </w:r>
            <w:r>
              <w:rPr>
                <w:rFonts w:ascii="Times New Roman" w:hAnsi="Times New Roman" w:eastAsia="宋体" w:cs="Times New Roman"/>
                <w:b/>
                <w:bCs/>
                <w:color w:val="000000"/>
                <w:sz w:val="24"/>
                <w:szCs w:val="24"/>
              </w:rPr>
              <w:t>ame</w:t>
            </w:r>
          </w:p>
        </w:tc>
        <w:tc>
          <w:tcPr>
            <w:tcW w:w="2468" w:type="dxa"/>
            <w:tcBorders>
              <w:top w:val="single" w:color="000000" w:sz="8" w:space="0"/>
              <w:bottom w:val="single" w:color="000000" w:sz="8" w:space="0"/>
              <w:right w:val="nil"/>
            </w:tcBorders>
            <w:noWrap w:val="0"/>
            <w:vAlign w:val="top"/>
          </w:tcPr>
          <w:p>
            <w:pPr>
              <w:wordWrap w:val="0"/>
              <w:spacing w:before="0" w:after="0" w:line="276" w:lineRule="auto"/>
              <w:jc w:val="left"/>
              <w:rPr>
                <w:b/>
                <w:bCs/>
                <w:color w:val="auto"/>
                <w:kern w:val="2"/>
                <w:sz w:val="24"/>
                <w:szCs w:val="24"/>
              </w:rPr>
            </w:pPr>
            <w:r>
              <w:rPr>
                <w:rFonts w:hint="eastAsia" w:ascii="Times New Roman" w:hAnsi="Times New Roman" w:cs="Times New Roman"/>
                <w:b/>
                <w:bCs/>
                <w:color w:val="000000"/>
                <w:sz w:val="24"/>
                <w:szCs w:val="24"/>
                <w:lang w:val="en-US" w:eastAsia="zh-CN"/>
              </w:rPr>
              <w:t>P</w:t>
            </w:r>
            <w:r>
              <w:rPr>
                <w:rFonts w:hint="eastAsia" w:ascii="Times New Roman" w:hAnsi="Times New Roman" w:eastAsia="宋体" w:cs="Times New Roman"/>
                <w:b/>
                <w:bCs/>
                <w:color w:val="000000"/>
                <w:sz w:val="24"/>
                <w:szCs w:val="24"/>
              </w:rPr>
              <w:t>urpose</w:t>
            </w:r>
          </w:p>
        </w:tc>
        <w:tc>
          <w:tcPr>
            <w:tcW w:w="4459" w:type="dxa"/>
            <w:tcBorders>
              <w:top w:val="single" w:color="000000" w:sz="8" w:space="0"/>
              <w:bottom w:val="single" w:color="000000" w:sz="8" w:space="0"/>
              <w:right w:val="nil"/>
            </w:tcBorders>
            <w:noWrap w:val="0"/>
            <w:vAlign w:val="top"/>
          </w:tcPr>
          <w:p>
            <w:pPr>
              <w:wordWrap w:val="0"/>
              <w:spacing w:before="0" w:after="0" w:line="276" w:lineRule="auto"/>
              <w:jc w:val="left"/>
              <w:rPr>
                <w:rFonts w:hint="eastAsia"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lang w:val="en-US" w:eastAsia="zh-CN"/>
              </w:rPr>
              <w:t xml:space="preserve">Forward </w:t>
            </w:r>
            <w:r>
              <w:rPr>
                <w:rFonts w:hint="eastAsia" w:ascii="Times New Roman" w:hAnsi="Times New Roman" w:cs="Times New Roman"/>
                <w:b/>
                <w:bCs/>
                <w:color w:val="000000"/>
                <w:sz w:val="24"/>
                <w:szCs w:val="24"/>
                <w:lang w:val="en-US" w:eastAsia="zh-CN"/>
              </w:rPr>
              <w:t>P</w:t>
            </w:r>
            <w:r>
              <w:rPr>
                <w:rFonts w:hint="eastAsia" w:ascii="Times New Roman" w:hAnsi="Times New Roman" w:eastAsia="宋体" w:cs="Times New Roman"/>
                <w:b/>
                <w:bCs/>
                <w:color w:val="000000"/>
                <w:sz w:val="24"/>
                <w:szCs w:val="24"/>
                <w:lang w:val="en-US" w:eastAsia="zh-CN"/>
              </w:rPr>
              <w:t xml:space="preserve">rimer </w:t>
            </w:r>
            <w:r>
              <w:rPr>
                <w:rFonts w:ascii="Times New Roman" w:hAnsi="Times New Roman" w:eastAsia="宋体" w:cs="Times New Roman"/>
                <w:b/>
                <w:bCs/>
                <w:color w:val="000000"/>
                <w:sz w:val="24"/>
                <w:szCs w:val="24"/>
              </w:rPr>
              <w:t>(5'-3')</w:t>
            </w:r>
          </w:p>
        </w:tc>
        <w:tc>
          <w:tcPr>
            <w:tcW w:w="4741" w:type="dxa"/>
            <w:tcBorders>
              <w:top w:val="single" w:color="000000" w:sz="8" w:space="0"/>
              <w:bottom w:val="single" w:color="000000" w:sz="8" w:space="0"/>
              <w:right w:val="nil"/>
            </w:tcBorders>
            <w:noWrap w:val="0"/>
            <w:vAlign w:val="top"/>
          </w:tcPr>
          <w:p>
            <w:pPr>
              <w:wordWrap w:val="0"/>
              <w:spacing w:before="0" w:after="0" w:line="276" w:lineRule="auto"/>
              <w:jc w:val="lef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lang w:val="en-US" w:eastAsia="zh-CN"/>
              </w:rPr>
              <w:t>R</w:t>
            </w:r>
            <w:r>
              <w:rPr>
                <w:rFonts w:ascii="Times New Roman" w:hAnsi="Times New Roman" w:eastAsia="宋体" w:cs="Times New Roman"/>
                <w:b/>
                <w:bCs/>
                <w:color w:val="000000"/>
                <w:sz w:val="24"/>
                <w:szCs w:val="24"/>
              </w:rPr>
              <w:t xml:space="preserve">everse </w:t>
            </w:r>
            <w:r>
              <w:rPr>
                <w:rFonts w:hint="eastAsia" w:ascii="Times New Roman" w:hAnsi="Times New Roman" w:cs="Times New Roman"/>
                <w:b/>
                <w:bCs/>
                <w:color w:val="000000"/>
                <w:sz w:val="24"/>
                <w:szCs w:val="24"/>
                <w:lang w:val="en-US" w:eastAsia="zh-CN"/>
              </w:rPr>
              <w:t>P</w:t>
            </w:r>
            <w:r>
              <w:rPr>
                <w:rFonts w:ascii="Times New Roman" w:hAnsi="Times New Roman" w:eastAsia="宋体" w:cs="Times New Roman"/>
                <w:b/>
                <w:bCs/>
                <w:color w:val="000000"/>
                <w:sz w:val="24"/>
                <w:szCs w:val="24"/>
              </w:rPr>
              <w:t>rimer</w:t>
            </w:r>
            <w:r>
              <w:rPr>
                <w:rFonts w:hint="eastAsia" w:ascii="Times New Roman" w:hAnsi="Times New Roman" w:eastAsia="宋体"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(5'-3')</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07" w:type="dxa"/>
            <w:noWrap w:val="0"/>
            <w:vAlign w:val="top"/>
          </w:tcPr>
          <w:p>
            <w:pPr>
              <w:wordWrap/>
              <w:spacing w:line="276" w:lineRule="auto"/>
              <w:jc w:val="left"/>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cs="Times New Roman"/>
                <w:b w:val="0"/>
                <w:bCs w:val="0"/>
                <w:color w:val="auto"/>
                <w:kern w:val="0"/>
                <w:sz w:val="24"/>
                <w:szCs w:val="24"/>
                <w:lang w:val="en-US" w:eastAsia="zh-CN"/>
              </w:rPr>
              <w:t>Actin3</w:t>
            </w:r>
          </w:p>
        </w:tc>
        <w:tc>
          <w:tcPr>
            <w:tcW w:w="2468" w:type="dxa"/>
            <w:noWrap w:val="0"/>
            <w:vAlign w:val="top"/>
          </w:tcPr>
          <w:p>
            <w:pPr>
              <w:wordWrap/>
              <w:spacing w:line="276" w:lineRule="auto"/>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bidi="ar-SA"/>
              </w:rPr>
              <w:t>qRT-PCR</w:t>
            </w:r>
          </w:p>
        </w:tc>
        <w:tc>
          <w:tcPr>
            <w:tcW w:w="4459" w:type="dxa"/>
            <w:noWrap w:val="0"/>
            <w:vAlign w:val="top"/>
          </w:tcPr>
          <w:p>
            <w:pPr>
              <w:wordWrap w:val="0"/>
              <w:spacing w:line="276" w:lineRule="auto"/>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cs="Times New Roman"/>
                <w:color w:val="auto"/>
                <w:kern w:val="0"/>
                <w:sz w:val="24"/>
                <w:szCs w:val="24"/>
                <w:lang w:val="en-US" w:eastAsia="zh-CN"/>
              </w:rPr>
              <w:t>GCACCACCGGAGAGAAAATA</w:t>
            </w:r>
          </w:p>
        </w:tc>
        <w:tc>
          <w:tcPr>
            <w:tcW w:w="4741" w:type="dxa"/>
            <w:noWrap w:val="0"/>
            <w:vAlign w:val="top"/>
          </w:tcPr>
          <w:p>
            <w:pPr>
              <w:wordWrap w:val="0"/>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GTGCACAATTGATGGACCAG</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ordWrap/>
              <w:spacing w:line="276" w:lineRule="auto"/>
              <w:jc w:val="left"/>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DHM7</w:t>
            </w:r>
          </w:p>
        </w:tc>
        <w:tc>
          <w:tcPr>
            <w:tcW w:w="2468" w:type="dxa"/>
            <w:noWrap w:val="0"/>
            <w:vAlign w:val="top"/>
          </w:tcPr>
          <w:p>
            <w:pPr>
              <w:wordWrap/>
              <w:spacing w:line="276" w:lineRule="auto"/>
              <w:jc w:val="left"/>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aps/>
                <w:color w:val="000000"/>
                <w:sz w:val="24"/>
                <w:szCs w:val="24"/>
              </w:rPr>
              <w:t>GGACCAACTATCTCCGACCTG</w:t>
            </w:r>
          </w:p>
        </w:tc>
        <w:tc>
          <w:tcPr>
            <w:tcW w:w="4741"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rPr>
              <w:t>GCCCATCTGTTACCCAAA</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ordWrap/>
              <w:spacing w:line="276" w:lineRule="auto"/>
              <w:jc w:val="left"/>
              <w:rPr>
                <w:rFonts w:hint="default" w:ascii="Times New Roman" w:hAnsi="Times New Roman" w:cs="Times New Roman"/>
                <w:b w:val="0"/>
                <w:bCs w:val="0"/>
                <w:color w:val="auto"/>
                <w:kern w:val="0"/>
                <w:sz w:val="24"/>
                <w:szCs w:val="24"/>
                <w:lang w:val="en-US" w:eastAsia="zh-CN"/>
              </w:rPr>
            </w:pPr>
            <w:bookmarkStart w:id="2" w:name="OLE_LINK3"/>
            <w:r>
              <w:rPr>
                <w:rFonts w:hint="default" w:ascii="Times New Roman" w:hAnsi="Times New Roman" w:cs="Times New Roman"/>
                <w:b w:val="0"/>
                <w:bCs w:val="0"/>
                <w:color w:val="auto"/>
                <w:kern w:val="0"/>
                <w:sz w:val="24"/>
                <w:szCs w:val="24"/>
                <w:lang w:val="en-US" w:eastAsia="zh-CN"/>
              </w:rPr>
              <w:t>GsMYB7-GFP</w:t>
            </w:r>
            <w:bookmarkEnd w:id="2"/>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Cloning processes in subcellular localization</w:t>
            </w:r>
          </w:p>
        </w:tc>
        <w:tc>
          <w:tcPr>
            <w:tcW w:w="4459" w:type="dxa"/>
            <w:noWrap w:val="0"/>
            <w:vAlign w:val="top"/>
          </w:tcPr>
          <w:p>
            <w:pPr>
              <w:spacing w:line="240" w:lineRule="atLeast"/>
              <w:jc w:val="left"/>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aps/>
                <w:color w:val="000000"/>
                <w:sz w:val="24"/>
                <w:szCs w:val="24"/>
              </w:rPr>
              <w:t>aattctgcagtcgacggtacc</w:t>
            </w:r>
            <w:r>
              <w:rPr>
                <w:rFonts w:hint="default" w:ascii="Times New Roman" w:hAnsi="Times New Roman" w:cs="Times New Roman"/>
                <w:color w:val="000000"/>
                <w:sz w:val="24"/>
                <w:szCs w:val="24"/>
              </w:rPr>
              <w:t>AAATGGGAAGACCACCTTGCT</w:t>
            </w:r>
          </w:p>
        </w:tc>
        <w:tc>
          <w:tcPr>
            <w:tcW w:w="4741" w:type="dxa"/>
            <w:noWrap w:val="0"/>
            <w:vAlign w:val="top"/>
          </w:tcPr>
          <w:p>
            <w:pPr>
              <w:spacing w:line="240" w:lineRule="atLeast"/>
              <w:jc w:val="left"/>
              <w:rPr>
                <w:rFonts w:hint="default" w:ascii="Times New Roman" w:hAnsi="Times New Roman" w:eastAsia="宋体" w:cs="Times New Roman"/>
                <w:color w:val="000000"/>
                <w:kern w:val="2"/>
                <w:sz w:val="24"/>
                <w:szCs w:val="24"/>
                <w:lang w:val="en-US" w:eastAsia="zh-CN" w:bidi="ar-SA"/>
              </w:rPr>
            </w:pPr>
            <w:r>
              <w:rPr>
                <w:rFonts w:hint="default" w:ascii="Times New Roman" w:hAnsi="Times New Roman" w:cs="Times New Roman"/>
                <w:caps/>
                <w:color w:val="000000"/>
                <w:sz w:val="24"/>
                <w:szCs w:val="24"/>
              </w:rPr>
              <w:t>ccttgctcaccatcaggatccT</w:t>
            </w:r>
            <w:r>
              <w:rPr>
                <w:rFonts w:hint="default" w:ascii="Times New Roman" w:hAnsi="Times New Roman" w:cs="Times New Roman"/>
                <w:color w:val="000000"/>
                <w:sz w:val="24"/>
                <w:szCs w:val="24"/>
              </w:rPr>
              <w:t>GAACACCCTTCTGTACTTTCCTC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ordWrap/>
              <w:spacing w:line="276" w:lineRule="auto"/>
              <w:jc w:val="left"/>
              <w:rPr>
                <w:rFonts w:hint="default" w:ascii="Times New Roman" w:hAnsi="Times New Roman" w:cs="Times New Roman"/>
                <w:b w:val="0"/>
                <w:bCs w:val="0"/>
                <w:color w:val="auto"/>
                <w:kern w:val="0"/>
                <w:sz w:val="24"/>
                <w:szCs w:val="24"/>
                <w:lang w:val="en-US" w:eastAsia="zh-CN"/>
              </w:rPr>
            </w:pPr>
            <w:r>
              <w:rPr>
                <w:rFonts w:hint="default" w:ascii="Times New Roman" w:hAnsi="Times New Roman" w:cs="Times New Roman"/>
                <w:b w:val="0"/>
                <w:bCs w:val="0"/>
                <w:color w:val="auto"/>
                <w:kern w:val="0"/>
                <w:sz w:val="24"/>
                <w:szCs w:val="24"/>
                <w:lang w:val="en-US" w:eastAsia="zh-CN"/>
              </w:rPr>
              <w:t>GsMYB7-GFP</w:t>
            </w:r>
            <w:r>
              <w:rPr>
                <w:rFonts w:hint="eastAsia" w:ascii="Times New Roman" w:hAnsi="Times New Roman" w:cs="Times New Roman"/>
                <w:b w:val="0"/>
                <w:bCs w:val="0"/>
                <w:color w:val="auto"/>
                <w:kern w:val="0"/>
                <w:sz w:val="24"/>
                <w:szCs w:val="24"/>
                <w:lang w:val="en-US" w:eastAsia="zh-CN"/>
              </w:rPr>
              <w:t>-JD</w:t>
            </w:r>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Detection processes in subcellular localization</w:t>
            </w:r>
          </w:p>
        </w:tc>
        <w:tc>
          <w:tcPr>
            <w:tcW w:w="4459" w:type="dxa"/>
            <w:noWrap w:val="0"/>
            <w:vAlign w:val="top"/>
          </w:tcPr>
          <w:p>
            <w:pPr>
              <w:autoSpaceDE w:val="0"/>
              <w:autoSpaceDN w:val="0"/>
              <w:adjustRightInd w:val="0"/>
              <w:spacing w:line="240" w:lineRule="atLeast"/>
              <w:jc w:val="left"/>
              <w:rPr>
                <w:rFonts w:hint="default" w:ascii="Times New Roman" w:hAnsi="Times New Roman" w:eastAsia="宋体" w:cs="Times New Roman"/>
                <w:caps/>
                <w:color w:val="000000"/>
                <w:kern w:val="2"/>
                <w:sz w:val="24"/>
                <w:szCs w:val="24"/>
                <w:lang w:val="en-US" w:eastAsia="zh-CN" w:bidi="ar-SA"/>
              </w:rPr>
            </w:pPr>
            <w:r>
              <w:rPr>
                <w:rFonts w:hint="default" w:ascii="Times New Roman" w:hAnsi="Times New Roman" w:cs="Times New Roman"/>
                <w:caps/>
                <w:color w:val="000000"/>
                <w:sz w:val="24"/>
                <w:szCs w:val="24"/>
              </w:rPr>
              <w:t>TAAGGGATGACGCACAATC</w:t>
            </w:r>
          </w:p>
        </w:tc>
        <w:tc>
          <w:tcPr>
            <w:tcW w:w="4741" w:type="dxa"/>
            <w:noWrap w:val="0"/>
            <w:vAlign w:val="top"/>
          </w:tcPr>
          <w:p>
            <w:pPr>
              <w:autoSpaceDE w:val="0"/>
              <w:autoSpaceDN w:val="0"/>
              <w:adjustRightInd w:val="0"/>
              <w:spacing w:line="240" w:lineRule="atLeast"/>
              <w:jc w:val="left"/>
              <w:rPr>
                <w:rFonts w:hint="default" w:ascii="Times New Roman" w:hAnsi="Times New Roman" w:eastAsia="宋体" w:cs="Times New Roman"/>
                <w:caps/>
                <w:color w:val="000000"/>
                <w:kern w:val="2"/>
                <w:sz w:val="24"/>
                <w:szCs w:val="24"/>
                <w:lang w:val="en-US" w:eastAsia="zh-CN" w:bidi="ar-SA"/>
              </w:rPr>
            </w:pPr>
            <w:r>
              <w:rPr>
                <w:rFonts w:hint="default" w:ascii="Times New Roman" w:hAnsi="Times New Roman" w:cs="Times New Roman"/>
                <w:caps/>
                <w:color w:val="000000"/>
                <w:sz w:val="24"/>
                <w:szCs w:val="24"/>
              </w:rPr>
              <w:t>TGCAGATGAACTTCAGGGT</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autoSpaceDE w:val="0"/>
              <w:autoSpaceDN w:val="0"/>
              <w:adjustRightInd w:val="0"/>
              <w:spacing w:line="240" w:lineRule="atLeast"/>
              <w:jc w:val="left"/>
              <w:rPr>
                <w:rFonts w:hint="default" w:ascii="Times New Roman" w:hAnsi="Times New Roman" w:cs="Times New Roman"/>
                <w:b w:val="0"/>
                <w:bCs w:val="0"/>
                <w:caps/>
                <w:color w:val="000000"/>
                <w:sz w:val="24"/>
                <w:szCs w:val="24"/>
              </w:rPr>
            </w:pPr>
            <w:bookmarkStart w:id="3" w:name="OLE_LINK4"/>
            <w:r>
              <w:rPr>
                <w:rFonts w:hint="default" w:ascii="Times New Roman" w:hAnsi="Times New Roman" w:cs="Times New Roman"/>
                <w:b w:val="0"/>
                <w:bCs w:val="0"/>
                <w:i/>
                <w:iCs/>
                <w:caps/>
                <w:color w:val="000000"/>
                <w:sz w:val="24"/>
                <w:szCs w:val="24"/>
              </w:rPr>
              <w:t>G</w:t>
            </w:r>
            <w:r>
              <w:rPr>
                <w:rFonts w:hint="default" w:ascii="Times New Roman" w:hAnsi="Times New Roman" w:cs="Times New Roman"/>
                <w:b w:val="0"/>
                <w:bCs w:val="0"/>
                <w:i/>
                <w:iCs/>
                <w:color w:val="000000"/>
                <w:kern w:val="0"/>
                <w:sz w:val="24"/>
                <w:szCs w:val="24"/>
              </w:rPr>
              <w:t>s</w:t>
            </w:r>
            <w:r>
              <w:rPr>
                <w:rFonts w:hint="default" w:ascii="Times New Roman" w:hAnsi="Times New Roman" w:cs="Times New Roman"/>
                <w:b w:val="0"/>
                <w:bCs w:val="0"/>
                <w:i/>
                <w:iCs/>
                <w:caps/>
                <w:color w:val="000000"/>
                <w:sz w:val="24"/>
                <w:szCs w:val="24"/>
              </w:rPr>
              <w:t>MYB7</w:t>
            </w:r>
            <w:r>
              <w:rPr>
                <w:rFonts w:hint="default" w:ascii="Times New Roman" w:hAnsi="Times New Roman" w:cs="Times New Roman"/>
                <w:b w:val="0"/>
                <w:bCs w:val="0"/>
                <w:caps/>
                <w:color w:val="000000"/>
                <w:sz w:val="24"/>
                <w:szCs w:val="24"/>
              </w:rPr>
              <w:t>-</w:t>
            </w:r>
            <w:r>
              <w:rPr>
                <w:rFonts w:hint="default" w:ascii="Times New Roman" w:hAnsi="Times New Roman" w:cs="Times New Roman"/>
                <w:b w:val="0"/>
                <w:bCs w:val="0"/>
                <w:color w:val="000000"/>
                <w:kern w:val="0"/>
                <w:sz w:val="24"/>
                <w:szCs w:val="24"/>
              </w:rPr>
              <w:t>p</w:t>
            </w:r>
            <w:r>
              <w:rPr>
                <w:rFonts w:hint="default" w:ascii="Times New Roman" w:hAnsi="Times New Roman" w:cs="Times New Roman"/>
                <w:b w:val="0"/>
                <w:bCs w:val="0"/>
                <w:caps/>
                <w:color w:val="000000"/>
                <w:sz w:val="24"/>
                <w:szCs w:val="24"/>
              </w:rPr>
              <w:t>GBKT7</w:t>
            </w:r>
          </w:p>
          <w:bookmarkEnd w:id="3"/>
          <w:p>
            <w:pPr>
              <w:autoSpaceDE w:val="0"/>
              <w:autoSpaceDN w:val="0"/>
              <w:adjustRightInd w:val="0"/>
              <w:spacing w:line="240" w:lineRule="atLeast"/>
              <w:jc w:val="left"/>
              <w:rPr>
                <w:rFonts w:hint="default" w:ascii="Times New Roman" w:hAnsi="Times New Roman" w:eastAsia="宋体" w:cs="Times New Roman"/>
                <w:b w:val="0"/>
                <w:bCs w:val="0"/>
                <w:caps/>
                <w:color w:val="000000"/>
                <w:kern w:val="2"/>
                <w:sz w:val="24"/>
                <w:szCs w:val="24"/>
                <w:lang w:val="en-US" w:eastAsia="zh-CN" w:bidi="ar-SA"/>
              </w:rPr>
            </w:pPr>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Cloning processes in transcriptional activation</w:t>
            </w:r>
          </w:p>
        </w:tc>
        <w:tc>
          <w:tcPr>
            <w:tcW w:w="4459" w:type="dxa"/>
            <w:noWrap w:val="0"/>
            <w:vAlign w:val="top"/>
          </w:tcPr>
          <w:p>
            <w:pPr>
              <w:autoSpaceDE w:val="0"/>
              <w:autoSpaceDN w:val="0"/>
              <w:adjustRightInd w:val="0"/>
              <w:spacing w:line="240" w:lineRule="atLeast"/>
              <w:jc w:val="left"/>
              <w:rPr>
                <w:rFonts w:hint="default" w:ascii="Times New Roman" w:hAnsi="Times New Roman" w:eastAsia="宋体" w:cs="Times New Roman"/>
                <w:caps/>
                <w:color w:val="000000"/>
                <w:kern w:val="2"/>
                <w:sz w:val="24"/>
                <w:szCs w:val="24"/>
                <w:lang w:val="en-US" w:eastAsia="zh-CN" w:bidi="ar-SA"/>
              </w:rPr>
            </w:pPr>
            <w:r>
              <w:rPr>
                <w:rFonts w:hint="default" w:ascii="Times New Roman" w:hAnsi="Times New Roman" w:cs="Times New Roman"/>
                <w:caps/>
                <w:color w:val="000000"/>
                <w:sz w:val="24"/>
                <w:szCs w:val="24"/>
              </w:rPr>
              <w:t>aggacctgcatatggccatggAAATGGGAAGACCACCTTGCT</w:t>
            </w:r>
          </w:p>
        </w:tc>
        <w:tc>
          <w:tcPr>
            <w:tcW w:w="4741" w:type="dxa"/>
            <w:noWrap w:val="0"/>
            <w:vAlign w:val="top"/>
          </w:tcPr>
          <w:p>
            <w:pPr>
              <w:autoSpaceDE w:val="0"/>
              <w:autoSpaceDN w:val="0"/>
              <w:adjustRightInd w:val="0"/>
              <w:spacing w:line="240" w:lineRule="atLeast"/>
              <w:jc w:val="left"/>
              <w:rPr>
                <w:rFonts w:hint="default" w:ascii="Times New Roman" w:hAnsi="Times New Roman" w:eastAsia="宋体" w:cs="Times New Roman"/>
                <w:caps/>
                <w:color w:val="000000"/>
                <w:kern w:val="2"/>
                <w:sz w:val="24"/>
                <w:szCs w:val="24"/>
                <w:lang w:val="en-US" w:eastAsia="zh-CN" w:bidi="ar-SA"/>
              </w:rPr>
            </w:pPr>
            <w:r>
              <w:rPr>
                <w:rFonts w:hint="default" w:ascii="Times New Roman" w:hAnsi="Times New Roman" w:cs="Times New Roman"/>
                <w:caps/>
                <w:color w:val="000000"/>
                <w:sz w:val="24"/>
                <w:szCs w:val="24"/>
              </w:rPr>
              <w:t>ccgctgcaggtcgacggatccTTTAGAACAACCCTTCTGTACTTTCC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autoSpaceDE w:val="0"/>
              <w:autoSpaceDN w:val="0"/>
              <w:adjustRightInd w:val="0"/>
              <w:spacing w:line="240" w:lineRule="atLeast"/>
              <w:jc w:val="left"/>
              <w:rPr>
                <w:rFonts w:hint="default" w:ascii="Times New Roman" w:hAnsi="Times New Roman" w:eastAsia="宋体" w:cs="Times New Roman"/>
                <w:b w:val="0"/>
                <w:bCs w:val="0"/>
                <w:caps/>
                <w:color w:val="000000"/>
                <w:sz w:val="24"/>
                <w:szCs w:val="24"/>
                <w:lang w:val="en-US" w:eastAsia="zh-CN"/>
              </w:rPr>
            </w:pPr>
            <w:r>
              <w:rPr>
                <w:rFonts w:hint="default" w:ascii="Times New Roman" w:hAnsi="Times New Roman" w:cs="Times New Roman"/>
                <w:b w:val="0"/>
                <w:bCs w:val="0"/>
                <w:i/>
                <w:iCs/>
                <w:caps/>
                <w:color w:val="000000"/>
                <w:sz w:val="24"/>
                <w:szCs w:val="24"/>
              </w:rPr>
              <w:t>G</w:t>
            </w:r>
            <w:r>
              <w:rPr>
                <w:rFonts w:hint="default" w:ascii="Times New Roman" w:hAnsi="Times New Roman" w:cs="Times New Roman"/>
                <w:b w:val="0"/>
                <w:bCs w:val="0"/>
                <w:i/>
                <w:iCs/>
                <w:color w:val="000000"/>
                <w:kern w:val="0"/>
                <w:sz w:val="24"/>
                <w:szCs w:val="24"/>
              </w:rPr>
              <w:t>s</w:t>
            </w:r>
            <w:r>
              <w:rPr>
                <w:rFonts w:hint="default" w:ascii="Times New Roman" w:hAnsi="Times New Roman" w:cs="Times New Roman"/>
                <w:b w:val="0"/>
                <w:bCs w:val="0"/>
                <w:i/>
                <w:iCs/>
                <w:caps/>
                <w:color w:val="000000"/>
                <w:sz w:val="24"/>
                <w:szCs w:val="24"/>
              </w:rPr>
              <w:t>MYB7</w:t>
            </w:r>
            <w:r>
              <w:rPr>
                <w:rFonts w:hint="default" w:ascii="Times New Roman" w:hAnsi="Times New Roman" w:cs="Times New Roman"/>
                <w:b w:val="0"/>
                <w:bCs w:val="0"/>
                <w:caps/>
                <w:color w:val="000000"/>
                <w:sz w:val="24"/>
                <w:szCs w:val="24"/>
              </w:rPr>
              <w:t>-</w:t>
            </w:r>
            <w:r>
              <w:rPr>
                <w:rFonts w:hint="default" w:ascii="Times New Roman" w:hAnsi="Times New Roman" w:cs="Times New Roman"/>
                <w:b w:val="0"/>
                <w:bCs w:val="0"/>
                <w:color w:val="000000"/>
                <w:kern w:val="0"/>
                <w:sz w:val="24"/>
                <w:szCs w:val="24"/>
              </w:rPr>
              <w:t>p</w:t>
            </w:r>
            <w:r>
              <w:rPr>
                <w:rFonts w:hint="default" w:ascii="Times New Roman" w:hAnsi="Times New Roman" w:cs="Times New Roman"/>
                <w:b w:val="0"/>
                <w:bCs w:val="0"/>
                <w:caps/>
                <w:color w:val="000000"/>
                <w:sz w:val="24"/>
                <w:szCs w:val="24"/>
              </w:rPr>
              <w:t>GBKT7</w:t>
            </w:r>
            <w:r>
              <w:rPr>
                <w:rFonts w:hint="eastAsia" w:ascii="Times New Roman" w:hAnsi="Times New Roman" w:cs="Times New Roman"/>
                <w:b w:val="0"/>
                <w:bCs w:val="0"/>
                <w:caps/>
                <w:color w:val="000000"/>
                <w:sz w:val="24"/>
                <w:szCs w:val="24"/>
                <w:lang w:val="en-US" w:eastAsia="zh-CN"/>
              </w:rPr>
              <w:t>-JD</w:t>
            </w:r>
          </w:p>
          <w:p>
            <w:pPr>
              <w:wordWrap/>
              <w:spacing w:line="276" w:lineRule="auto"/>
              <w:jc w:val="left"/>
              <w:rPr>
                <w:rFonts w:hint="default" w:ascii="Times New Roman" w:hAnsi="Times New Roman" w:cs="Times New Roman"/>
                <w:b w:val="0"/>
                <w:bCs w:val="0"/>
                <w:color w:val="auto"/>
                <w:kern w:val="0"/>
                <w:sz w:val="24"/>
                <w:szCs w:val="24"/>
                <w:lang w:val="en-US" w:eastAsia="zh-CN"/>
              </w:rPr>
            </w:pPr>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The detection process in transcriptional activation</w:t>
            </w:r>
          </w:p>
        </w:tc>
        <w:tc>
          <w:tcPr>
            <w:tcW w:w="4459" w:type="dxa"/>
            <w:noWrap w:val="0"/>
            <w:vAlign w:val="top"/>
          </w:tcPr>
          <w:p>
            <w:pPr>
              <w:tabs>
                <w:tab w:val="left" w:pos="396"/>
              </w:tabs>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rPr>
              <w:t>ATCATGGAGGAGCAGAAG</w:t>
            </w:r>
          </w:p>
        </w:tc>
        <w:tc>
          <w:tcPr>
            <w:tcW w:w="4741"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rPr>
              <w:t>GGGGTTATGCTAGTTATG</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ordWrap/>
              <w:spacing w:line="276" w:lineRule="auto"/>
              <w:jc w:val="left"/>
              <w:rPr>
                <w:rFonts w:hint="default" w:ascii="Times New Roman" w:hAnsi="Times New Roman" w:cs="Times New Roman"/>
                <w:b w:val="0"/>
                <w:bCs w:val="0"/>
                <w:color w:val="auto"/>
                <w:kern w:val="0"/>
                <w:sz w:val="24"/>
                <w:szCs w:val="24"/>
                <w:lang w:val="en-US" w:eastAsia="zh-CN"/>
              </w:rPr>
            </w:pPr>
            <w:r>
              <w:rPr>
                <w:rFonts w:hint="default" w:ascii="Times New Roman" w:hAnsi="Times New Roman" w:cs="Times New Roman"/>
                <w:b w:val="0"/>
                <w:bCs w:val="0"/>
                <w:color w:val="000000"/>
                <w:sz w:val="24"/>
                <w:szCs w:val="24"/>
              </w:rPr>
              <w:t>BKGmM7</w:t>
            </w:r>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Overexpression of Huachun 6 experiment</w:t>
            </w:r>
          </w:p>
        </w:tc>
        <w:tc>
          <w:tcPr>
            <w:tcW w:w="4459" w:type="dxa"/>
            <w:noWrap w:val="0"/>
            <w:vAlign w:val="top"/>
          </w:tcPr>
          <w:p>
            <w:pPr>
              <w:widowControl/>
              <w:jc w:val="left"/>
              <w:rPr>
                <w:rFonts w:hint="default" w:ascii="Times New Roman" w:hAnsi="Times New Roman" w:eastAsia="宋体" w:cs="Times New Roman"/>
                <w:bCs/>
                <w:color w:val="000000"/>
                <w:kern w:val="0"/>
                <w:sz w:val="24"/>
                <w:szCs w:val="24"/>
                <w:lang w:val="en-US" w:eastAsia="zh-CN" w:bidi="ar-SA"/>
              </w:rPr>
            </w:pPr>
            <w:r>
              <w:rPr>
                <w:rFonts w:hint="default" w:ascii="Times New Roman" w:hAnsi="Times New Roman" w:cs="Times New Roman"/>
                <w:bCs/>
                <w:color w:val="000000"/>
                <w:sz w:val="24"/>
                <w:szCs w:val="24"/>
                <w:shd w:val="clear" w:color="auto" w:fill="FFFFFF"/>
              </w:rPr>
              <w:t>GGATCCATGGGAAGACCACCTTGC</w:t>
            </w:r>
          </w:p>
        </w:tc>
        <w:tc>
          <w:tcPr>
            <w:tcW w:w="4741" w:type="dxa"/>
            <w:noWrap w:val="0"/>
            <w:vAlign w:val="top"/>
          </w:tcPr>
          <w:p>
            <w:pPr>
              <w:widowControl/>
              <w:jc w:val="left"/>
              <w:rPr>
                <w:rFonts w:hint="default" w:ascii="Times New Roman" w:hAnsi="Times New Roman" w:eastAsia="宋体" w:cs="Times New Roman"/>
                <w:bCs/>
                <w:color w:val="000000"/>
                <w:kern w:val="0"/>
                <w:sz w:val="24"/>
                <w:szCs w:val="24"/>
                <w:lang w:val="en-US" w:eastAsia="zh-CN" w:bidi="ar-SA"/>
              </w:rPr>
            </w:pPr>
            <w:r>
              <w:rPr>
                <w:rFonts w:hint="default" w:ascii="Times New Roman" w:hAnsi="Times New Roman" w:cs="Times New Roman"/>
                <w:bCs/>
                <w:color w:val="000000"/>
                <w:sz w:val="24"/>
                <w:szCs w:val="24"/>
                <w:shd w:val="clear" w:color="auto" w:fill="FFFFFF"/>
              </w:rPr>
              <w:t>GGTACCTTAGAACAACCCTTCTGT</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idowControl/>
              <w:jc w:val="left"/>
              <w:rPr>
                <w:rFonts w:hint="default" w:ascii="Times New Roman" w:hAnsi="Times New Roman" w:eastAsia="宋体" w:cs="Times New Roman"/>
                <w:b w:val="0"/>
                <w:bCs w:val="0"/>
                <w:color w:val="000000"/>
                <w:kern w:val="0"/>
                <w:sz w:val="24"/>
                <w:szCs w:val="24"/>
                <w:lang w:val="en-US" w:eastAsia="zh-CN" w:bidi="ar-SA"/>
              </w:rPr>
            </w:pPr>
            <w:r>
              <w:rPr>
                <w:rFonts w:hint="default" w:ascii="Times New Roman" w:hAnsi="Times New Roman" w:cs="Times New Roman"/>
                <w:b w:val="0"/>
                <w:bCs w:val="0"/>
                <w:color w:val="000000"/>
                <w:kern w:val="0"/>
                <w:sz w:val="24"/>
                <w:szCs w:val="24"/>
              </w:rPr>
              <w:t>pZY101-</w:t>
            </w:r>
            <w:r>
              <w:rPr>
                <w:rFonts w:hint="default" w:ascii="Times New Roman" w:hAnsi="Times New Roman" w:cs="Times New Roman"/>
                <w:b w:val="0"/>
                <w:bCs w:val="0"/>
                <w:i/>
                <w:iCs/>
                <w:color w:val="000000"/>
                <w:kern w:val="0"/>
                <w:sz w:val="24"/>
                <w:szCs w:val="24"/>
              </w:rPr>
              <w:t>GsMYB7</w:t>
            </w:r>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Overexpression test</w:t>
            </w:r>
          </w:p>
        </w:tc>
        <w:tc>
          <w:tcPr>
            <w:tcW w:w="4459"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kern w:val="0"/>
                <w:sz w:val="24"/>
                <w:szCs w:val="24"/>
              </w:rPr>
              <w:t>GGCAGAGGCATCTTCAACG</w:t>
            </w:r>
          </w:p>
        </w:tc>
        <w:tc>
          <w:tcPr>
            <w:tcW w:w="4741"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kern w:val="0"/>
                <w:sz w:val="24"/>
                <w:szCs w:val="24"/>
              </w:rPr>
              <w:t>GCTCACTCATTAGGCACCC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idowControl/>
              <w:jc w:val="left"/>
              <w:rPr>
                <w:rFonts w:hint="default" w:ascii="Times New Roman" w:hAnsi="Times New Roman" w:eastAsia="宋体" w:cs="Times New Roman"/>
                <w:b w:val="0"/>
                <w:bCs w:val="0"/>
                <w:color w:val="000000"/>
                <w:kern w:val="0"/>
                <w:sz w:val="24"/>
                <w:szCs w:val="24"/>
                <w:lang w:val="en-US" w:eastAsia="zh-CN" w:bidi="ar-SA"/>
              </w:rPr>
            </w:pPr>
            <w:r>
              <w:rPr>
                <w:rFonts w:hint="eastAsia" w:ascii="Times New Roman" w:hAnsi="Times New Roman" w:cs="Times New Roman"/>
                <w:b w:val="0"/>
                <w:bCs w:val="0"/>
                <w:color w:val="000000"/>
                <w:kern w:val="0"/>
                <w:sz w:val="24"/>
                <w:szCs w:val="24"/>
                <w:lang w:val="en-US" w:eastAsia="zh-CN"/>
              </w:rPr>
              <w:t>Bar</w:t>
            </w:r>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Bar gene identification</w:t>
            </w:r>
          </w:p>
        </w:tc>
        <w:tc>
          <w:tcPr>
            <w:tcW w:w="4459" w:type="dxa"/>
            <w:noWrap w:val="0"/>
            <w:vAlign w:val="top"/>
          </w:tcPr>
          <w:p>
            <w:pPr>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rPr>
              <w:t>AAGTCCAGCTGCCAGAAACC</w:t>
            </w:r>
          </w:p>
        </w:tc>
        <w:tc>
          <w:tcPr>
            <w:tcW w:w="4741" w:type="dxa"/>
            <w:noWrap w:val="0"/>
            <w:vAlign w:val="top"/>
          </w:tcPr>
          <w:p>
            <w:pPr>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rPr>
              <w:t>AAGCACGGTCAACTTCCGTA</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idowControl/>
              <w:jc w:val="left"/>
              <w:rPr>
                <w:rFonts w:hint="default" w:ascii="Times New Roman" w:hAnsi="Times New Roman" w:eastAsia="宋体" w:cs="Times New Roman"/>
                <w:b w:val="0"/>
                <w:bCs w:val="0"/>
                <w:color w:val="000000"/>
                <w:kern w:val="0"/>
                <w:sz w:val="24"/>
                <w:szCs w:val="24"/>
                <w:lang w:val="en-US" w:eastAsia="zh-CN" w:bidi="ar-SA"/>
              </w:rPr>
            </w:pPr>
            <w:r>
              <w:rPr>
                <w:rFonts w:hint="default" w:ascii="Times New Roman" w:hAnsi="Times New Roman" w:cs="Times New Roman"/>
                <w:b w:val="0"/>
                <w:bCs w:val="0"/>
                <w:color w:val="000000"/>
                <w:kern w:val="0"/>
                <w:sz w:val="24"/>
                <w:szCs w:val="24"/>
              </w:rPr>
              <w:t>pMU103-</w:t>
            </w:r>
            <w:r>
              <w:rPr>
                <w:rFonts w:hint="default" w:ascii="Times New Roman" w:hAnsi="Times New Roman" w:cs="Times New Roman"/>
                <w:b w:val="0"/>
                <w:bCs w:val="0"/>
                <w:i/>
                <w:iCs/>
                <w:color w:val="000000"/>
                <w:kern w:val="0"/>
                <w:sz w:val="24"/>
                <w:szCs w:val="24"/>
              </w:rPr>
              <w:t>GsMYB7</w:t>
            </w:r>
          </w:p>
        </w:tc>
        <w:tc>
          <w:tcPr>
            <w:tcW w:w="2468" w:type="dxa"/>
            <w:noWrap w:val="0"/>
            <w:vAlign w:val="top"/>
          </w:tcPr>
          <w:p>
            <w:pPr>
              <w:wordWrap/>
              <w:spacing w:line="276" w:lineRule="auto"/>
              <w:jc w:val="left"/>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Interference vector fragment cloning</w:t>
            </w:r>
          </w:p>
        </w:tc>
        <w:tc>
          <w:tcPr>
            <w:tcW w:w="4459" w:type="dxa"/>
            <w:noWrap w:val="0"/>
            <w:vAlign w:val="top"/>
          </w:tcPr>
          <w:p>
            <w:pPr>
              <w:widowControl/>
              <w:jc w:val="left"/>
              <w:rPr>
                <w:rFonts w:hint="default" w:ascii="Times New Roman" w:hAnsi="Times New Roman" w:eastAsia="宋体" w:cs="Times New Roman"/>
                <w:bCs/>
                <w:color w:val="000000"/>
                <w:kern w:val="0"/>
                <w:sz w:val="24"/>
                <w:szCs w:val="24"/>
                <w:lang w:val="en-US" w:eastAsia="zh-CN" w:bidi="ar-SA"/>
              </w:rPr>
            </w:pPr>
            <w:r>
              <w:rPr>
                <w:rFonts w:hint="default" w:ascii="Times New Roman" w:hAnsi="Times New Roman" w:cs="Times New Roman"/>
                <w:bCs/>
                <w:color w:val="000000"/>
                <w:sz w:val="24"/>
                <w:szCs w:val="24"/>
                <w:shd w:val="clear" w:color="auto" w:fill="FFFFFF"/>
              </w:rPr>
              <w:t>ATACTAGTGGCGCGCCGGGTGGTAGTGATG</w:t>
            </w:r>
          </w:p>
        </w:tc>
        <w:tc>
          <w:tcPr>
            <w:tcW w:w="4741" w:type="dxa"/>
            <w:noWrap w:val="0"/>
            <w:vAlign w:val="top"/>
          </w:tcPr>
          <w:p>
            <w:pPr>
              <w:widowControl/>
              <w:jc w:val="left"/>
              <w:rPr>
                <w:rFonts w:hint="default" w:ascii="Times New Roman" w:hAnsi="Times New Roman" w:eastAsia="宋体" w:cs="Times New Roman"/>
                <w:bCs/>
                <w:color w:val="000000"/>
                <w:kern w:val="0"/>
                <w:sz w:val="24"/>
                <w:szCs w:val="24"/>
                <w:lang w:val="en-US" w:eastAsia="zh-CN" w:bidi="ar-SA"/>
              </w:rPr>
            </w:pPr>
            <w:r>
              <w:rPr>
                <w:rFonts w:hint="default" w:ascii="Times New Roman" w:hAnsi="Times New Roman" w:cs="Times New Roman"/>
                <w:bCs/>
                <w:color w:val="000000"/>
                <w:sz w:val="24"/>
                <w:szCs w:val="24"/>
                <w:shd w:val="clear" w:color="auto" w:fill="FFFFFF"/>
              </w:rPr>
              <w:t>CCGAGCTCGCCTAGGACTGTGGCTTGCTC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2207" w:type="dxa"/>
            <w:noWrap w:val="0"/>
            <w:vAlign w:val="top"/>
          </w:tcPr>
          <w:p>
            <w:pPr>
              <w:widowControl/>
              <w:jc w:val="left"/>
              <w:rPr>
                <w:rFonts w:hint="default" w:ascii="Times New Roman" w:hAnsi="Times New Roman" w:eastAsia="宋体" w:cs="Times New Roman"/>
                <w:b w:val="0"/>
                <w:bCs w:val="0"/>
                <w:color w:val="000000"/>
                <w:kern w:val="0"/>
                <w:sz w:val="24"/>
                <w:szCs w:val="24"/>
                <w:lang w:val="en-US" w:eastAsia="zh-CN" w:bidi="ar-SA"/>
              </w:rPr>
            </w:pPr>
            <w:r>
              <w:rPr>
                <w:rFonts w:hint="default" w:ascii="Times New Roman" w:hAnsi="Times New Roman" w:cs="Times New Roman"/>
                <w:b w:val="0"/>
                <w:bCs w:val="0"/>
                <w:color w:val="000000"/>
                <w:kern w:val="0"/>
                <w:sz w:val="24"/>
                <w:szCs w:val="24"/>
              </w:rPr>
              <w:t>pMU103-</w:t>
            </w:r>
            <w:r>
              <w:rPr>
                <w:rFonts w:hint="default" w:ascii="Times New Roman" w:hAnsi="Times New Roman" w:cs="Times New Roman"/>
                <w:b w:val="0"/>
                <w:bCs w:val="0"/>
                <w:i/>
                <w:iCs/>
                <w:color w:val="000000"/>
                <w:kern w:val="0"/>
                <w:sz w:val="24"/>
                <w:szCs w:val="24"/>
              </w:rPr>
              <w:t>GsMYB7</w:t>
            </w:r>
            <w:r>
              <w:rPr>
                <w:rFonts w:hint="eastAsia" w:ascii="Times New Roman" w:hAnsi="Times New Roman" w:cs="Times New Roman"/>
                <w:b w:val="0"/>
                <w:bCs w:val="0"/>
                <w:i/>
                <w:iCs/>
                <w:color w:val="000000"/>
                <w:kern w:val="0"/>
                <w:sz w:val="24"/>
                <w:szCs w:val="24"/>
                <w:lang w:val="en-US" w:eastAsia="zh-CN"/>
              </w:rPr>
              <w:t>-</w:t>
            </w:r>
            <w:r>
              <w:rPr>
                <w:rFonts w:hint="default" w:ascii="Times New Roman" w:hAnsi="Times New Roman" w:cs="Times New Roman"/>
                <w:b w:val="0"/>
                <w:bCs w:val="0"/>
                <w:i w:val="0"/>
                <w:iCs w:val="0"/>
                <w:color w:val="000000"/>
                <w:kern w:val="0"/>
                <w:sz w:val="24"/>
                <w:szCs w:val="24"/>
                <w:lang w:val="en-US" w:eastAsia="zh-CN"/>
              </w:rPr>
              <w:t>JD1</w:t>
            </w:r>
          </w:p>
        </w:tc>
        <w:tc>
          <w:tcPr>
            <w:tcW w:w="2468"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Interference vector fragment detection</w:t>
            </w:r>
          </w:p>
        </w:tc>
        <w:tc>
          <w:tcPr>
            <w:tcW w:w="4459"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shd w:val="clear" w:color="auto" w:fill="FFFFFF"/>
              </w:rPr>
              <w:t>ATCTGAATAAGAGGGGAAAC</w:t>
            </w:r>
          </w:p>
        </w:tc>
        <w:tc>
          <w:tcPr>
            <w:tcW w:w="4741"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shd w:val="clear" w:color="auto" w:fill="FFFFFF"/>
              </w:rPr>
              <w:t>GTCCTTAAACACTCATCAGT</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top"/>
          </w:tcPr>
          <w:p>
            <w:pPr>
              <w:widowControl/>
              <w:jc w:val="left"/>
              <w:rPr>
                <w:rFonts w:hint="default" w:ascii="Times New Roman" w:hAnsi="Times New Roman" w:eastAsia="宋体" w:cs="Times New Roman"/>
                <w:b w:val="0"/>
                <w:bCs w:val="0"/>
                <w:color w:val="000000"/>
                <w:kern w:val="0"/>
                <w:sz w:val="24"/>
                <w:szCs w:val="24"/>
                <w:lang w:val="en-US" w:eastAsia="zh-CN" w:bidi="ar-SA"/>
              </w:rPr>
            </w:pPr>
            <w:r>
              <w:rPr>
                <w:rFonts w:hint="default" w:ascii="Times New Roman" w:hAnsi="Times New Roman" w:cs="Times New Roman"/>
                <w:b w:val="0"/>
                <w:bCs w:val="0"/>
                <w:color w:val="000000"/>
                <w:kern w:val="0"/>
                <w:sz w:val="24"/>
                <w:szCs w:val="24"/>
              </w:rPr>
              <w:t>pMU103-</w:t>
            </w:r>
            <w:r>
              <w:rPr>
                <w:rFonts w:hint="default" w:ascii="Times New Roman" w:hAnsi="Times New Roman" w:cs="Times New Roman"/>
                <w:b w:val="0"/>
                <w:bCs w:val="0"/>
                <w:i/>
                <w:iCs/>
                <w:color w:val="000000"/>
                <w:kern w:val="0"/>
                <w:sz w:val="24"/>
                <w:szCs w:val="24"/>
              </w:rPr>
              <w:t>GsMYB7</w:t>
            </w:r>
            <w:r>
              <w:rPr>
                <w:rFonts w:hint="eastAsia" w:ascii="Times New Roman" w:hAnsi="Times New Roman" w:cs="Times New Roman"/>
                <w:b w:val="0"/>
                <w:bCs w:val="0"/>
                <w:i/>
                <w:iCs/>
                <w:color w:val="000000"/>
                <w:kern w:val="0"/>
                <w:sz w:val="24"/>
                <w:szCs w:val="24"/>
                <w:lang w:val="en-US" w:eastAsia="zh-CN"/>
              </w:rPr>
              <w:t>-</w:t>
            </w:r>
            <w:r>
              <w:rPr>
                <w:rFonts w:hint="default" w:ascii="Times New Roman" w:hAnsi="Times New Roman" w:cs="Times New Roman"/>
                <w:b w:val="0"/>
                <w:bCs w:val="0"/>
                <w:i w:val="0"/>
                <w:iCs w:val="0"/>
                <w:color w:val="000000"/>
                <w:kern w:val="0"/>
                <w:sz w:val="24"/>
                <w:szCs w:val="24"/>
                <w:lang w:val="en-US" w:eastAsia="zh-CN"/>
              </w:rPr>
              <w:t>JD2</w:t>
            </w:r>
          </w:p>
        </w:tc>
        <w:tc>
          <w:tcPr>
            <w:tcW w:w="2468"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eastAsia="宋体" w:cs="Times New Roman"/>
                <w:color w:val="000000"/>
                <w:kern w:val="0"/>
                <w:sz w:val="24"/>
                <w:szCs w:val="24"/>
                <w:lang w:val="en-US" w:eastAsia="zh-CN" w:bidi="ar-SA"/>
              </w:rPr>
              <w:t>Interference vector fragment detection</w:t>
            </w:r>
          </w:p>
        </w:tc>
        <w:tc>
          <w:tcPr>
            <w:tcW w:w="4459"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rPr>
              <w:t>TATCATGCGATCATAGGCGT</w:t>
            </w:r>
          </w:p>
        </w:tc>
        <w:tc>
          <w:tcPr>
            <w:tcW w:w="4741" w:type="dxa"/>
            <w:noWrap w:val="0"/>
            <w:vAlign w:val="top"/>
          </w:tcPr>
          <w:p>
            <w:pPr>
              <w:widowControl/>
              <w:jc w:val="left"/>
              <w:rPr>
                <w:rFonts w:hint="default" w:ascii="Times New Roman" w:hAnsi="Times New Roman" w:eastAsia="宋体" w:cs="Times New Roman"/>
                <w:color w:val="000000"/>
                <w:kern w:val="0"/>
                <w:sz w:val="24"/>
                <w:szCs w:val="24"/>
                <w:lang w:val="en-US" w:eastAsia="zh-CN" w:bidi="ar-SA"/>
              </w:rPr>
            </w:pPr>
            <w:r>
              <w:rPr>
                <w:rFonts w:hint="default" w:ascii="Times New Roman" w:hAnsi="Times New Roman" w:cs="Times New Roman"/>
                <w:color w:val="000000"/>
                <w:sz w:val="24"/>
                <w:szCs w:val="24"/>
              </w:rPr>
              <w:t>AGGCTCACCAAACCTTAAAC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left"/>
              <w:rPr>
                <w:rFonts w:hint="eastAsia"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Glyma.12g187600</w:t>
            </w:r>
          </w:p>
        </w:tc>
        <w:tc>
          <w:tcPr>
            <w:tcW w:w="2468" w:type="dxa"/>
            <w:noWrap w:val="0"/>
            <w:vAlign w:val="top"/>
          </w:tcPr>
          <w:p>
            <w:pPr>
              <w:wordWrap/>
              <w:spacing w:line="276" w:lineRule="auto"/>
              <w:jc w:val="left"/>
              <w:rPr>
                <w:rFonts w:hint="default" w:cs="Times New Roman"/>
                <w:color w:val="auto"/>
                <w:kern w:val="0"/>
                <w:sz w:val="24"/>
                <w:szCs w:val="24"/>
                <w:lang w:val="en-US" w:eastAsia="zh-CN"/>
              </w:rPr>
            </w:pPr>
            <w:bookmarkStart w:id="4" w:name="OLE_LINK2"/>
            <w:r>
              <w:rPr>
                <w:rFonts w:hint="default" w:ascii="Times New Roman" w:hAnsi="Times New Roman" w:eastAsia="宋体" w:cs="Times New Roman"/>
                <w:color w:val="auto"/>
                <w:kern w:val="0"/>
                <w:sz w:val="24"/>
                <w:szCs w:val="24"/>
                <w:lang w:val="en-US" w:eastAsia="zh-CN" w:bidi="ar-SA"/>
              </w:rPr>
              <w:t>qRT-PCR</w:t>
            </w:r>
            <w:bookmarkEnd w:id="4"/>
          </w:p>
        </w:tc>
        <w:tc>
          <w:tcPr>
            <w:tcW w:w="4459" w:type="dxa"/>
            <w:noWrap w:val="0"/>
            <w:vAlign w:val="bottom"/>
          </w:tcPr>
          <w:p>
            <w:pPr>
              <w:widowControl/>
              <w:jc w:val="left"/>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CAGCAGGTCTCCGTCGC</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GAGGATCTGGAGCGTGAAGG</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left"/>
              <w:rPr>
                <w:rFonts w:hint="default"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Glyma.16g164800</w:t>
            </w:r>
          </w:p>
        </w:tc>
        <w:tc>
          <w:tcPr>
            <w:tcW w:w="2468" w:type="dxa"/>
            <w:noWrap w:val="0"/>
            <w:vAlign w:val="top"/>
          </w:tcPr>
          <w:p>
            <w:pPr>
              <w:wordWrap/>
              <w:spacing w:line="276" w:lineRule="auto"/>
              <w:jc w:val="left"/>
              <w:rPr>
                <w:rFonts w:hint="eastAsia"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AAGGAGACTCATCATCAGTGACAG</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TGGTGGGTTTTCAGTGACGG</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left"/>
              <w:rPr>
                <w:rFonts w:hint="default"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Glyma.05g191400</w:t>
            </w:r>
          </w:p>
        </w:tc>
        <w:tc>
          <w:tcPr>
            <w:tcW w:w="2468" w:type="dxa"/>
            <w:noWrap w:val="0"/>
            <w:vAlign w:val="top"/>
          </w:tcPr>
          <w:p>
            <w:pPr>
              <w:wordWrap/>
              <w:spacing w:line="276" w:lineRule="auto"/>
              <w:jc w:val="left"/>
              <w:rPr>
                <w:rFonts w:hint="eastAsia"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ACGATCGCATCACCAAGACC</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CACAATTCCTGCTGAAACCTCC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left"/>
              <w:rPr>
                <w:rFonts w:hint="default"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Glyma.07g140000</w:t>
            </w:r>
          </w:p>
        </w:tc>
        <w:tc>
          <w:tcPr>
            <w:tcW w:w="2468" w:type="dxa"/>
            <w:noWrap w:val="0"/>
            <w:vAlign w:val="top"/>
          </w:tcPr>
          <w:p>
            <w:pPr>
              <w:wordWrap/>
              <w:spacing w:line="276" w:lineRule="auto"/>
              <w:jc w:val="left"/>
              <w:rPr>
                <w:rFonts w:hint="eastAsia"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GCAGAATCCCTTGTGATTGTTGA</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AGCACCCACAACCTTGTCAT</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07" w:type="dxa"/>
            <w:noWrap w:val="0"/>
            <w:vAlign w:val="top"/>
          </w:tcPr>
          <w:p>
            <w:pPr>
              <w:numPr>
                <w:ilvl w:val="0"/>
                <w:numId w:val="0"/>
              </w:numPr>
              <w:spacing w:after="120" w:line="276" w:lineRule="auto"/>
              <w:ind w:left="0" w:leftChars="0" w:firstLine="0" w:firstLineChars="0"/>
              <w:jc w:val="left"/>
              <w:rPr>
                <w:rFonts w:hint="default"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Glyma.02g202900</w:t>
            </w:r>
          </w:p>
        </w:tc>
        <w:tc>
          <w:tcPr>
            <w:tcW w:w="2468" w:type="dxa"/>
            <w:noWrap w:val="0"/>
            <w:vAlign w:val="top"/>
          </w:tcPr>
          <w:p>
            <w:pPr>
              <w:wordWrap/>
              <w:spacing w:line="276" w:lineRule="auto"/>
              <w:jc w:val="left"/>
              <w:rPr>
                <w:rFonts w:hint="eastAsia"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CCGTCGTTTATGGTGGTGGA</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CAGGTGCGGAATTCTGGGAG</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left"/>
              <w:rPr>
                <w:rFonts w:hint="default"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Glyma.18g277100</w:t>
            </w:r>
          </w:p>
        </w:tc>
        <w:tc>
          <w:tcPr>
            <w:tcW w:w="2468" w:type="dxa"/>
            <w:noWrap w:val="0"/>
            <w:vAlign w:val="top"/>
          </w:tcPr>
          <w:p>
            <w:pPr>
              <w:wordWrap w:val="0"/>
              <w:spacing w:line="276" w:lineRule="auto"/>
              <w:jc w:val="left"/>
              <w:rPr>
                <w:rFonts w:hint="default"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ACTCTTTGGACCTGCTTGGT</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TCTCAAAAGGGTGGCAAAGAC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both"/>
              <w:rPr>
                <w:rFonts w:hint="default"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Glyma.10g268900</w:t>
            </w:r>
          </w:p>
        </w:tc>
        <w:tc>
          <w:tcPr>
            <w:tcW w:w="2468" w:type="dxa"/>
            <w:noWrap w:val="0"/>
            <w:vAlign w:val="top"/>
          </w:tcPr>
          <w:p>
            <w:pPr>
              <w:wordWrap w:val="0"/>
              <w:spacing w:line="276" w:lineRule="auto"/>
              <w:jc w:val="left"/>
              <w:rPr>
                <w:rFonts w:hint="eastAsia"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ACCCTAGGTCTCAGCCGATT</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GAGCATGATAAGTCCGGCGA</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both"/>
              <w:rPr>
                <w:rFonts w:hint="default"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Glyma.17g246500</w:t>
            </w:r>
          </w:p>
        </w:tc>
        <w:tc>
          <w:tcPr>
            <w:tcW w:w="2468" w:type="dxa"/>
            <w:noWrap w:val="0"/>
            <w:vAlign w:val="top"/>
          </w:tcPr>
          <w:p>
            <w:pPr>
              <w:wordWrap w:val="0"/>
              <w:spacing w:line="276" w:lineRule="auto"/>
              <w:jc w:val="left"/>
              <w:rPr>
                <w:rFonts w:hint="eastAsia"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TCCTCAACCAAACAACGCTCT</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GGATTTTGCGGATCGGAAGC</w:t>
            </w:r>
          </w:p>
        </w:tc>
      </w:tr>
      <w:tr>
        <w:tblPrEx>
          <w:tblBorders>
            <w:top w:val="single" w:color="000000" w:sz="8" w:space="0"/>
            <w:left w:val="none" w:color="auto" w:sz="0" w:space="0"/>
            <w:bottom w:val="single" w:color="000000"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207" w:type="dxa"/>
            <w:noWrap w:val="0"/>
            <w:vAlign w:val="bottom"/>
          </w:tcPr>
          <w:p>
            <w:pPr>
              <w:numPr>
                <w:ilvl w:val="0"/>
                <w:numId w:val="0"/>
              </w:numPr>
              <w:spacing w:after="120" w:line="276" w:lineRule="auto"/>
              <w:ind w:left="0" w:leftChars="0" w:firstLine="0" w:firstLineChars="0"/>
              <w:jc w:val="left"/>
              <w:rPr>
                <w:rFonts w:hint="eastAsia" w:ascii="Times New Roman" w:hAnsi="Times New Roman" w:eastAsia="宋体" w:cs="Times New Roman"/>
                <w:b w:val="0"/>
                <w:bCs w:val="0"/>
                <w:i/>
                <w:iCs/>
                <w:color w:val="auto"/>
                <w:kern w:val="0"/>
                <w:sz w:val="24"/>
                <w:szCs w:val="24"/>
                <w:lang w:val="en-US" w:eastAsia="zh-CN" w:bidi="ar-SA"/>
              </w:rPr>
            </w:pPr>
            <w:r>
              <w:rPr>
                <w:rFonts w:hint="eastAsia" w:ascii="Times New Roman" w:hAnsi="Times New Roman" w:cs="Times New Roman"/>
                <w:b w:val="0"/>
                <w:bCs w:val="0"/>
                <w:i/>
                <w:iCs/>
                <w:color w:val="auto"/>
                <w:kern w:val="0"/>
                <w:sz w:val="24"/>
                <w:szCs w:val="24"/>
                <w:lang w:val="en-US" w:eastAsia="zh-CN"/>
              </w:rPr>
              <w:t>Glyma.13g338400</w:t>
            </w:r>
          </w:p>
        </w:tc>
        <w:tc>
          <w:tcPr>
            <w:tcW w:w="2468" w:type="dxa"/>
            <w:noWrap w:val="0"/>
            <w:vAlign w:val="top"/>
          </w:tcPr>
          <w:p>
            <w:pPr>
              <w:wordWrap w:val="0"/>
              <w:spacing w:line="276" w:lineRule="auto"/>
              <w:jc w:val="left"/>
              <w:rPr>
                <w:rFonts w:hint="eastAsia"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qRT-PCR</w:t>
            </w:r>
          </w:p>
        </w:tc>
        <w:tc>
          <w:tcPr>
            <w:tcW w:w="4459"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TTTCCAGCAGAGGCATGAGG</w:t>
            </w:r>
          </w:p>
        </w:tc>
        <w:tc>
          <w:tcPr>
            <w:tcW w:w="4741" w:type="dxa"/>
            <w:noWrap w:val="0"/>
            <w:vAlign w:val="bottom"/>
          </w:tcPr>
          <w:p>
            <w:pPr>
              <w:widowControl/>
              <w:jc w:val="left"/>
              <w:rPr>
                <w:rFonts w:hint="eastAsia"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TGCAACCCAGAAGTTTAGGCT</w:t>
            </w:r>
          </w:p>
        </w:tc>
      </w:tr>
    </w:tbl>
    <w:p>
      <w:pPr>
        <w:sectPr>
          <w:pgSz w:w="16838" w:h="11906" w:orient="landscape"/>
          <w:pgMar w:top="1800" w:right="1440" w:bottom="1800" w:left="1440" w:header="851" w:footer="992" w:gutter="0"/>
          <w:cols w:space="425" w:num="1"/>
          <w:docGrid w:type="lines" w:linePitch="312" w:charSpace="0"/>
        </w:sectPr>
      </w:pPr>
    </w:p>
    <w:p>
      <w:pPr>
        <w:widowControl w:val="0"/>
        <w:adjustRightInd/>
        <w:snapToGrid/>
        <w:spacing w:before="100" w:beforeAutospacing="1" w:after="0" w:line="360" w:lineRule="auto"/>
        <w:jc w:val="center"/>
        <w:rPr>
          <w:rFonts w:ascii="Times New Roman" w:hAnsi="Times New Roman" w:eastAsia="宋体" w:cs="Times New Roman"/>
          <w:b/>
          <w:kern w:val="2"/>
          <w:sz w:val="28"/>
          <w:szCs w:val="28"/>
        </w:rPr>
      </w:pPr>
      <w:r>
        <w:rPr>
          <w:rFonts w:hint="eastAsia" w:ascii="Times New Roman" w:hAnsi="Times New Roman" w:eastAsia="宋体" w:cs="Times New Roman"/>
          <w:b/>
          <w:bCs/>
          <w:kern w:val="2"/>
          <w:sz w:val="28"/>
          <w:szCs w:val="28"/>
        </w:rPr>
        <w:t>T</w:t>
      </w:r>
      <w:r>
        <w:rPr>
          <w:rFonts w:ascii="Times New Roman" w:hAnsi="Times New Roman" w:eastAsia="宋体" w:cs="Times New Roman"/>
          <w:b/>
          <w:bCs/>
          <w:kern w:val="2"/>
          <w:sz w:val="28"/>
          <w:szCs w:val="28"/>
        </w:rPr>
        <w:t xml:space="preserve">able </w:t>
      </w:r>
      <w:r>
        <w:rPr>
          <w:rFonts w:hint="eastAsia" w:ascii="Times New Roman" w:hAnsi="Times New Roman" w:eastAsia="宋体" w:cs="Times New Roman"/>
          <w:b/>
          <w:bCs/>
          <w:kern w:val="2"/>
          <w:sz w:val="28"/>
          <w:szCs w:val="28"/>
        </w:rPr>
        <w:t>S</w:t>
      </w:r>
      <w:r>
        <w:rPr>
          <w:rFonts w:hint="eastAsia" w:ascii="Times New Roman" w:hAnsi="Times New Roman" w:cs="Times New Roman"/>
          <w:b/>
          <w:bCs/>
          <w:kern w:val="2"/>
          <w:sz w:val="28"/>
          <w:szCs w:val="28"/>
          <w:lang w:val="en-US" w:eastAsia="zh-CN"/>
        </w:rPr>
        <w:t>4</w:t>
      </w:r>
      <w:r>
        <w:rPr>
          <w:rFonts w:hint="eastAsia" w:ascii="Times New Roman" w:hAnsi="Times New Roman" w:eastAsia="宋体" w:cs="Times New Roman"/>
          <w:b/>
          <w:bCs/>
          <w:kern w:val="2"/>
          <w:sz w:val="28"/>
          <w:szCs w:val="28"/>
        </w:rPr>
        <w:t>.</w:t>
      </w:r>
      <w:r>
        <w:rPr>
          <w:rFonts w:ascii="Times New Roman" w:hAnsi="Times New Roman" w:eastAsia="宋体" w:cs="Times New Roman"/>
          <w:b/>
          <w:bCs/>
          <w:kern w:val="2"/>
          <w:sz w:val="28"/>
          <w:szCs w:val="28"/>
        </w:rPr>
        <w:t xml:space="preserve"> The information of </w:t>
      </w:r>
      <w:r>
        <w:rPr>
          <w:rFonts w:hint="eastAsia" w:ascii="Times New Roman" w:hAnsi="Times New Roman" w:eastAsia="宋体" w:cs="Times New Roman"/>
          <w:b/>
          <w:i/>
          <w:kern w:val="2"/>
          <w:sz w:val="28"/>
          <w:szCs w:val="28"/>
          <w:lang w:val="en-US" w:eastAsia="zh-CN"/>
        </w:rPr>
        <w:t>MYB</w:t>
      </w:r>
      <w:r>
        <w:rPr>
          <w:rFonts w:ascii="Times New Roman" w:hAnsi="Times New Roman" w:eastAsia="宋体" w:cs="Times New Roman"/>
          <w:b/>
          <w:kern w:val="2"/>
          <w:sz w:val="28"/>
          <w:szCs w:val="28"/>
        </w:rPr>
        <w:t xml:space="preserve"> genes from soybean</w:t>
      </w:r>
    </w:p>
    <w:tbl>
      <w:tblPr>
        <w:tblStyle w:val="3"/>
        <w:tblW w:w="4863" w:type="pct"/>
        <w:jc w:val="center"/>
        <w:tblLayout w:type="fixed"/>
        <w:tblCellMar>
          <w:top w:w="0" w:type="dxa"/>
          <w:left w:w="108" w:type="dxa"/>
          <w:bottom w:w="0" w:type="dxa"/>
          <w:right w:w="108" w:type="dxa"/>
        </w:tblCellMar>
      </w:tblPr>
      <w:tblGrid>
        <w:gridCol w:w="1030"/>
        <w:gridCol w:w="1296"/>
        <w:gridCol w:w="1295"/>
        <w:gridCol w:w="2059"/>
        <w:gridCol w:w="8106"/>
      </w:tblGrid>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
                <w:color w:val="000000"/>
                <w:kern w:val="0"/>
                <w:sz w:val="22"/>
                <w:szCs w:val="22"/>
              </w:rPr>
            </w:pPr>
            <w:r>
              <w:rPr>
                <w:rFonts w:ascii="Times New Roman" w:hAnsi="Times New Roman" w:eastAsia="宋体" w:cs="Times New Roman"/>
                <w:b/>
                <w:color w:val="000000"/>
                <w:kern w:val="0"/>
                <w:sz w:val="22"/>
                <w:szCs w:val="22"/>
              </w:rPr>
              <w:t>Serial number</w:t>
            </w:r>
          </w:p>
        </w:tc>
        <w:tc>
          <w:tcPr>
            <w:tcW w:w="470"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
                <w:color w:val="000000"/>
                <w:kern w:val="0"/>
                <w:sz w:val="22"/>
                <w:szCs w:val="22"/>
              </w:rPr>
            </w:pPr>
            <w:r>
              <w:rPr>
                <w:rFonts w:ascii="Times New Roman" w:hAnsi="Times New Roman" w:eastAsia="宋体" w:cs="Times New Roman"/>
                <w:b/>
                <w:color w:val="000000"/>
                <w:kern w:val="0"/>
                <w:sz w:val="22"/>
                <w:szCs w:val="22"/>
              </w:rPr>
              <w:t>Gene</w:t>
            </w:r>
          </w:p>
        </w:tc>
        <w:tc>
          <w:tcPr>
            <w:tcW w:w="46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
                <w:color w:val="000000"/>
                <w:kern w:val="0"/>
                <w:sz w:val="22"/>
                <w:szCs w:val="22"/>
              </w:rPr>
            </w:pPr>
            <w:r>
              <w:rPr>
                <w:rFonts w:ascii="Times New Roman" w:hAnsi="Times New Roman" w:eastAsia="宋体" w:cs="Times New Roman"/>
                <w:b/>
                <w:color w:val="000000"/>
                <w:kern w:val="0"/>
                <w:sz w:val="22"/>
                <w:szCs w:val="22"/>
              </w:rPr>
              <w:t>Gene ID</w:t>
            </w:r>
          </w:p>
        </w:tc>
        <w:tc>
          <w:tcPr>
            <w:tcW w:w="74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
                <w:color w:val="000000"/>
                <w:kern w:val="0"/>
                <w:sz w:val="22"/>
                <w:szCs w:val="22"/>
              </w:rPr>
            </w:pPr>
            <w:r>
              <w:rPr>
                <w:rFonts w:ascii="Times New Roman" w:hAnsi="Times New Roman" w:eastAsia="宋体" w:cs="Times New Roman"/>
                <w:b/>
                <w:color w:val="000000"/>
                <w:kern w:val="0"/>
                <w:sz w:val="22"/>
                <w:szCs w:val="22"/>
              </w:rPr>
              <w:t>Locus tag</w:t>
            </w:r>
          </w:p>
        </w:tc>
        <w:tc>
          <w:tcPr>
            <w:tcW w:w="293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b/>
                <w:color w:val="000000"/>
                <w:kern w:val="0"/>
                <w:sz w:val="22"/>
                <w:szCs w:val="22"/>
              </w:rPr>
            </w:pPr>
            <w:r>
              <w:rPr>
                <w:rFonts w:ascii="Times New Roman" w:hAnsi="Times New Roman" w:eastAsia="宋体" w:cs="Times New Roman"/>
                <w:b/>
                <w:color w:val="000000"/>
                <w:kern w:val="0"/>
                <w:sz w:val="22"/>
                <w:szCs w:val="22"/>
              </w:rPr>
              <w:t>References</w:t>
            </w:r>
          </w:p>
        </w:tc>
      </w:tr>
      <w:tr>
        <w:tblPrEx>
          <w:tblCellMar>
            <w:top w:w="0" w:type="dxa"/>
            <w:left w:w="108" w:type="dxa"/>
            <w:bottom w:w="0" w:type="dxa"/>
            <w:right w:w="108" w:type="dxa"/>
          </w:tblCellMar>
        </w:tblPrEx>
        <w:trPr>
          <w:trHeight w:val="57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GmMYB181</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778046</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GLYMA_16G073000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bCs/>
                <w:color w:val="000000"/>
                <w:kern w:val="0"/>
                <w:sz w:val="20"/>
                <w:szCs w:val="20"/>
              </w:rPr>
            </w:pPr>
          </w:p>
        </w:tc>
      </w:tr>
      <w:tr>
        <w:tblPrEx>
          <w:tblCellMar>
            <w:top w:w="0" w:type="dxa"/>
            <w:left w:w="108" w:type="dxa"/>
            <w:bottom w:w="0" w:type="dxa"/>
            <w:right w:w="108" w:type="dxa"/>
          </w:tblCellMar>
        </w:tblPrEx>
        <w:trPr>
          <w:trHeight w:val="541"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GmMYB14</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100101836</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GLYMA_15G259400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bCs/>
                <w:color w:val="000000"/>
                <w:kern w:val="0"/>
                <w:sz w:val="20"/>
                <w:szCs w:val="20"/>
              </w:rPr>
            </w:pPr>
            <w:bookmarkStart w:id="5" w:name="_nebEF68D19F_2FE4_4DE4_9F3C_31BF2F02111F"/>
            <w:r>
              <w:rPr>
                <w:rFonts w:hint="default" w:ascii="Times New Roman" w:hAnsi="Times New Roman" w:eastAsia="宋体" w:cs="Times New Roman"/>
                <w:bCs/>
                <w:color w:val="000000"/>
                <w:kern w:val="0"/>
                <w:sz w:val="20"/>
                <w:szCs w:val="20"/>
              </w:rPr>
              <w:t>Holl, J., Vannozzi, A., Czemmel, S., D'Onofrio, C., and Walker, A.R., et al. (2013). The R2R3-MYB transcription factors MYB14 and MYB15 regulate stilbene biosynthesis in Vitis vinifera. Plant Cell 25, 4135-4149. doi:10.1105/tpc.113.117127</w:t>
            </w:r>
            <w:bookmarkEnd w:id="5"/>
          </w:p>
        </w:tc>
      </w:tr>
      <w:tr>
        <w:tblPrEx>
          <w:tblCellMar>
            <w:top w:w="0" w:type="dxa"/>
            <w:left w:w="108" w:type="dxa"/>
            <w:bottom w:w="0" w:type="dxa"/>
            <w:right w:w="108" w:type="dxa"/>
          </w:tblCellMar>
        </w:tblPrEx>
        <w:trPr>
          <w:trHeight w:val="548"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GmMYB12B2</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100819467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GLYMA_19G218800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bCs/>
                <w:color w:val="000000"/>
                <w:kern w:val="0"/>
                <w:sz w:val="20"/>
                <w:szCs w:val="20"/>
              </w:rPr>
            </w:pPr>
            <w:bookmarkStart w:id="6" w:name="_nebBE45D4D3_450B_4111_ADB2_33940BE8FB37"/>
            <w:r>
              <w:rPr>
                <w:rFonts w:hint="default" w:ascii="Times New Roman" w:hAnsi="Times New Roman" w:eastAsia="宋体" w:cs="Times New Roman"/>
                <w:bCs/>
                <w:color w:val="000000"/>
                <w:kern w:val="0"/>
                <w:sz w:val="20"/>
                <w:szCs w:val="20"/>
              </w:rPr>
              <w:t>Li, X.W., Li, J.W., Zhai, Y., Zhao, Y., and Zhao, X., et al. (2013). A R2R3-MYB transcription factor, GmMYB12B2, affects the expression levels of flavonoid biosynthesis genes encoding key enzymes in transgenic Arabidopsis plants. Gene 532, 72-79. doi:10.1016/j.gene.2013.09.015</w:t>
            </w:r>
            <w:bookmarkEnd w:id="6"/>
          </w:p>
        </w:tc>
      </w:tr>
      <w:tr>
        <w:tblPrEx>
          <w:tblCellMar>
            <w:top w:w="0" w:type="dxa"/>
            <w:left w:w="108" w:type="dxa"/>
            <w:bottom w:w="0" w:type="dxa"/>
            <w:right w:w="108" w:type="dxa"/>
          </w:tblCellMar>
        </w:tblPrEx>
        <w:trPr>
          <w:trHeight w:val="57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GmMYBJ1</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100818077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GLYMA_05G051700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bCs/>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GmMYB84</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778042</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i/>
                <w:iCs/>
                <w:color w:val="000000"/>
                <w:kern w:val="0"/>
                <w:sz w:val="20"/>
                <w:szCs w:val="20"/>
              </w:rPr>
            </w:pPr>
            <w:r>
              <w:rPr>
                <w:rFonts w:ascii="Times New Roman" w:hAnsi="Times New Roman" w:eastAsia="宋体" w:cs="Times New Roman"/>
                <w:i/>
                <w:iCs/>
                <w:color w:val="000000"/>
                <w:kern w:val="0"/>
                <w:sz w:val="20"/>
                <w:szCs w:val="20"/>
              </w:rPr>
              <w:t>GLYMA_05G234600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7" w:name="_neb5E3C8020_6222_491F_8CF5_63ACC486576C"/>
            <w:r>
              <w:rPr>
                <w:rFonts w:hint="default" w:ascii="Times New Roman" w:hAnsi="Times New Roman" w:eastAsia="宋体" w:cs="Times New Roman"/>
                <w:color w:val="000000"/>
                <w:kern w:val="0"/>
                <w:sz w:val="20"/>
                <w:szCs w:val="20"/>
              </w:rPr>
              <w:t>Zhang, W., Wang, N., Yang, J., Guo, H., and Liu, Z., et al. (2020). The salt-induced transcription factor GmMYB84 confers salinity tolerance in soybean. Plant Sci 291, 110326. doi:10.1016/j.plantsci.2019.110326</w:t>
            </w:r>
            <w:bookmarkEnd w:id="7"/>
          </w:p>
        </w:tc>
      </w:tr>
      <w:tr>
        <w:tblPrEx>
          <w:tblCellMar>
            <w:top w:w="0" w:type="dxa"/>
            <w:left w:w="108" w:type="dxa"/>
            <w:bottom w:w="0" w:type="dxa"/>
            <w:right w:w="108" w:type="dxa"/>
          </w:tblCellMar>
        </w:tblPrEx>
        <w:trPr>
          <w:trHeight w:val="384"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GmMYBJ3</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100794319</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hint="eastAsia" w:ascii="Times New Roman" w:hAnsi="Times New Roman" w:eastAsia="宋体" w:cs="Times New Roman"/>
                <w:bCs/>
                <w:i/>
                <w:iCs/>
                <w:color w:val="000000"/>
                <w:kern w:val="0"/>
                <w:sz w:val="20"/>
                <w:szCs w:val="20"/>
              </w:rPr>
              <w:t>GLYMA_06G193600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GmMYBZ2</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780553</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GLYMA_11G107100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8</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GmMYB54</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778030</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GLYMA_12G032200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8" w:name="_neb842DBD17_2EEF_4FD9_B0BF_CE51E94F2ED1"/>
            <w:r>
              <w:rPr>
                <w:rFonts w:hint="default" w:ascii="Times New Roman" w:hAnsi="Times New Roman" w:eastAsia="宋体" w:cs="Times New Roman"/>
                <w:color w:val="000000"/>
                <w:kern w:val="0"/>
                <w:sz w:val="20"/>
                <w:szCs w:val="20"/>
              </w:rPr>
              <w:t>Zhong, R., and Ye, Z.H. (2012). MYB46 and MYB83 bind to the SMRE sites and directly activate a suite of transcription factors and secondary wall biosynthetic genes. Plant Cell Physiol 53, 368-380. doi:10.1093/pcp/pcr185</w:t>
            </w:r>
            <w:bookmarkEnd w:id="8"/>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9</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bookmarkStart w:id="9" w:name="OLE_LINK1"/>
            <w:r>
              <w:rPr>
                <w:rFonts w:hint="eastAsia" w:ascii="Times New Roman" w:hAnsi="Times New Roman" w:eastAsia="宋体" w:cs="Times New Roman"/>
                <w:bCs/>
                <w:i/>
                <w:iCs/>
                <w:color w:val="000000"/>
                <w:kern w:val="0"/>
                <w:sz w:val="20"/>
                <w:szCs w:val="20"/>
                <w:lang w:val="en-US" w:eastAsia="zh-CN"/>
              </w:rPr>
              <w:t>GmMYB48</w:t>
            </w:r>
            <w:bookmarkEnd w:id="9"/>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778031</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GLYMA_06G003800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0" w:name="_neb2B5CC498_A53C_403F_BC84_A7606C5798EA"/>
            <w:r>
              <w:rPr>
                <w:rFonts w:hint="default" w:ascii="Times New Roman" w:hAnsi="Times New Roman" w:eastAsia="宋体" w:cs="Times New Roman"/>
                <w:color w:val="000000"/>
                <w:kern w:val="0"/>
                <w:sz w:val="20"/>
                <w:szCs w:val="20"/>
              </w:rPr>
              <w:t>Ashrafi-Dehkordi, E., Alemzadeh, A., Tanaka, N., and Razi, H. (2018). Meta-analysis of transcriptomic responses to biotic and abiotic stress in tomato. PeerJ 6, e4631. doi:10.7717/peerj.4631</w:t>
            </w:r>
            <w:bookmarkEnd w:id="10"/>
          </w:p>
        </w:tc>
      </w:tr>
      <w:tr>
        <w:tblPrEx>
          <w:tblCellMar>
            <w:top w:w="0" w:type="dxa"/>
            <w:left w:w="108" w:type="dxa"/>
            <w:bottom w:w="0" w:type="dxa"/>
            <w:right w:w="108" w:type="dxa"/>
          </w:tblCellMar>
        </w:tblPrEx>
        <w:trPr>
          <w:trHeight w:val="474"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GmMYB56</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778033</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GLYMA_06G160500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1" w:name="_neb8F1C5A0F_8A81_4DC7_852A_045C020D7541"/>
            <w:r>
              <w:rPr>
                <w:rFonts w:hint="default" w:ascii="Times New Roman" w:hAnsi="Times New Roman" w:eastAsia="宋体" w:cs="Times New Roman"/>
                <w:color w:val="000000"/>
                <w:kern w:val="0"/>
                <w:sz w:val="20"/>
                <w:szCs w:val="20"/>
              </w:rPr>
              <w:t>Zhang, Y., Liang, W., Shi, J., Xu, J., and Zhang, D. (2013). MYB56 encoding a R2R3 MYB transcription factor regulates seed size in Arabidopsis thaliana. J Integr Plant Biol 55, 1166-1178. doi:10.1111/jipb.12094</w:t>
            </w:r>
            <w:bookmarkEnd w:id="11"/>
          </w:p>
        </w:tc>
      </w:tr>
      <w:tr>
        <w:tblPrEx>
          <w:tblCellMar>
            <w:top w:w="0" w:type="dxa"/>
            <w:left w:w="108" w:type="dxa"/>
            <w:bottom w:w="0" w:type="dxa"/>
            <w:right w:w="108" w:type="dxa"/>
          </w:tblCellMar>
        </w:tblPrEx>
        <w:trPr>
          <w:trHeight w:val="424"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11</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GmMYB185</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778044</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GLYMA_19G257400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12</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
                <w:bCs/>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GmMYB92</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100101857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GLYMA_16G023000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2" w:name="_nebF4790F16_6CEA_476A_91BC_D71EACB70C92"/>
            <w:r>
              <w:rPr>
                <w:rFonts w:hint="default" w:ascii="Times New Roman" w:hAnsi="Times New Roman" w:eastAsia="宋体" w:cs="Times New Roman"/>
                <w:color w:val="000000"/>
                <w:kern w:val="0"/>
                <w:sz w:val="20"/>
                <w:szCs w:val="20"/>
              </w:rPr>
              <w:t>Sun, Q., Lu, H., Zhang, Q., Wang, D., and Chen, J., et al. (2021). Transcriptome sequencing of wild soybean revealed gene expression dynamics under  low nitrogen stress. J Appl Genet. doi:10.1007/s13353-021-00628-1</w:t>
            </w:r>
            <w:bookmarkEnd w:id="12"/>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13</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GmMYB20</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100803624</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GLYMA_11G215800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3" w:name="_neb58F85CFD_B181_400B_B980_44131343B53F"/>
            <w:r>
              <w:rPr>
                <w:rFonts w:hint="default" w:ascii="Times New Roman" w:hAnsi="Times New Roman" w:eastAsia="宋体" w:cs="Times New Roman"/>
                <w:color w:val="000000"/>
                <w:kern w:val="0"/>
                <w:sz w:val="20"/>
                <w:szCs w:val="20"/>
              </w:rPr>
              <w:t>Geng, P., Zhang, S., Liu, J., Zhao, C., and Wu, J., et al. (2020). MYB20, MYB42, MYB43, and MYB85 regulate phenylalanine and lignin biosynthesis during secondary cell wall formation. Plant Physiol 182, 1272-1283. doi:10.1104/pp.19.01070</w:t>
            </w:r>
            <w:bookmarkEnd w:id="13"/>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14</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GmMYB106</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100792994</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GLYMA_02G110200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Liu, H., Fangfang, N., Youshun, L., Shuang, W., and Liyuan, C., et al. (2021). MYB106 is a negative regulator and a substrate for CRL3~(BPM) E3 ligase in regulating flowering time in Arabidopsis thaliana. Journal of Integrative Plant Biology 63, 1104-1119.</w:t>
            </w: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15</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GmMYB86</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778182</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GLYMA_03G227700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16</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GmMYB64</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100037467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GLYMA_19G222200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4" w:name="_neb934C41EF_8DB6_4D8F_A2A3_46D853C5127F"/>
            <w:r>
              <w:rPr>
                <w:rFonts w:hint="default" w:ascii="Times New Roman" w:hAnsi="Times New Roman" w:eastAsia="宋体" w:cs="Times New Roman"/>
                <w:color w:val="000000"/>
                <w:kern w:val="0"/>
                <w:sz w:val="20"/>
                <w:szCs w:val="20"/>
              </w:rPr>
              <w:t>Rabiger, D.S., and Drews, G.N. (2013). MYB64 and MYB119 are required for cellularization and differentiation during female gametogenesis in Arabidopsis thaliana. PLoS Genet 9, e1003783. doi:10.1371/journal.pgen.1003783</w:t>
            </w:r>
            <w:bookmarkEnd w:id="14"/>
          </w:p>
        </w:tc>
      </w:tr>
      <w:tr>
        <w:tblPrEx>
          <w:tblCellMar>
            <w:top w:w="0" w:type="dxa"/>
            <w:left w:w="108" w:type="dxa"/>
            <w:bottom w:w="0" w:type="dxa"/>
            <w:right w:w="108" w:type="dxa"/>
          </w:tblCellMar>
        </w:tblPrEx>
        <w:trPr>
          <w:trHeight w:val="6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17</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GmMYB4</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100810385</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GLYMA_12G199100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5" w:name="_nebA7DFCA23_BF6E_4503_B07C_2D14A1539605"/>
            <w:r>
              <w:rPr>
                <w:rFonts w:hint="default" w:ascii="Times New Roman" w:hAnsi="Times New Roman" w:eastAsia="宋体" w:cs="Times New Roman"/>
                <w:color w:val="000000"/>
                <w:kern w:val="0"/>
                <w:sz w:val="20"/>
                <w:szCs w:val="20"/>
              </w:rPr>
              <w:t>Agarwal, P., Mitra, M., Banerjee, S., and Roy, S. (2020). MYB4 transcription factor, a member of R2R3-subfamily of MYB domain protein, regulates cadmium tolerance via enhanced protection against oxidative damage and  increases expression of PCS1 and MT1C in Arabidopsis. Plant Sci 297, 110501. doi:10.1016/j.plantsci.2020.110501</w:t>
            </w:r>
            <w:bookmarkEnd w:id="15"/>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18</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w:t>
            </w:r>
            <w:r>
              <w:rPr>
                <w:rFonts w:hint="eastAsia" w:ascii="Times New Roman" w:hAnsi="Times New Roman" w:eastAsia="宋体" w:cs="Times New Roman"/>
                <w:i/>
                <w:iCs/>
                <w:color w:val="000000"/>
                <w:kern w:val="0"/>
                <w:sz w:val="20"/>
                <w:szCs w:val="20"/>
                <w:lang w:val="en-US" w:eastAsia="zh-CN"/>
              </w:rPr>
              <w:t>29B2</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100807569</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GLYMA_20G209700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19</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GmMYB80</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100800764</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GLYMA_18G071600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6" w:name="_neb43BBCD1C_8BA2_468B_97EC_7AD1D6F83EC7"/>
            <w:r>
              <w:rPr>
                <w:rFonts w:hint="default" w:ascii="Times New Roman" w:hAnsi="Times New Roman" w:eastAsia="宋体" w:cs="Times New Roman"/>
                <w:color w:val="000000"/>
                <w:kern w:val="0"/>
                <w:sz w:val="20"/>
                <w:szCs w:val="20"/>
              </w:rPr>
              <w:t>Phan, H.A., Iacuone, S., Li, S.F., and Parish, R.W. (2011). The MYB80 transcription factor is required for pollen development and the regulation of tapetal programmed cell death in Arabidopsis thaliana. Plant Cell 23, 2209-2224. doi:10.1105/tpc.110.082651</w:t>
            </w:r>
            <w:bookmarkEnd w:id="16"/>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20</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GmMYBJ2</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100807020</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GLYMA_04G170100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21</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GmMYB60</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778080</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GLYMA_18G259100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7" w:name="_neb6447112C_E645_4BB8_8B07_2257EBCD3876"/>
            <w:r>
              <w:rPr>
                <w:rFonts w:hint="default" w:ascii="Times New Roman" w:hAnsi="Times New Roman" w:eastAsia="宋体" w:cs="Times New Roman"/>
                <w:color w:val="000000"/>
                <w:kern w:val="0"/>
                <w:sz w:val="20"/>
                <w:szCs w:val="20"/>
              </w:rPr>
              <w:t>Oh, J.E., Kwon, Y., Kim, J.H., Noh, H., and Hong, S.W., et al. (2011). A dual role for MYB60 in stomatal regulation and root growth of Arabidopsis thaliana under drought stress. Plant Mol Biol 77, 91-103. doi:10.1007/s11103-011-9796-7</w:t>
            </w:r>
            <w:bookmarkEnd w:id="17"/>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22</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GmMYB53</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780542</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GLYMA_13G063200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23</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GmMYB81</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778175</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GLYMA_14G086500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8" w:name="_neb62E7D680_33B4_4BBD_B6EB_9BF096DDA6E9"/>
            <w:r>
              <w:rPr>
                <w:rFonts w:hint="default" w:ascii="Times New Roman" w:hAnsi="Times New Roman" w:eastAsia="宋体" w:cs="Times New Roman"/>
                <w:color w:val="000000"/>
                <w:kern w:val="0"/>
                <w:sz w:val="20"/>
                <w:szCs w:val="20"/>
              </w:rPr>
              <w:t>Oh, S.A., Hoai, T., Park, H.J., Zhao, M., and Twell, D., et al. (2020). MYB81, a microspore-specific GAMYB transcription factor, promotes pollen mitosis  I and cell lineage formation in Arabidopsis. Plant J 101, 590-603. doi:10.1111/tpj.14564</w:t>
            </w:r>
            <w:bookmarkEnd w:id="18"/>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24</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GmMYB17</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100807142</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GLYMA_10G236400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25</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GmMYB149</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778091</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GLYMA_08G293300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26</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GmMYB51</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778077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GLYMA_03G078000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19" w:name="_nebBCF793D5_1190_4651_B8FE_C024B5074EFA"/>
            <w:r>
              <w:rPr>
                <w:rFonts w:hint="default" w:ascii="Times New Roman" w:hAnsi="Times New Roman" w:eastAsia="宋体" w:cs="Times New Roman"/>
                <w:color w:val="000000"/>
                <w:kern w:val="0"/>
                <w:sz w:val="20"/>
                <w:szCs w:val="20"/>
              </w:rPr>
              <w:t>Frerigmann, H., and Gigolashvili, T. (2014). MYB34, MYB51, and MYB122 distinctly regulate indolic glucosinolate biosynthesis in Arabidopsis thaliana. Mol Plant 7, 814-828. doi:10.1093/mp/ssu004</w:t>
            </w:r>
            <w:bookmarkEnd w:id="19"/>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27</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GmMYB109</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778049</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GLYMA_17G121000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0" w:name="_nebE15D9802_9A9A_4766_8AF8_309C19CC766D"/>
            <w:r>
              <w:rPr>
                <w:rFonts w:hint="default" w:ascii="Times New Roman" w:hAnsi="Times New Roman" w:eastAsia="宋体" w:cs="Times New Roman"/>
                <w:color w:val="000000"/>
                <w:kern w:val="0"/>
                <w:sz w:val="20"/>
                <w:szCs w:val="20"/>
              </w:rPr>
              <w:t>So, W.M., Huque, A., Shin, H.Y., Kim, S.Y., and Shin, J.S., et al. (2020). AtMYB109 negatively regulates stomatal closure under osmotic stress in Arabidopsis thaliana. J Plant Physiol 255, 153292. doi:10.1016/j.jplph.2020.153292</w:t>
            </w:r>
            <w:bookmarkEnd w:id="20"/>
          </w:p>
        </w:tc>
      </w:tr>
      <w:tr>
        <w:tblPrEx>
          <w:tblCellMar>
            <w:top w:w="0" w:type="dxa"/>
            <w:left w:w="108" w:type="dxa"/>
            <w:bottom w:w="0" w:type="dxa"/>
            <w:right w:w="108" w:type="dxa"/>
          </w:tblCellMar>
        </w:tblPrEx>
        <w:trPr>
          <w:trHeight w:val="354"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28</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GmMYB50</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778197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GLYMA_11G052100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29</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GmMYB68</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778037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GLYMA_04G042300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30</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GmMYB70</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778174</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GLYMA_17G237900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1" w:name="_neb218CAE9C_10BC_4798_AB9A_86F11F377808"/>
            <w:r>
              <w:rPr>
                <w:rFonts w:hint="default" w:ascii="Times New Roman" w:hAnsi="Times New Roman" w:eastAsia="宋体" w:cs="Times New Roman"/>
                <w:color w:val="000000"/>
                <w:kern w:val="0"/>
                <w:sz w:val="20"/>
                <w:szCs w:val="20"/>
              </w:rPr>
              <w:t>Cao, H., Chen, J., Yue, M., Xu, C., and Jian, W., et al. (2020). Tomato transcriptional repressor MYB70 directly regulates ethylene-dependent fruit ripening. Plant J 104, 1568-1581. doi:10.1111/tpj.15021</w:t>
            </w:r>
            <w:bookmarkEnd w:id="21"/>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31</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GmMYB107</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778177</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GLYMA_08G189900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r>
              <w:rPr>
                <w:rFonts w:hint="eastAsia" w:ascii="Times New Roman" w:hAnsi="Times New Roman" w:eastAsia="宋体" w:cs="Times New Roman"/>
                <w:color w:val="000000"/>
                <w:kern w:val="0"/>
                <w:sz w:val="20"/>
                <w:szCs w:val="20"/>
              </w:rPr>
              <w:t>Gou, M., Hou, G., Yang, H., Zhang, X., and Cai, Y., et al. (2017). The MYB107 transcription factor positively regulates suberin biosynthesis. Plant Physiol 173, 1045-1058. doi:10.1104/pp.16.01614</w:t>
            </w: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32</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GmMYB184</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778045</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GLYMA_08G042100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33</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GmMYB84</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778042</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GLYMA_05G234600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nil"/>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34</w:t>
            </w:r>
          </w:p>
        </w:tc>
        <w:tc>
          <w:tcPr>
            <w:tcW w:w="470"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GmMYB76</w:t>
            </w:r>
          </w:p>
        </w:tc>
        <w:tc>
          <w:tcPr>
            <w:tcW w:w="469"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778040</w:t>
            </w:r>
          </w:p>
        </w:tc>
        <w:tc>
          <w:tcPr>
            <w:tcW w:w="746" w:type="pct"/>
            <w:tcBorders>
              <w:top w:val="nil"/>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GLYMA_02G009800</w:t>
            </w:r>
          </w:p>
        </w:tc>
        <w:tc>
          <w:tcPr>
            <w:tcW w:w="2939" w:type="pct"/>
            <w:tcBorders>
              <w:top w:val="nil"/>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2" w:name="_neb4BA165FE_1AE1_4FC7_AB90_AD876A243E43"/>
            <w:r>
              <w:rPr>
                <w:rFonts w:hint="default" w:ascii="Times New Roman" w:hAnsi="Times New Roman" w:eastAsia="宋体" w:cs="Times New Roman"/>
                <w:color w:val="000000"/>
                <w:kern w:val="0"/>
                <w:sz w:val="20"/>
                <w:szCs w:val="20"/>
              </w:rPr>
              <w:t>Duan, S., Jin, C., Li, D., Gao, C., and Qi, S., et al. (2017). MYB76 inhibits seed fatty acid accumulation in arabidopsis. Front Plant Sci 8, 226. doi:10.3389/fpls.2017.00226</w:t>
            </w:r>
            <w:bookmarkEnd w:id="22"/>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35</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i/>
                <w:iCs/>
                <w:color w:val="000000"/>
                <w:kern w:val="0"/>
                <w:sz w:val="20"/>
                <w:szCs w:val="20"/>
                <w:lang w:val="en-US"/>
              </w:rPr>
            </w:pPr>
            <w:r>
              <w:rPr>
                <w:rFonts w:hint="eastAsia" w:ascii="Times New Roman" w:hAnsi="Times New Roman" w:eastAsia="宋体" w:cs="Times New Roman"/>
                <w:bCs/>
                <w:i/>
                <w:iCs/>
                <w:color w:val="000000"/>
                <w:kern w:val="0"/>
                <w:sz w:val="20"/>
                <w:szCs w:val="20"/>
                <w:lang w:val="en-US" w:eastAsia="zh-CN"/>
              </w:rPr>
              <w:t>GmMYB57</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778034</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GLYMA_14G191700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3" w:name="_neb9F058623_D9AA_45F6_A195_6EF0CD6EF33A"/>
            <w:r>
              <w:rPr>
                <w:rFonts w:hint="default" w:ascii="Times New Roman" w:hAnsi="Times New Roman" w:eastAsia="宋体" w:cs="Times New Roman"/>
                <w:color w:val="000000"/>
                <w:kern w:val="0"/>
                <w:sz w:val="20"/>
                <w:szCs w:val="20"/>
              </w:rPr>
              <w:t>Cheng, H., Song, S., Xiao, L., Soo, H.M., and Cheng, Z., et al. (2009). Gibberellin acts through jasmonate to control the expression of MYB21, MYB24, and MYB57 to promote stamen filament growth in Arabidopsis. PLoS Genet 5, e1000440. doi:10.1371/journal.pgen.1000440</w:t>
            </w:r>
            <w:bookmarkEnd w:id="23"/>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bookmarkStart w:id="24" w:name="_Hlk532554892"/>
            <w:r>
              <w:rPr>
                <w:rFonts w:ascii="Times New Roman" w:hAnsi="Times New Roman" w:eastAsia="宋体" w:cs="Times New Roman"/>
                <w:bCs/>
                <w:color w:val="000000"/>
                <w:kern w:val="0"/>
                <w:sz w:val="20"/>
                <w:szCs w:val="20"/>
              </w:rPr>
              <w:t>36</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GmMYB173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778058</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GLYMA_11G211643</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37</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GmMYB133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778164</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GLYMA_07G066100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5" w:name="_nebE4D070D6_92AD_424F_9C6E_B982342C3740"/>
            <w:r>
              <w:rPr>
                <w:rFonts w:hint="default" w:ascii="Times New Roman" w:hAnsi="Times New Roman" w:eastAsia="宋体" w:cs="Times New Roman"/>
                <w:color w:val="000000"/>
                <w:kern w:val="0"/>
                <w:sz w:val="20"/>
                <w:szCs w:val="20"/>
              </w:rPr>
              <w:t>Bian, S., Li, R., Xia, S., Liu, Y., and Jin, D., et al. (2018). Soybean CCA1-like MYB transcription factor GmMYB133 modulates isoflavonoid biosynthesis. Biochem Biophys Res Commun 507, 324-329. doi:10.1016/j.bbrc.2018.11.033</w:t>
            </w:r>
            <w:bookmarkEnd w:id="25"/>
          </w:p>
        </w:tc>
      </w:tr>
      <w:tr>
        <w:tblPrEx>
          <w:tblCellMar>
            <w:top w:w="0" w:type="dxa"/>
            <w:left w:w="108" w:type="dxa"/>
            <w:bottom w:w="0" w:type="dxa"/>
            <w:right w:w="108" w:type="dxa"/>
          </w:tblCellMar>
        </w:tblPrEx>
        <w:trPr>
          <w:trHeight w:val="35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38</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GmMYB136</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778054</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GLYMA_09G131400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39</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GmMYB183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778056</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GLYMA_06G187600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40</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GmMYB143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778057</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GLYMA_04G177300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41</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GmMYB175</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780536</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GLYMA_17G094400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42</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100791381</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GLYMA_01G207600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6" w:name="_neb0E0B8FA0_6D36_406E_9060_274D9EE4413D"/>
            <w:r>
              <w:rPr>
                <w:rFonts w:hint="default" w:ascii="Times New Roman" w:hAnsi="Times New Roman" w:eastAsia="宋体" w:cs="Times New Roman"/>
                <w:color w:val="000000"/>
                <w:kern w:val="0"/>
                <w:sz w:val="20"/>
                <w:szCs w:val="20"/>
              </w:rPr>
              <w:t>Tominaga-Wada, R., and Wada, T. (2016). The ectopic localization of CAPRICE LIKE MYB3 protein in Arabidopsis root epidermis. J Plant Physiol 199, 111-115. doi:10.1016/j.jplph.2016.05.014</w:t>
            </w:r>
            <w:bookmarkEnd w:id="26"/>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43</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547459</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GLYMA_20G184200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44</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GmMYB98</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778047</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GLYMA_19G061600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7" w:name="_neb0CB186AD_360A_4FDE_BD1A_7951AB48C171"/>
            <w:r>
              <w:rPr>
                <w:rFonts w:hint="default" w:ascii="Times New Roman" w:hAnsi="Times New Roman" w:eastAsia="宋体" w:cs="Times New Roman"/>
                <w:color w:val="000000"/>
                <w:kern w:val="0"/>
                <w:sz w:val="20"/>
                <w:szCs w:val="20"/>
              </w:rPr>
              <w:t>Kasahara, R.D., Portereiko, M.F., Sandaklie-Nikolova, L., Rabiger, D.S., and Drews, G.N. (2005). MYB98 is required for pollen tube guidance and synergid cell differentiation in Arabidopsis. Plant Cell 17, 2981-2992. doi:10.1105/tpc.105.034603</w:t>
            </w:r>
            <w:bookmarkEnd w:id="27"/>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45</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bookmarkStart w:id="28" w:name="OLE_LINK5"/>
            <w:r>
              <w:rPr>
                <w:rFonts w:hint="eastAsia" w:ascii="Times New Roman" w:hAnsi="Times New Roman" w:eastAsia="宋体" w:cs="Times New Roman"/>
                <w:bCs/>
                <w:i/>
                <w:iCs/>
                <w:color w:val="000000"/>
                <w:kern w:val="0"/>
                <w:sz w:val="20"/>
                <w:szCs w:val="20"/>
                <w:lang w:val="en-US" w:eastAsia="zh-CN"/>
              </w:rPr>
              <w:t>GmMYB14</w:t>
            </w:r>
            <w:bookmarkEnd w:id="28"/>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100101836</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GLYMA_15G259400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29" w:name="_neb98CE8E01_03FD_4C57_8359_1E7F55A5F642"/>
            <w:r>
              <w:rPr>
                <w:rFonts w:hint="default" w:ascii="Times New Roman" w:hAnsi="Times New Roman" w:eastAsia="宋体" w:cs="Times New Roman"/>
                <w:color w:val="000000"/>
                <w:kern w:val="0"/>
                <w:sz w:val="20"/>
                <w:szCs w:val="20"/>
              </w:rPr>
              <w:t>Bai, R., Luo, Y., Wang, L., Li, J., and Wu, K., et al. (2019). A specific allele of MYB14 in grapevine correlates with high stilbene inducibility triggered by Al(3+) and UV-C radiation. Plant Cell Rep 38, 37-49. doi:10.1007/s00299-018-2347-9</w:t>
            </w:r>
            <w:bookmarkEnd w:id="29"/>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46</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GmMYB182</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778048</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GLYMA_19G061300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30" w:name="_nebD852A6D8_45A8_4123_BF6D_1C1A320114AB"/>
            <w:r>
              <w:rPr>
                <w:rFonts w:hint="default" w:ascii="Times New Roman" w:hAnsi="Times New Roman" w:eastAsia="宋体" w:cs="Times New Roman"/>
                <w:color w:val="000000"/>
                <w:kern w:val="0"/>
                <w:sz w:val="20"/>
                <w:szCs w:val="20"/>
              </w:rPr>
              <w:t>Yoshida, K., Ma, D., and Constabel, C.P. (2015). The MYB182 protein down-regulates proanthocyanidin and anthocyanin biosynthesis in poplar by repressing both structural and regulatory flavonoid genes. Plant Physiol 167, 693-710. doi:10.1104/pp.114.253674</w:t>
            </w:r>
            <w:bookmarkEnd w:id="30"/>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47</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GmMYB108</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100805341</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GLYMA_09G032100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31" w:name="_neb3DA63450_DAC7_46BC_9487_F3AD3AC76E13"/>
            <w:r>
              <w:rPr>
                <w:rFonts w:hint="default" w:ascii="Times New Roman" w:hAnsi="Times New Roman" w:eastAsia="宋体" w:cs="Times New Roman"/>
                <w:color w:val="000000"/>
                <w:kern w:val="0"/>
                <w:sz w:val="20"/>
                <w:szCs w:val="20"/>
              </w:rPr>
              <w:t>Mandaokar, A., and Browse, J. (2009). MYB108 acts together with MYB24 to regulate jasmonate-mediated stamen maturation  in Arabidopsis. Plant Physiol 149, 851-862. doi:10.1104/pp.108.132597</w:t>
            </w:r>
            <w:bookmarkEnd w:id="31"/>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48</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GmMYB52</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778032</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GLYMA_15G019400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49</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GmMYB127</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778052</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GLYMA_08G029400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50</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GmMYB93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778163</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GLYMA_05G062300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32" w:name="_neb83094BC8_90BE_4AF0_9F2F_7635D309A4DD"/>
            <w:r>
              <w:rPr>
                <w:rFonts w:hint="default" w:ascii="Times New Roman" w:hAnsi="Times New Roman" w:eastAsia="宋体" w:cs="Times New Roman"/>
                <w:color w:val="000000"/>
                <w:kern w:val="0"/>
                <w:sz w:val="20"/>
                <w:szCs w:val="20"/>
              </w:rPr>
              <w:t>Gibbs, D.J., and Coates, J.C. (2014). AtMYB93 is an endodermis-specific transcriptional regulator of lateral root development in arabidopsis. Plant Signal Behav 9, e970406. doi:10.4161/15592316.2014.970406</w:t>
            </w:r>
            <w:bookmarkEnd w:id="32"/>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51</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GmMYB158</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780554</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GLYMA_01G0386002</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52</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GmMYB138</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778178</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GLYMA_02G026300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53</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GmMYB150</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778092</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GLYMA_06G201500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54</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GmMYB12A</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547458</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GLYMA_03G221700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55</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GmMYB159</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100814923</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GLYMA_07G216000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56</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GmMYB178</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778038</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GLYMA_17G1671001</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57</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GmMYB121</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778159</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GLYMA_15G176000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58</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GmMYB112</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780556</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GLYMA_01G190100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r>
              <w:rPr>
                <w:rFonts w:hint="default" w:ascii="Times New Roman" w:hAnsi="Times New Roman" w:eastAsia="宋体" w:cs="Times New Roman"/>
                <w:color w:val="000000"/>
                <w:kern w:val="0"/>
                <w:sz w:val="20"/>
                <w:szCs w:val="20"/>
              </w:rPr>
              <w:t>Lotkowska, M.E., Tohge, T., Fernie, A.R., Xue, G.P., and Balazadeh, S., et al. (2015). The Arabidopsis Transcription Factor MYB112 Promotes Anthocyanin Formation during Salinity and under High Light Stress. Plant Physiol 169, 1862-1880. doi:10.1104/pp.15.0060</w:t>
            </w: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59</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GmMYB45</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100780267</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GLYMA_12G066000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60</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GmMYB139</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778055</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GLYMA_13G333200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61</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bookmarkStart w:id="33" w:name="OLE_LINK6"/>
            <w:r>
              <w:rPr>
                <w:rFonts w:hint="eastAsia" w:ascii="Times New Roman" w:hAnsi="Times New Roman" w:eastAsia="宋体" w:cs="Times New Roman"/>
                <w:bCs/>
                <w:i/>
                <w:iCs/>
                <w:color w:val="000000"/>
                <w:kern w:val="0"/>
                <w:sz w:val="20"/>
                <w:szCs w:val="20"/>
                <w:lang w:val="en-US" w:eastAsia="zh-CN"/>
              </w:rPr>
              <w:t>GmMYB124</w:t>
            </w:r>
            <w:bookmarkEnd w:id="33"/>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778051</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GLYMA_06G036800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62</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GmMYB82</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778041</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GLYMA_15G034500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34" w:name="_nebA623E255_2F74_41E3_828E_E9180FB42B80"/>
            <w:r>
              <w:rPr>
                <w:rFonts w:hint="default" w:ascii="Times New Roman" w:hAnsi="Times New Roman" w:eastAsia="宋体" w:cs="Times New Roman"/>
                <w:color w:val="000000"/>
                <w:kern w:val="0"/>
                <w:sz w:val="20"/>
                <w:szCs w:val="20"/>
              </w:rPr>
              <w:t>Liang, G., He, H., Li, Y., Ai, Q., and Yu, D. (2014). MYB82 functions in regulation of trichome development in Arabidopsis. J Exp Bot 65, 3215-3223. doi:10.1093/jxb/eru179</w:t>
            </w:r>
            <w:bookmarkEnd w:id="34"/>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63</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GmMYB177</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778060</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GLYMA_14G210600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64</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GmMYB142</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778061</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GLYMA_19G127900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65</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GmMYB164</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100804049</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GLYMA_14G074500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66</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r>
              <w:rPr>
                <w:rFonts w:hint="eastAsia" w:ascii="Times New Roman" w:hAnsi="Times New Roman" w:eastAsia="宋体" w:cs="Times New Roman"/>
                <w:bCs/>
                <w:i/>
                <w:iCs/>
                <w:color w:val="000000"/>
                <w:kern w:val="0"/>
                <w:sz w:val="20"/>
                <w:szCs w:val="20"/>
                <w:lang w:val="en-US" w:eastAsia="zh-CN"/>
              </w:rPr>
              <w:t>GmMYB83</w:t>
            </w:r>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778063</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GLYMA_02G254200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35" w:name="_neb12BAE2BF_D8D1_455B_82FF_CF2B20AE59A3"/>
            <w:r>
              <w:rPr>
                <w:rFonts w:hint="default" w:ascii="Times New Roman" w:hAnsi="Times New Roman" w:eastAsia="宋体" w:cs="Times New Roman"/>
                <w:color w:val="000000"/>
                <w:kern w:val="0"/>
                <w:sz w:val="20"/>
                <w:szCs w:val="20"/>
              </w:rPr>
              <w:t>McCarthy, R.L., Zhong, R., and Ye, Z.H. (2009). MYB83 is a direct target of SND1 and acts redundantly with MYB46 in the regulation of secondary cell wall biosynthesis in Arabidopsis. Plant Cell Physiol 50, 1950-1964. doi:10.1093/pcp/pcp139</w:t>
            </w:r>
            <w:bookmarkEnd w:id="35"/>
          </w:p>
        </w:tc>
      </w:tr>
      <w:tr>
        <w:tblPrEx>
          <w:tblCellMar>
            <w:top w:w="0" w:type="dxa"/>
            <w:left w:w="108" w:type="dxa"/>
            <w:bottom w:w="0" w:type="dxa"/>
            <w:right w:w="108" w:type="dxa"/>
          </w:tblCellMar>
        </w:tblPrEx>
        <w:trPr>
          <w:trHeight w:val="300" w:hRule="atLeast"/>
          <w:jc w:val="center"/>
        </w:trPr>
        <w:tc>
          <w:tcPr>
            <w:tcW w:w="3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ascii="Times New Roman" w:hAnsi="Times New Roman" w:eastAsia="宋体" w:cs="Times New Roman"/>
                <w:bCs/>
                <w:color w:val="000000"/>
                <w:kern w:val="0"/>
                <w:sz w:val="20"/>
                <w:szCs w:val="20"/>
              </w:rPr>
              <w:t>67</w:t>
            </w:r>
          </w:p>
        </w:tc>
        <w:tc>
          <w:tcPr>
            <w:tcW w:w="470"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hint="default" w:ascii="Times New Roman" w:hAnsi="Times New Roman" w:eastAsia="宋体" w:cs="Times New Roman"/>
                <w:bCs/>
                <w:i/>
                <w:iCs/>
                <w:color w:val="000000"/>
                <w:kern w:val="0"/>
                <w:sz w:val="20"/>
                <w:szCs w:val="20"/>
                <w:lang w:val="en-US" w:eastAsia="zh-CN"/>
              </w:rPr>
            </w:pPr>
            <w:bookmarkStart w:id="36" w:name="OLE_LINK7"/>
            <w:r>
              <w:rPr>
                <w:rFonts w:hint="eastAsia" w:ascii="Times New Roman" w:hAnsi="Times New Roman" w:eastAsia="宋体" w:cs="Times New Roman"/>
                <w:bCs/>
                <w:i/>
                <w:iCs/>
                <w:color w:val="000000"/>
                <w:kern w:val="0"/>
                <w:sz w:val="20"/>
                <w:szCs w:val="20"/>
                <w:lang w:val="en-US" w:eastAsia="zh-CN"/>
              </w:rPr>
              <w:t>GmMYB114</w:t>
            </w:r>
            <w:bookmarkEnd w:id="36"/>
          </w:p>
        </w:tc>
        <w:tc>
          <w:tcPr>
            <w:tcW w:w="469"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color w:val="000000"/>
                <w:kern w:val="0"/>
                <w:sz w:val="20"/>
                <w:szCs w:val="20"/>
              </w:rPr>
            </w:pPr>
            <w:r>
              <w:rPr>
                <w:rFonts w:hint="default" w:ascii="Times New Roman" w:hAnsi="Times New Roman" w:eastAsia="宋体" w:cs="Times New Roman"/>
                <w:bCs/>
                <w:color w:val="000000"/>
                <w:kern w:val="0"/>
                <w:sz w:val="20"/>
                <w:szCs w:val="20"/>
              </w:rPr>
              <w:t>778086</w:t>
            </w:r>
          </w:p>
        </w:tc>
        <w:tc>
          <w:tcPr>
            <w:tcW w:w="746" w:type="pct"/>
            <w:tcBorders>
              <w:top w:val="single" w:color="auto" w:sz="4" w:space="0"/>
              <w:left w:val="nil"/>
              <w:bottom w:val="single" w:color="auto" w:sz="4" w:space="0"/>
              <w:right w:val="single" w:color="auto" w:sz="4" w:space="0"/>
            </w:tcBorders>
            <w:shd w:val="clear" w:color="auto" w:fill="auto"/>
            <w:noWrap/>
            <w:vAlign w:val="center"/>
          </w:tcPr>
          <w:p>
            <w:pPr>
              <w:widowControl/>
              <w:adjustRightInd/>
              <w:snapToGrid/>
              <w:spacing w:after="0" w:line="240" w:lineRule="auto"/>
              <w:jc w:val="center"/>
              <w:rPr>
                <w:rFonts w:ascii="Times New Roman" w:hAnsi="Times New Roman" w:eastAsia="宋体" w:cs="Times New Roman"/>
                <w:bCs/>
                <w:i/>
                <w:iCs/>
                <w:color w:val="000000"/>
                <w:kern w:val="0"/>
                <w:sz w:val="20"/>
                <w:szCs w:val="20"/>
              </w:rPr>
            </w:pPr>
            <w:r>
              <w:rPr>
                <w:rFonts w:ascii="Times New Roman" w:hAnsi="Times New Roman" w:eastAsia="宋体" w:cs="Times New Roman"/>
                <w:bCs/>
                <w:i/>
                <w:iCs/>
                <w:color w:val="000000"/>
                <w:kern w:val="0"/>
                <w:sz w:val="20"/>
                <w:szCs w:val="20"/>
              </w:rPr>
              <w:t>GLYMA_03G261800</w:t>
            </w:r>
          </w:p>
        </w:tc>
        <w:tc>
          <w:tcPr>
            <w:tcW w:w="2939" w:type="pct"/>
            <w:tcBorders>
              <w:top w:val="single" w:color="auto" w:sz="4" w:space="0"/>
              <w:left w:val="nil"/>
              <w:bottom w:val="single" w:color="auto" w:sz="4" w:space="0"/>
              <w:right w:val="single" w:color="auto" w:sz="4" w:space="0"/>
            </w:tcBorders>
            <w:shd w:val="clear" w:color="auto" w:fill="auto"/>
            <w:vAlign w:val="center"/>
          </w:tcPr>
          <w:p>
            <w:pPr>
              <w:widowControl/>
              <w:adjustRightInd/>
              <w:snapToGrid/>
              <w:spacing w:after="0" w:line="240" w:lineRule="auto"/>
              <w:jc w:val="left"/>
              <w:rPr>
                <w:rFonts w:ascii="Times New Roman" w:hAnsi="Times New Roman" w:eastAsia="宋体" w:cs="Times New Roman"/>
                <w:color w:val="000000"/>
                <w:kern w:val="0"/>
                <w:sz w:val="20"/>
                <w:szCs w:val="20"/>
              </w:rPr>
            </w:pPr>
            <w:bookmarkStart w:id="37" w:name="_neb65EC335E_F6F0_4ED4_95F4_F0C9A6754ED2"/>
            <w:r>
              <w:rPr>
                <w:rFonts w:hint="default" w:ascii="Times New Roman" w:hAnsi="Times New Roman" w:eastAsia="宋体" w:cs="Times New Roman"/>
                <w:color w:val="000000"/>
                <w:kern w:val="0"/>
                <w:sz w:val="20"/>
                <w:szCs w:val="20"/>
              </w:rPr>
              <w:t>Ni, J., Bai, S., Zhao, Y., Qian, M., and Tao, R., et al. (2019). Ethylene response factors Pp4ERF24 and Pp12ERF96 regulate blue light-induced anthocyanin biosynthesis in 'Red Zaosu' pear fruits by interacting with MYB114. Plant Mol Biol 99, 67-78. doi:10.1007/s11103-018-0802-1</w:t>
            </w:r>
            <w:bookmarkEnd w:id="37"/>
          </w:p>
        </w:tc>
      </w:tr>
      <w:bookmarkEnd w:id="24"/>
    </w:tbl>
    <w:p>
      <w:pPr>
        <w:widowControl w:val="0"/>
        <w:adjustRightInd/>
        <w:snapToGrid/>
        <w:spacing w:after="0" w:line="360" w:lineRule="auto"/>
        <w:jc w:val="both"/>
        <w:rPr>
          <w:rFonts w:ascii="Times New Roman" w:hAnsi="Times New Roman" w:eastAsia="宋体" w:cs="Times New Roman"/>
          <w:kern w:val="2"/>
          <w:sz w:val="22"/>
          <w:szCs w:val="22"/>
        </w:rPr>
      </w:pPr>
    </w:p>
    <w:p>
      <w:pPr>
        <w:widowControl w:val="0"/>
        <w:adjustRightInd/>
        <w:snapToGrid/>
        <w:spacing w:after="0" w:line="360" w:lineRule="auto"/>
        <w:jc w:val="both"/>
        <w:rPr>
          <w:rFonts w:hint="eastAsia" w:ascii="Times New Roman" w:hAnsi="Times New Roman" w:eastAsia="宋体" w:cs="Times New Roman"/>
          <w:kern w:val="2"/>
          <w:sz w:val="24"/>
          <w:szCs w:val="24"/>
          <w:lang w:val="en-US" w:eastAsia="zh-CN"/>
        </w:rPr>
      </w:pPr>
      <w:r>
        <w:rPr>
          <w:rFonts w:ascii="Times New Roman" w:hAnsi="Times New Roman" w:eastAsia="宋体" w:cs="Times New Roman"/>
          <w:kern w:val="2"/>
          <w:sz w:val="24"/>
          <w:szCs w:val="24"/>
        </w:rPr>
        <w:t xml:space="preserve">A comparison of </w:t>
      </w:r>
      <w:r>
        <w:rPr>
          <w:rFonts w:hint="eastAsia" w:ascii="Times New Roman" w:hAnsi="Times New Roman" w:eastAsia="宋体" w:cs="Times New Roman"/>
          <w:i/>
          <w:kern w:val="2"/>
          <w:sz w:val="24"/>
          <w:szCs w:val="24"/>
        </w:rPr>
        <w:t>Gm</w:t>
      </w:r>
      <w:r>
        <w:rPr>
          <w:rFonts w:hint="eastAsia" w:ascii="Times New Roman" w:hAnsi="Times New Roman" w:eastAsia="宋体" w:cs="Times New Roman"/>
          <w:i/>
          <w:kern w:val="2"/>
          <w:sz w:val="24"/>
          <w:szCs w:val="24"/>
          <w:lang w:val="en-US" w:eastAsia="zh-CN"/>
        </w:rPr>
        <w:t>MYB</w:t>
      </w:r>
      <w:r>
        <w:rPr>
          <w:rFonts w:ascii="Times New Roman" w:hAnsi="Times New Roman" w:eastAsia="宋体" w:cs="Times New Roman"/>
          <w:kern w:val="2"/>
          <w:sz w:val="24"/>
          <w:szCs w:val="24"/>
        </w:rPr>
        <w:t xml:space="preserve"> genes identified in </w:t>
      </w:r>
      <w:r>
        <w:rPr>
          <w:rFonts w:hint="eastAsia" w:ascii="Times New Roman" w:hAnsi="Times New Roman" w:eastAsia="宋体" w:cs="Times New Roman"/>
          <w:kern w:val="2"/>
          <w:sz w:val="24"/>
          <w:szCs w:val="24"/>
        </w:rPr>
        <w:t>current</w:t>
      </w:r>
      <w:r>
        <w:rPr>
          <w:rFonts w:ascii="Times New Roman" w:hAnsi="Times New Roman" w:eastAsia="宋体" w:cs="Times New Roman"/>
          <w:kern w:val="2"/>
          <w:sz w:val="24"/>
          <w:szCs w:val="24"/>
        </w:rPr>
        <w:t xml:space="preserve"> study with those of previous study</w:t>
      </w:r>
      <w:r>
        <w:rPr>
          <w:rFonts w:hint="eastAsia" w:ascii="Times New Roman" w:hAnsi="Times New Roman" w:eastAsia="宋体" w:cs="Times New Roman"/>
          <w:kern w:val="2"/>
          <w:sz w:val="24"/>
          <w:szCs w:val="24"/>
          <w:lang w:val="en-US" w:eastAsia="zh-CN"/>
        </w:rPr>
        <w:t>.</w:t>
      </w:r>
    </w:p>
    <w:p>
      <w:pPr>
        <w:widowControl/>
        <w:adjustRightInd w:val="0"/>
        <w:snapToGrid w:val="0"/>
        <w:spacing w:after="200" w:line="220" w:lineRule="atLeast"/>
        <w:jc w:val="left"/>
        <w:rPr>
          <w:rFonts w:ascii="Tahoma" w:hAnsi="Tahoma" w:eastAsia="微软雅黑" w:cs="Times New Roman"/>
          <w:kern w:val="0"/>
          <w:sz w:val="22"/>
          <w:szCs w:val="22"/>
        </w:rPr>
        <w:sectPr>
          <w:pgSz w:w="16838" w:h="11906" w:orient="landscape"/>
          <w:pgMar w:top="1800" w:right="1440" w:bottom="1800" w:left="1440" w:header="708" w:footer="708" w:gutter="0"/>
          <w:cols w:space="708" w:num="1"/>
          <w:docGrid w:linePitch="360" w:charSpace="0"/>
        </w:sectPr>
      </w:pPr>
    </w:p>
    <w:p>
      <w:pPr>
        <w:widowControl w:val="0"/>
        <w:adjustRightInd/>
        <w:snapToGrid/>
        <w:spacing w:before="100" w:beforeAutospacing="1" w:after="0" w:line="360" w:lineRule="auto"/>
        <w:jc w:val="center"/>
        <w:rPr>
          <w:rFonts w:ascii="Times New Roman" w:hAnsi="Times New Roman" w:eastAsia="宋体" w:cs="Times New Roman"/>
          <w:b/>
          <w:kern w:val="2"/>
          <w:sz w:val="28"/>
          <w:szCs w:val="28"/>
        </w:rPr>
      </w:pPr>
      <w:r>
        <w:rPr>
          <w:rFonts w:hint="eastAsia" w:ascii="Times New Roman" w:hAnsi="Times New Roman" w:eastAsia="宋体" w:cs="Times New Roman"/>
          <w:b/>
          <w:bCs/>
          <w:kern w:val="2"/>
          <w:sz w:val="28"/>
          <w:szCs w:val="28"/>
        </w:rPr>
        <w:t>T</w:t>
      </w:r>
      <w:r>
        <w:rPr>
          <w:rFonts w:ascii="Times New Roman" w:hAnsi="Times New Roman" w:eastAsia="宋体" w:cs="Times New Roman"/>
          <w:b/>
          <w:bCs/>
          <w:kern w:val="2"/>
          <w:sz w:val="28"/>
          <w:szCs w:val="28"/>
        </w:rPr>
        <w:t xml:space="preserve">able </w:t>
      </w:r>
      <w:r>
        <w:rPr>
          <w:rFonts w:hint="eastAsia" w:ascii="Times New Roman" w:hAnsi="Times New Roman" w:eastAsia="宋体" w:cs="Times New Roman"/>
          <w:b/>
          <w:bCs/>
          <w:kern w:val="2"/>
          <w:sz w:val="28"/>
          <w:szCs w:val="28"/>
        </w:rPr>
        <w:t>S</w:t>
      </w:r>
      <w:r>
        <w:rPr>
          <w:rFonts w:hint="eastAsia" w:ascii="Times New Roman" w:hAnsi="Times New Roman" w:cs="Times New Roman"/>
          <w:b/>
          <w:bCs/>
          <w:kern w:val="2"/>
          <w:sz w:val="28"/>
          <w:szCs w:val="28"/>
          <w:lang w:val="en-US" w:eastAsia="zh-CN"/>
        </w:rPr>
        <w:t>5</w:t>
      </w:r>
      <w:r>
        <w:rPr>
          <w:rFonts w:hint="eastAsia" w:ascii="Times New Roman" w:hAnsi="Times New Roman" w:eastAsia="宋体" w:cs="Times New Roman"/>
          <w:b/>
          <w:bCs/>
          <w:kern w:val="2"/>
          <w:sz w:val="28"/>
          <w:szCs w:val="28"/>
        </w:rPr>
        <w:t>.</w:t>
      </w:r>
      <w:r>
        <w:rPr>
          <w:rFonts w:ascii="Times New Roman" w:hAnsi="Times New Roman" w:eastAsia="宋体" w:cs="Times New Roman"/>
          <w:b/>
          <w:bCs/>
          <w:kern w:val="2"/>
          <w:sz w:val="28"/>
          <w:szCs w:val="28"/>
        </w:rPr>
        <w:t xml:space="preserve"> </w:t>
      </w:r>
      <w:r>
        <w:rPr>
          <w:rFonts w:ascii="Times New Roman" w:hAnsi="Times New Roman" w:eastAsia="宋体" w:cs="Times New Roman"/>
          <w:b/>
          <w:bCs/>
          <w:i/>
          <w:iCs/>
          <w:kern w:val="2"/>
          <w:sz w:val="28"/>
          <w:szCs w:val="28"/>
        </w:rPr>
        <w:t>G</w:t>
      </w:r>
      <w:r>
        <w:rPr>
          <w:rFonts w:hint="eastAsia" w:ascii="Times New Roman" w:hAnsi="Times New Roman" w:eastAsia="宋体" w:cs="Times New Roman"/>
          <w:b/>
          <w:bCs/>
          <w:i/>
          <w:iCs/>
          <w:kern w:val="2"/>
          <w:sz w:val="28"/>
          <w:szCs w:val="28"/>
          <w:lang w:val="en-US" w:eastAsia="zh-CN"/>
        </w:rPr>
        <w:t>s</w:t>
      </w:r>
      <w:r>
        <w:rPr>
          <w:rFonts w:ascii="Times New Roman" w:hAnsi="Times New Roman" w:eastAsia="宋体" w:cs="Times New Roman"/>
          <w:b/>
          <w:bCs/>
          <w:i/>
          <w:iCs/>
          <w:kern w:val="2"/>
          <w:sz w:val="28"/>
          <w:szCs w:val="28"/>
        </w:rPr>
        <w:t>MYB7</w:t>
      </w:r>
      <w:r>
        <w:rPr>
          <w:rFonts w:ascii="Times New Roman" w:hAnsi="Times New Roman" w:eastAsia="宋体" w:cs="Times New Roman"/>
          <w:b/>
          <w:bCs/>
          <w:kern w:val="2"/>
          <w:sz w:val="28"/>
          <w:szCs w:val="28"/>
        </w:rPr>
        <w:t xml:space="preserve"> downstream candidate gene information</w:t>
      </w:r>
    </w:p>
    <w:tbl>
      <w:tblPr>
        <w:tblStyle w:val="3"/>
        <w:tblW w:w="4914" w:type="pct"/>
        <w:jc w:val="center"/>
        <w:tblLayout w:type="fixed"/>
        <w:tblCellMar>
          <w:top w:w="0" w:type="dxa"/>
          <w:left w:w="108" w:type="dxa"/>
          <w:bottom w:w="0" w:type="dxa"/>
          <w:right w:w="108" w:type="dxa"/>
        </w:tblCellMar>
      </w:tblPr>
      <w:tblGrid>
        <w:gridCol w:w="830"/>
        <w:gridCol w:w="1055"/>
        <w:gridCol w:w="1400"/>
        <w:gridCol w:w="1745"/>
        <w:gridCol w:w="2673"/>
        <w:gridCol w:w="6228"/>
      </w:tblGrid>
      <w:tr>
        <w:tblPrEx>
          <w:tblCellMar>
            <w:top w:w="0" w:type="dxa"/>
            <w:left w:w="108" w:type="dxa"/>
            <w:bottom w:w="0" w:type="dxa"/>
            <w:right w:w="108" w:type="dxa"/>
          </w:tblCellMar>
        </w:tblPrEx>
        <w:trPr>
          <w:trHeight w:val="300" w:hRule="atLeast"/>
          <w:jc w:val="center"/>
        </w:trPr>
        <w:tc>
          <w:tcPr>
            <w:tcW w:w="297" w:type="pc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
                <w:color w:val="000000"/>
                <w:sz w:val="20"/>
                <w:szCs w:val="20"/>
              </w:rPr>
            </w:pPr>
            <w:r>
              <w:rPr>
                <w:rFonts w:ascii="Times New Roman" w:hAnsi="Times New Roman" w:eastAsia="宋体" w:cs="Times New Roman"/>
                <w:b/>
                <w:color w:val="000000"/>
                <w:sz w:val="20"/>
                <w:szCs w:val="20"/>
              </w:rPr>
              <w:t>Serial</w:t>
            </w:r>
            <w:r>
              <w:rPr>
                <w:rFonts w:hint="eastAsia" w:ascii="Times New Roman" w:hAnsi="Times New Roman" w:eastAsia="宋体" w:cs="Times New Roman"/>
                <w:b/>
                <w:color w:val="000000"/>
                <w:sz w:val="20"/>
                <w:szCs w:val="20"/>
                <w:lang w:val="en-US" w:eastAsia="zh-CN"/>
              </w:rPr>
              <w:t xml:space="preserve"> N</w:t>
            </w:r>
            <w:r>
              <w:rPr>
                <w:rFonts w:ascii="Times New Roman" w:hAnsi="Times New Roman" w:eastAsia="宋体" w:cs="Times New Roman"/>
                <w:b/>
                <w:color w:val="000000"/>
                <w:sz w:val="20"/>
                <w:szCs w:val="20"/>
              </w:rPr>
              <w:t>umber</w:t>
            </w:r>
          </w:p>
        </w:tc>
        <w:tc>
          <w:tcPr>
            <w:tcW w:w="378" w:type="pc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hint="default" w:ascii="Times New Roman" w:hAnsi="Times New Roman" w:eastAsia="宋体" w:cs="Times New Roman"/>
                <w:b/>
                <w:color w:val="000000"/>
                <w:sz w:val="20"/>
                <w:szCs w:val="20"/>
                <w:lang w:val="en-US" w:eastAsia="zh-CN"/>
              </w:rPr>
            </w:pPr>
            <w:r>
              <w:rPr>
                <w:rFonts w:hint="default" w:ascii="Times New Roman" w:hAnsi="Times New Roman" w:eastAsia="宋体" w:cs="Times New Roman"/>
                <w:b/>
                <w:color w:val="000000"/>
                <w:sz w:val="20"/>
                <w:szCs w:val="20"/>
                <w:lang w:val="en-US" w:eastAsia="zh-CN"/>
              </w:rPr>
              <w:t xml:space="preserve">Gene </w:t>
            </w:r>
            <w:r>
              <w:rPr>
                <w:rFonts w:hint="eastAsia" w:ascii="Times New Roman" w:hAnsi="Times New Roman" w:eastAsia="宋体" w:cs="Times New Roman"/>
                <w:b/>
                <w:color w:val="000000"/>
                <w:sz w:val="20"/>
                <w:szCs w:val="20"/>
                <w:lang w:val="en-US" w:eastAsia="zh-CN"/>
              </w:rPr>
              <w:t>S</w:t>
            </w:r>
            <w:r>
              <w:rPr>
                <w:rFonts w:hint="default" w:ascii="Times New Roman" w:hAnsi="Times New Roman" w:eastAsia="宋体" w:cs="Times New Roman"/>
                <w:b/>
                <w:color w:val="000000"/>
                <w:sz w:val="20"/>
                <w:szCs w:val="20"/>
                <w:lang w:val="en-US" w:eastAsia="zh-CN"/>
              </w:rPr>
              <w:t>ymbol</w:t>
            </w:r>
          </w:p>
        </w:tc>
        <w:tc>
          <w:tcPr>
            <w:tcW w:w="502" w:type="pc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
                <w:color w:val="000000"/>
                <w:sz w:val="20"/>
                <w:szCs w:val="20"/>
              </w:rPr>
            </w:pPr>
            <w:r>
              <w:rPr>
                <w:rFonts w:hint="eastAsia" w:ascii="Times New Roman" w:hAnsi="Times New Roman" w:eastAsia="宋体" w:cs="Times New Roman"/>
                <w:b/>
                <w:color w:val="000000"/>
                <w:sz w:val="20"/>
                <w:szCs w:val="20"/>
                <w:lang w:val="en-US" w:eastAsia="zh-CN"/>
              </w:rPr>
              <w:t>T</w:t>
            </w:r>
            <w:r>
              <w:rPr>
                <w:rFonts w:hint="default" w:ascii="Times New Roman" w:hAnsi="Times New Roman" w:eastAsia="宋体" w:cs="Times New Roman"/>
                <w:b/>
                <w:color w:val="000000"/>
                <w:sz w:val="20"/>
                <w:szCs w:val="20"/>
                <w:lang w:val="en-US" w:eastAsia="zh-CN"/>
              </w:rPr>
              <w:t>ranscript</w:t>
            </w:r>
            <w:r>
              <w:rPr>
                <w:rFonts w:ascii="Times New Roman" w:hAnsi="Times New Roman" w:eastAsia="宋体" w:cs="Times New Roman"/>
                <w:b/>
                <w:color w:val="000000"/>
                <w:sz w:val="20"/>
                <w:szCs w:val="20"/>
              </w:rPr>
              <w:t xml:space="preserve"> ID</w:t>
            </w:r>
          </w:p>
        </w:tc>
        <w:tc>
          <w:tcPr>
            <w:tcW w:w="626" w:type="pc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
                <w:color w:val="000000"/>
                <w:sz w:val="20"/>
                <w:szCs w:val="20"/>
              </w:rPr>
            </w:pPr>
            <w:r>
              <w:rPr>
                <w:rFonts w:ascii="Times New Roman" w:hAnsi="Times New Roman" w:eastAsia="宋体" w:cs="Times New Roman"/>
                <w:b/>
                <w:color w:val="000000"/>
                <w:sz w:val="20"/>
                <w:szCs w:val="20"/>
              </w:rPr>
              <w:t>Locus tag</w:t>
            </w:r>
          </w:p>
        </w:tc>
        <w:tc>
          <w:tcPr>
            <w:tcW w:w="959" w:type="pct"/>
            <w:tcBorders>
              <w:top w:val="single" w:color="auto" w:sz="4" w:space="0"/>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
                <w:color w:val="000000"/>
                <w:sz w:val="20"/>
                <w:szCs w:val="20"/>
              </w:rPr>
            </w:pPr>
            <w:r>
              <w:rPr>
                <w:rFonts w:ascii="Times New Roman" w:hAnsi="Times New Roman" w:eastAsia="宋体" w:cs="Times New Roman"/>
                <w:b/>
                <w:color w:val="000000"/>
                <w:sz w:val="20"/>
                <w:szCs w:val="20"/>
              </w:rPr>
              <w:t>Descriptions</w:t>
            </w:r>
          </w:p>
        </w:tc>
        <w:tc>
          <w:tcPr>
            <w:tcW w:w="2235"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b/>
                <w:color w:val="000000"/>
                <w:sz w:val="20"/>
                <w:szCs w:val="20"/>
              </w:rPr>
            </w:pPr>
            <w:r>
              <w:rPr>
                <w:rFonts w:hint="default" w:ascii="Times New Roman" w:hAnsi="Times New Roman" w:eastAsia="宋体" w:cs="Times New Roman"/>
                <w:b/>
                <w:color w:val="000000"/>
                <w:sz w:val="20"/>
                <w:szCs w:val="20"/>
              </w:rPr>
              <w:fldChar w:fldCharType="begin"/>
            </w:r>
            <w:r>
              <w:rPr>
                <w:rFonts w:hint="default" w:ascii="Times New Roman" w:hAnsi="Times New Roman" w:eastAsia="宋体" w:cs="Times New Roman"/>
                <w:b/>
                <w:color w:val="000000"/>
                <w:sz w:val="20"/>
                <w:szCs w:val="20"/>
              </w:rPr>
              <w:instrText xml:space="preserve"> HYPERLINK "https://www.ncbi.nlm.nih.gov/gene/?term=Glyma.07g140000" </w:instrText>
            </w:r>
            <w:r>
              <w:rPr>
                <w:rFonts w:hint="default" w:ascii="Times New Roman" w:hAnsi="Times New Roman" w:eastAsia="宋体" w:cs="Times New Roman"/>
                <w:b/>
                <w:color w:val="000000"/>
                <w:sz w:val="20"/>
                <w:szCs w:val="20"/>
              </w:rPr>
              <w:fldChar w:fldCharType="separate"/>
            </w:r>
            <w:r>
              <w:rPr>
                <w:rFonts w:hint="default" w:ascii="Times New Roman" w:hAnsi="Times New Roman" w:eastAsia="宋体" w:cs="Times New Roman"/>
                <w:b/>
                <w:color w:val="000000"/>
                <w:sz w:val="20"/>
                <w:szCs w:val="20"/>
              </w:rPr>
              <w:t>Related articles in PubMed</w:t>
            </w:r>
            <w:r>
              <w:rPr>
                <w:rFonts w:hint="default" w:ascii="Times New Roman" w:hAnsi="Times New Roman" w:eastAsia="宋体" w:cs="Times New Roman"/>
                <w:b/>
                <w:color w:val="000000"/>
                <w:sz w:val="20"/>
                <w:szCs w:val="20"/>
              </w:rPr>
              <w:fldChar w:fldCharType="end"/>
            </w:r>
          </w:p>
        </w:tc>
      </w:tr>
      <w:tr>
        <w:tblPrEx>
          <w:tblCellMar>
            <w:top w:w="0" w:type="dxa"/>
            <w:left w:w="108" w:type="dxa"/>
            <w:bottom w:w="0" w:type="dxa"/>
            <w:right w:w="108" w:type="dxa"/>
          </w:tblCellMar>
        </w:tblPrEx>
        <w:trPr>
          <w:trHeight w:val="570"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1</w:t>
            </w:r>
          </w:p>
        </w:tc>
        <w:tc>
          <w:tcPr>
            <w:tcW w:w="378"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iCs/>
                <w:color w:val="000000"/>
                <w:sz w:val="15"/>
                <w:szCs w:val="15"/>
              </w:rPr>
            </w:pPr>
            <w:r>
              <w:rPr>
                <w:rFonts w:hint="eastAsia" w:ascii="Times New Roman" w:hAnsi="Times New Roman" w:eastAsia="宋体" w:cs="Times New Roman"/>
                <w:bCs/>
                <w:i w:val="0"/>
                <w:iCs w:val="0"/>
                <w:color w:val="000000"/>
                <w:sz w:val="15"/>
                <w:szCs w:val="15"/>
              </w:rPr>
              <w:t>LOC100818413</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XM_006592709.2</w:t>
            </w:r>
          </w:p>
        </w:tc>
        <w:tc>
          <w:tcPr>
            <w:tcW w:w="626"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iCs/>
                <w:color w:val="000000"/>
                <w:sz w:val="15"/>
                <w:szCs w:val="15"/>
              </w:rPr>
            </w:pPr>
            <w:r>
              <w:rPr>
                <w:rFonts w:hint="eastAsia" w:ascii="Times New Roman" w:hAnsi="Times New Roman" w:cs="Times New Roman"/>
                <w:b w:val="0"/>
                <w:bCs w:val="0"/>
                <w:i/>
                <w:iCs/>
                <w:color w:val="auto"/>
                <w:kern w:val="0"/>
                <w:sz w:val="16"/>
                <w:szCs w:val="16"/>
                <w:lang w:val="en-US" w:eastAsia="zh-CN"/>
              </w:rPr>
              <w:t>GLYMA_12G187600</w:t>
            </w:r>
          </w:p>
        </w:tc>
        <w:tc>
          <w:tcPr>
            <w:tcW w:w="959" w:type="pct"/>
            <w:tcBorders>
              <w:top w:val="nil"/>
              <w:left w:val="nil"/>
              <w:bottom w:val="single" w:color="auto" w:sz="4" w:space="0"/>
              <w:right w:val="single" w:color="auto" w:sz="4" w:space="0"/>
            </w:tcBorders>
            <w:shd w:val="clear" w:color="auto" w:fill="auto"/>
            <w:noWrap/>
            <w:vAlign w:val="bottom"/>
          </w:tcPr>
          <w:p>
            <w:pPr>
              <w:spacing w:after="120" w:line="276" w:lineRule="auto"/>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PREDICTED:Glycine max protein YLS9 (LOC100818413),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bCs/>
                <w:color w:val="000000"/>
                <w:sz w:val="15"/>
                <w:szCs w:val="15"/>
              </w:rPr>
            </w:pPr>
          </w:p>
        </w:tc>
      </w:tr>
      <w:tr>
        <w:tblPrEx>
          <w:tblCellMar>
            <w:top w:w="0" w:type="dxa"/>
            <w:left w:w="108" w:type="dxa"/>
            <w:bottom w:w="0" w:type="dxa"/>
            <w:right w:w="108" w:type="dxa"/>
          </w:tblCellMar>
        </w:tblPrEx>
        <w:trPr>
          <w:trHeight w:val="541"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2</w:t>
            </w:r>
          </w:p>
        </w:tc>
        <w:tc>
          <w:tcPr>
            <w:tcW w:w="378"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iCs/>
                <w:color w:val="000000"/>
                <w:sz w:val="15"/>
                <w:szCs w:val="15"/>
              </w:rPr>
            </w:pPr>
            <w:r>
              <w:rPr>
                <w:rFonts w:hint="eastAsia" w:ascii="Times New Roman" w:hAnsi="Times New Roman" w:eastAsia="宋体" w:cs="Times New Roman"/>
                <w:bCs/>
                <w:i w:val="0"/>
                <w:iCs w:val="0"/>
                <w:color w:val="000000"/>
                <w:sz w:val="15"/>
                <w:szCs w:val="15"/>
              </w:rPr>
              <w:t>LOC100817436</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XM_014768463.1</w:t>
            </w:r>
          </w:p>
        </w:tc>
        <w:tc>
          <w:tcPr>
            <w:tcW w:w="626"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iCs/>
                <w:color w:val="000000"/>
                <w:sz w:val="15"/>
                <w:szCs w:val="15"/>
              </w:rPr>
            </w:pPr>
            <w:r>
              <w:rPr>
                <w:rFonts w:hint="eastAsia" w:ascii="Times New Roman" w:hAnsi="Times New Roman" w:cs="Times New Roman"/>
                <w:b w:val="0"/>
                <w:bCs w:val="0"/>
                <w:i/>
                <w:iCs/>
                <w:color w:val="auto"/>
                <w:kern w:val="0"/>
                <w:sz w:val="16"/>
                <w:szCs w:val="16"/>
                <w:lang w:val="en-US" w:eastAsia="zh-CN"/>
              </w:rPr>
              <w:t>GLYMA_16G164800</w:t>
            </w:r>
          </w:p>
        </w:tc>
        <w:tc>
          <w:tcPr>
            <w:tcW w:w="959" w:type="pct"/>
            <w:tcBorders>
              <w:top w:val="nil"/>
              <w:left w:val="nil"/>
              <w:bottom w:val="single" w:color="auto" w:sz="4" w:space="0"/>
              <w:right w:val="single" w:color="auto" w:sz="4" w:space="0"/>
            </w:tcBorders>
            <w:shd w:val="clear" w:color="auto" w:fill="auto"/>
            <w:noWrap/>
            <w:vAlign w:val="bottom"/>
          </w:tcPr>
          <w:p>
            <w:pPr>
              <w:spacing w:after="120" w:line="276" w:lineRule="auto"/>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PREDICTED: Glycine max</w:t>
            </w:r>
            <w:r>
              <w:rPr>
                <w:rFonts w:hint="eastAsia" w:ascii="Times New Roman" w:hAnsi="Times New Roman" w:cs="Times New Roman"/>
                <w:b w:val="0"/>
                <w:bCs w:val="0"/>
                <w:color w:val="auto"/>
                <w:kern w:val="0"/>
                <w:sz w:val="16"/>
                <w:szCs w:val="16"/>
                <w:lang w:val="en-US" w:eastAsia="zh-CN"/>
              </w:rPr>
              <w:t xml:space="preserve"> </w:t>
            </w:r>
            <w:r>
              <w:rPr>
                <w:rFonts w:hint="default" w:ascii="Times New Roman" w:hAnsi="Times New Roman" w:cs="Times New Roman"/>
                <w:b w:val="0"/>
                <w:bCs w:val="0"/>
                <w:color w:val="auto"/>
                <w:kern w:val="0"/>
                <w:sz w:val="16"/>
                <w:szCs w:val="16"/>
                <w:lang w:val="en-US" w:eastAsia="zh-CN"/>
              </w:rPr>
              <w:t>ethylene-responsive transcription factor ABR1-like (LOC100817436),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bCs/>
                <w:color w:val="000000"/>
                <w:sz w:val="15"/>
                <w:szCs w:val="15"/>
              </w:rPr>
            </w:pPr>
          </w:p>
        </w:tc>
      </w:tr>
      <w:tr>
        <w:tblPrEx>
          <w:tblCellMar>
            <w:top w:w="0" w:type="dxa"/>
            <w:left w:w="108" w:type="dxa"/>
            <w:bottom w:w="0" w:type="dxa"/>
            <w:right w:w="108" w:type="dxa"/>
          </w:tblCellMar>
        </w:tblPrEx>
        <w:trPr>
          <w:trHeight w:val="548"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3</w:t>
            </w:r>
          </w:p>
        </w:tc>
        <w:tc>
          <w:tcPr>
            <w:tcW w:w="378"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val="0"/>
                <w:iCs w:val="0"/>
                <w:color w:val="000000"/>
                <w:sz w:val="15"/>
                <w:szCs w:val="15"/>
              </w:rPr>
            </w:pPr>
            <w:r>
              <w:rPr>
                <w:rFonts w:ascii="Times New Roman" w:hAnsi="Times New Roman" w:eastAsia="宋体" w:cs="Times New Roman"/>
                <w:bCs/>
                <w:i w:val="0"/>
                <w:iCs w:val="0"/>
                <w:color w:val="000000"/>
                <w:sz w:val="15"/>
                <w:szCs w:val="15"/>
              </w:rPr>
              <w:t>LOC100786004</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XM_003525073.3</w:t>
            </w:r>
          </w:p>
        </w:tc>
        <w:tc>
          <w:tcPr>
            <w:tcW w:w="626"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iCs/>
                <w:color w:val="000000"/>
                <w:sz w:val="15"/>
                <w:szCs w:val="15"/>
              </w:rPr>
            </w:pPr>
            <w:r>
              <w:rPr>
                <w:rFonts w:hint="eastAsia" w:ascii="Times New Roman" w:hAnsi="Times New Roman" w:cs="Times New Roman"/>
                <w:b w:val="0"/>
                <w:bCs w:val="0"/>
                <w:i/>
                <w:iCs/>
                <w:color w:val="auto"/>
                <w:kern w:val="0"/>
                <w:sz w:val="16"/>
                <w:szCs w:val="16"/>
                <w:lang w:val="en-US" w:eastAsia="zh-CN"/>
              </w:rPr>
              <w:t>GLYMA_05G191400</w:t>
            </w:r>
          </w:p>
        </w:tc>
        <w:tc>
          <w:tcPr>
            <w:tcW w:w="959" w:type="pct"/>
            <w:tcBorders>
              <w:top w:val="nil"/>
              <w:left w:val="nil"/>
              <w:bottom w:val="single" w:color="auto" w:sz="4" w:space="0"/>
              <w:right w:val="single" w:color="auto" w:sz="4" w:space="0"/>
            </w:tcBorders>
            <w:shd w:val="clear" w:color="auto" w:fill="auto"/>
            <w:noWrap/>
            <w:vAlign w:val="bottom"/>
          </w:tcPr>
          <w:p>
            <w:pPr>
              <w:spacing w:after="120" w:line="276" w:lineRule="auto"/>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PREDICTED: Glycine max BTB/POZ domain-containing protein At2g13690-like (LOC100786004),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bCs/>
                <w:color w:val="000000"/>
                <w:sz w:val="15"/>
                <w:szCs w:val="15"/>
              </w:rPr>
            </w:pPr>
          </w:p>
        </w:tc>
      </w:tr>
      <w:tr>
        <w:tblPrEx>
          <w:tblCellMar>
            <w:top w:w="0" w:type="dxa"/>
            <w:left w:w="108" w:type="dxa"/>
            <w:bottom w:w="0" w:type="dxa"/>
            <w:right w:w="108" w:type="dxa"/>
          </w:tblCellMar>
        </w:tblPrEx>
        <w:trPr>
          <w:trHeight w:val="570"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4</w:t>
            </w:r>
          </w:p>
        </w:tc>
        <w:tc>
          <w:tcPr>
            <w:tcW w:w="378"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val="0"/>
                <w:iCs w:val="0"/>
                <w:color w:val="000000"/>
                <w:sz w:val="15"/>
                <w:szCs w:val="15"/>
              </w:rPr>
            </w:pPr>
            <w:r>
              <w:rPr>
                <w:rFonts w:hint="eastAsia" w:ascii="Times New Roman" w:hAnsi="Times New Roman" w:eastAsia="宋体" w:cs="Times New Roman"/>
                <w:bCs/>
                <w:i w:val="0"/>
                <w:iCs w:val="0"/>
                <w:color w:val="000000"/>
                <w:sz w:val="15"/>
                <w:szCs w:val="15"/>
              </w:rPr>
              <w:t>LOC547578</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NM_001251730.1</w:t>
            </w:r>
          </w:p>
        </w:tc>
        <w:tc>
          <w:tcPr>
            <w:tcW w:w="626"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i/>
                <w:iCs/>
                <w:color w:val="000000"/>
                <w:sz w:val="15"/>
                <w:szCs w:val="15"/>
              </w:rPr>
            </w:pPr>
            <w:r>
              <w:rPr>
                <w:rFonts w:hint="eastAsia" w:ascii="Times New Roman" w:hAnsi="Times New Roman" w:cs="Times New Roman"/>
                <w:b w:val="0"/>
                <w:bCs w:val="0"/>
                <w:i/>
                <w:iCs/>
                <w:color w:val="auto"/>
                <w:kern w:val="0"/>
                <w:sz w:val="16"/>
                <w:szCs w:val="16"/>
                <w:lang w:val="en-US" w:eastAsia="zh-CN"/>
              </w:rPr>
              <w:t>GLYMA_07G140000</w:t>
            </w:r>
          </w:p>
        </w:tc>
        <w:tc>
          <w:tcPr>
            <w:tcW w:w="959"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bCs/>
                <w:color w:val="000000"/>
                <w:sz w:val="15"/>
                <w:szCs w:val="15"/>
              </w:rPr>
            </w:pPr>
            <w:r>
              <w:rPr>
                <w:rFonts w:hint="default" w:ascii="Times New Roman" w:hAnsi="Times New Roman" w:cs="Times New Roman"/>
                <w:b w:val="0"/>
                <w:bCs w:val="0"/>
                <w:color w:val="auto"/>
                <w:kern w:val="0"/>
                <w:sz w:val="16"/>
                <w:szCs w:val="16"/>
                <w:lang w:val="en-US" w:eastAsia="zh-CN"/>
              </w:rPr>
              <w:t>Glycine max glutathione S-transferase GST 7 (LOC547578),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bCs/>
                <w:color w:val="000000"/>
                <w:sz w:val="15"/>
                <w:szCs w:val="15"/>
              </w:rPr>
            </w:pPr>
            <w:r>
              <w:rPr>
                <w:rFonts w:hint="eastAsia" w:ascii="Times New Roman" w:hAnsi="Times New Roman" w:eastAsia="宋体" w:cs="Times New Roman"/>
                <w:bCs/>
                <w:color w:val="000000"/>
                <w:sz w:val="15"/>
                <w:szCs w:val="15"/>
              </w:rPr>
              <w:t>McGonigle, B., Keeler, S.J., Lau, S.M., Koeppe, M.K., and O'Keefe, D.P. (2000). A genomics approach to the comprehensive analysis of the glutathione S-transferase gene family in soybean and maize. Plant Physiol 124, 1105-1120. doi:10.1104/pp.124.3.1105</w:t>
            </w:r>
          </w:p>
        </w:tc>
      </w:tr>
      <w:tr>
        <w:tblPrEx>
          <w:tblCellMar>
            <w:top w:w="0" w:type="dxa"/>
            <w:left w:w="108" w:type="dxa"/>
            <w:bottom w:w="0" w:type="dxa"/>
            <w:right w:w="108" w:type="dxa"/>
          </w:tblCellMar>
        </w:tblPrEx>
        <w:trPr>
          <w:trHeight w:val="300"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5</w:t>
            </w:r>
          </w:p>
        </w:tc>
        <w:tc>
          <w:tcPr>
            <w:tcW w:w="378" w:type="pct"/>
            <w:tcBorders>
              <w:top w:val="nil"/>
              <w:left w:val="nil"/>
              <w:bottom w:val="single" w:color="auto" w:sz="4" w:space="0"/>
              <w:right w:val="single" w:color="auto" w:sz="4" w:space="0"/>
            </w:tcBorders>
            <w:shd w:val="clear" w:color="auto" w:fill="auto"/>
            <w:noWrap/>
            <w:vAlign w:val="top"/>
          </w:tcPr>
          <w:p>
            <w:pPr>
              <w:numPr>
                <w:ilvl w:val="0"/>
                <w:numId w:val="0"/>
              </w:numPr>
              <w:spacing w:after="120" w:line="276" w:lineRule="auto"/>
              <w:ind w:left="0" w:leftChars="0" w:firstLine="0" w:firstLineChars="0"/>
              <w:jc w:val="left"/>
              <w:rPr>
                <w:rFonts w:hint="eastAsia" w:ascii="Times New Roman" w:hAnsi="Times New Roman" w:eastAsia="宋体" w:cs="Times New Roman"/>
                <w:i w:val="0"/>
                <w:iCs w:val="0"/>
                <w:color w:val="000000"/>
                <w:sz w:val="15"/>
                <w:szCs w:val="15"/>
              </w:rPr>
            </w:pPr>
          </w:p>
          <w:p>
            <w:pPr>
              <w:numPr>
                <w:ilvl w:val="0"/>
                <w:numId w:val="0"/>
              </w:numPr>
              <w:spacing w:after="120" w:line="276" w:lineRule="auto"/>
              <w:ind w:left="0" w:leftChars="0" w:firstLine="0" w:firstLineChars="0"/>
              <w:jc w:val="left"/>
              <w:rPr>
                <w:rFonts w:ascii="Times New Roman" w:hAnsi="Times New Roman" w:eastAsia="宋体" w:cs="Times New Roman"/>
                <w:i w:val="0"/>
                <w:iCs w:val="0"/>
                <w:color w:val="000000"/>
                <w:sz w:val="15"/>
                <w:szCs w:val="15"/>
              </w:rPr>
            </w:pPr>
            <w:r>
              <w:rPr>
                <w:rFonts w:hint="eastAsia" w:ascii="Times New Roman" w:hAnsi="Times New Roman" w:eastAsia="宋体" w:cs="Times New Roman"/>
                <w:i w:val="0"/>
                <w:iCs w:val="0"/>
                <w:color w:val="000000"/>
                <w:sz w:val="15"/>
                <w:szCs w:val="15"/>
              </w:rPr>
              <w:t>LOC100781111</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XM_003519095.3</w:t>
            </w:r>
          </w:p>
        </w:tc>
        <w:tc>
          <w:tcPr>
            <w:tcW w:w="626" w:type="pct"/>
            <w:tcBorders>
              <w:top w:val="nil"/>
              <w:left w:val="nil"/>
              <w:bottom w:val="single" w:color="auto" w:sz="4" w:space="0"/>
              <w:right w:val="single" w:color="auto" w:sz="4" w:space="0"/>
            </w:tcBorders>
            <w:shd w:val="clear" w:color="auto" w:fill="auto"/>
            <w:noWrap/>
            <w:vAlign w:val="top"/>
          </w:tcPr>
          <w:p>
            <w:pPr>
              <w:numPr>
                <w:ilvl w:val="0"/>
                <w:numId w:val="0"/>
              </w:numPr>
              <w:spacing w:after="120" w:line="276" w:lineRule="auto"/>
              <w:ind w:left="0" w:leftChars="0" w:firstLine="0" w:firstLineChars="0"/>
              <w:jc w:val="left"/>
              <w:rPr>
                <w:rFonts w:hint="eastAsia" w:ascii="Times New Roman" w:hAnsi="Times New Roman" w:cs="Times New Roman"/>
                <w:b w:val="0"/>
                <w:bCs w:val="0"/>
                <w:i/>
                <w:iCs/>
                <w:color w:val="auto"/>
                <w:kern w:val="0"/>
                <w:sz w:val="16"/>
                <w:szCs w:val="16"/>
                <w:lang w:val="en-US" w:eastAsia="zh-CN"/>
              </w:rPr>
            </w:pPr>
          </w:p>
          <w:p>
            <w:pPr>
              <w:numPr>
                <w:ilvl w:val="0"/>
                <w:numId w:val="0"/>
              </w:numPr>
              <w:spacing w:after="120" w:line="276" w:lineRule="auto"/>
              <w:ind w:left="0" w:leftChars="0" w:firstLine="0" w:firstLineChars="0"/>
              <w:jc w:val="left"/>
              <w:rPr>
                <w:rFonts w:ascii="Times New Roman" w:hAnsi="Times New Roman" w:eastAsia="宋体" w:cs="Times New Roman"/>
                <w:i/>
                <w:iCs/>
                <w:color w:val="000000"/>
                <w:sz w:val="15"/>
                <w:szCs w:val="15"/>
              </w:rPr>
            </w:pPr>
            <w:r>
              <w:rPr>
                <w:rFonts w:hint="eastAsia" w:ascii="Times New Roman" w:hAnsi="Times New Roman" w:cs="Times New Roman"/>
                <w:b w:val="0"/>
                <w:bCs w:val="0"/>
                <w:i/>
                <w:iCs/>
                <w:color w:val="auto"/>
                <w:kern w:val="0"/>
                <w:sz w:val="16"/>
                <w:szCs w:val="16"/>
                <w:lang w:val="en-US" w:eastAsia="zh-CN"/>
              </w:rPr>
              <w:t>GLYMA_02G202900</w:t>
            </w:r>
          </w:p>
        </w:tc>
        <w:tc>
          <w:tcPr>
            <w:tcW w:w="959" w:type="pct"/>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jc w:val="left"/>
              <w:textAlignment w:val="bottom"/>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PREDICTED: Glycine max CBL-interacting serine/threonine-protein kinase 6 (LOC100781111),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color w:val="000000"/>
                <w:sz w:val="15"/>
                <w:szCs w:val="15"/>
              </w:rPr>
            </w:pPr>
          </w:p>
        </w:tc>
      </w:tr>
      <w:tr>
        <w:tblPrEx>
          <w:tblCellMar>
            <w:top w:w="0" w:type="dxa"/>
            <w:left w:w="108" w:type="dxa"/>
            <w:bottom w:w="0" w:type="dxa"/>
            <w:right w:w="108" w:type="dxa"/>
          </w:tblCellMar>
        </w:tblPrEx>
        <w:trPr>
          <w:trHeight w:val="384"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6</w:t>
            </w:r>
          </w:p>
        </w:tc>
        <w:tc>
          <w:tcPr>
            <w:tcW w:w="378"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i w:val="0"/>
                <w:iCs w:val="0"/>
                <w:color w:val="000000"/>
                <w:sz w:val="15"/>
                <w:szCs w:val="15"/>
              </w:rPr>
            </w:pPr>
            <w:r>
              <w:rPr>
                <w:rFonts w:hint="eastAsia" w:ascii="Times New Roman" w:hAnsi="Times New Roman" w:eastAsia="宋体" w:cs="Times New Roman"/>
                <w:i w:val="0"/>
                <w:iCs w:val="0"/>
                <w:color w:val="000000"/>
                <w:sz w:val="15"/>
                <w:szCs w:val="15"/>
              </w:rPr>
              <w:t>BZIP73A</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NM_001248087.1</w:t>
            </w:r>
          </w:p>
        </w:tc>
        <w:tc>
          <w:tcPr>
            <w:tcW w:w="626"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i/>
                <w:iCs/>
                <w:color w:val="000000"/>
                <w:sz w:val="15"/>
                <w:szCs w:val="15"/>
              </w:rPr>
            </w:pPr>
            <w:r>
              <w:rPr>
                <w:rFonts w:hint="eastAsia" w:ascii="Times New Roman" w:hAnsi="Times New Roman" w:cs="Times New Roman"/>
                <w:b w:val="0"/>
                <w:bCs w:val="0"/>
                <w:i/>
                <w:iCs/>
                <w:color w:val="auto"/>
                <w:kern w:val="0"/>
                <w:sz w:val="16"/>
                <w:szCs w:val="16"/>
                <w:lang w:val="en-US" w:eastAsia="zh-CN"/>
              </w:rPr>
              <w:t>GLYMA_18G277100</w:t>
            </w:r>
          </w:p>
        </w:tc>
        <w:tc>
          <w:tcPr>
            <w:tcW w:w="959"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left"/>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Glycine max bZIP transcription factor bZIP73A (BZIP73A),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Liao, Y., Zou, H.F., Wei, W., Hao, Y.J., and Tian, A.G., et al. (2008). Soybean GmbZIP44, GmbZIP62 and GmbZIP78 genes function as negative regulator of ABA signaling and confer salt and freezing tolerance in transgenic Arabidopsis. Planta 228, 225-240. doi:10.1007/s00425-008-0731-3</w:t>
            </w:r>
          </w:p>
        </w:tc>
      </w:tr>
      <w:tr>
        <w:tblPrEx>
          <w:tblCellMar>
            <w:top w:w="0" w:type="dxa"/>
            <w:left w:w="108" w:type="dxa"/>
            <w:bottom w:w="0" w:type="dxa"/>
            <w:right w:w="108" w:type="dxa"/>
          </w:tblCellMar>
        </w:tblPrEx>
        <w:trPr>
          <w:trHeight w:val="300"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7</w:t>
            </w:r>
          </w:p>
        </w:tc>
        <w:tc>
          <w:tcPr>
            <w:tcW w:w="378"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both"/>
              <w:rPr>
                <w:rFonts w:ascii="Times New Roman" w:hAnsi="Times New Roman" w:eastAsia="宋体" w:cs="Times New Roman"/>
                <w:i w:val="0"/>
                <w:iCs w:val="0"/>
                <w:color w:val="000000"/>
                <w:sz w:val="15"/>
                <w:szCs w:val="15"/>
              </w:rPr>
            </w:pPr>
            <w:r>
              <w:rPr>
                <w:rFonts w:hint="eastAsia" w:ascii="Times New Roman" w:hAnsi="Times New Roman" w:eastAsia="宋体" w:cs="Times New Roman"/>
                <w:i w:val="0"/>
                <w:iCs w:val="0"/>
                <w:color w:val="000000"/>
                <w:sz w:val="15"/>
                <w:szCs w:val="15"/>
              </w:rPr>
              <w:t>LOC100803789</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both"/>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XM_003536613.3</w:t>
            </w:r>
          </w:p>
        </w:tc>
        <w:tc>
          <w:tcPr>
            <w:tcW w:w="626"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both"/>
              <w:rPr>
                <w:rFonts w:ascii="Times New Roman" w:hAnsi="Times New Roman" w:eastAsia="宋体" w:cs="Times New Roman"/>
                <w:i/>
                <w:iCs/>
                <w:color w:val="000000"/>
                <w:sz w:val="15"/>
                <w:szCs w:val="15"/>
              </w:rPr>
            </w:pPr>
            <w:r>
              <w:rPr>
                <w:rFonts w:hint="eastAsia" w:ascii="Times New Roman" w:hAnsi="Times New Roman" w:cs="Times New Roman"/>
                <w:b w:val="0"/>
                <w:bCs w:val="0"/>
                <w:i/>
                <w:iCs/>
                <w:color w:val="auto"/>
                <w:kern w:val="0"/>
                <w:sz w:val="16"/>
                <w:szCs w:val="16"/>
                <w:lang w:val="en-US" w:eastAsia="zh-CN"/>
              </w:rPr>
              <w:t>GLYMA_10G268900</w:t>
            </w:r>
          </w:p>
        </w:tc>
        <w:tc>
          <w:tcPr>
            <w:tcW w:w="959" w:type="pct"/>
            <w:tcBorders>
              <w:top w:val="nil"/>
              <w:left w:val="nil"/>
              <w:bottom w:val="single" w:color="auto" w:sz="4" w:space="0"/>
              <w:right w:val="single" w:color="auto" w:sz="4" w:space="0"/>
            </w:tcBorders>
            <w:shd w:val="clear" w:color="auto" w:fill="auto"/>
            <w:noWrap/>
            <w:vAlign w:val="bottom"/>
          </w:tcPr>
          <w:p>
            <w:pPr>
              <w:keepNext w:val="0"/>
              <w:keepLines w:val="0"/>
              <w:widowControl/>
              <w:suppressLineNumbers w:val="0"/>
              <w:jc w:val="left"/>
              <w:textAlignment w:val="bottom"/>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PREDICTED: Glycine max E3 ubiquitin-protein ligase RHA2A-like (LOC100803789),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color w:val="000000"/>
                <w:sz w:val="15"/>
                <w:szCs w:val="15"/>
              </w:rPr>
            </w:pPr>
          </w:p>
        </w:tc>
      </w:tr>
      <w:tr>
        <w:tblPrEx>
          <w:tblCellMar>
            <w:top w:w="0" w:type="dxa"/>
            <w:left w:w="108" w:type="dxa"/>
            <w:bottom w:w="0" w:type="dxa"/>
            <w:right w:w="108" w:type="dxa"/>
          </w:tblCellMar>
        </w:tblPrEx>
        <w:trPr>
          <w:trHeight w:val="300"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8</w:t>
            </w:r>
          </w:p>
        </w:tc>
        <w:tc>
          <w:tcPr>
            <w:tcW w:w="378"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both"/>
              <w:rPr>
                <w:rFonts w:ascii="Times New Roman" w:hAnsi="Times New Roman" w:eastAsia="宋体" w:cs="Times New Roman"/>
                <w:i w:val="0"/>
                <w:iCs w:val="0"/>
                <w:color w:val="000000"/>
                <w:sz w:val="15"/>
                <w:szCs w:val="15"/>
              </w:rPr>
            </w:pPr>
            <w:r>
              <w:rPr>
                <w:rFonts w:ascii="Times New Roman" w:hAnsi="Times New Roman" w:eastAsia="宋体" w:cs="Times New Roman"/>
                <w:i w:val="0"/>
                <w:iCs w:val="0"/>
                <w:color w:val="000000"/>
                <w:sz w:val="15"/>
                <w:szCs w:val="15"/>
              </w:rPr>
              <w:t>AOS2</w:t>
            </w:r>
          </w:p>
        </w:tc>
        <w:tc>
          <w:tcPr>
            <w:tcW w:w="502"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both"/>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NM_001249516.1</w:t>
            </w:r>
          </w:p>
        </w:tc>
        <w:tc>
          <w:tcPr>
            <w:tcW w:w="626"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both"/>
              <w:rPr>
                <w:rFonts w:ascii="Times New Roman" w:hAnsi="Times New Roman" w:eastAsia="宋体" w:cs="Times New Roman"/>
                <w:i/>
                <w:iCs/>
                <w:color w:val="000000"/>
                <w:sz w:val="15"/>
                <w:szCs w:val="15"/>
              </w:rPr>
            </w:pPr>
            <w:r>
              <w:rPr>
                <w:rFonts w:hint="eastAsia" w:ascii="Times New Roman" w:hAnsi="Times New Roman" w:cs="Times New Roman"/>
                <w:b w:val="0"/>
                <w:bCs w:val="0"/>
                <w:i/>
                <w:iCs/>
                <w:color w:val="auto"/>
                <w:kern w:val="0"/>
                <w:sz w:val="16"/>
                <w:szCs w:val="16"/>
                <w:lang w:val="en-US" w:eastAsia="zh-CN"/>
              </w:rPr>
              <w:t>GLYMA_17G246500</w:t>
            </w:r>
          </w:p>
        </w:tc>
        <w:tc>
          <w:tcPr>
            <w:tcW w:w="959" w:type="pct"/>
            <w:tcBorders>
              <w:top w:val="nil"/>
              <w:left w:val="nil"/>
              <w:bottom w:val="single" w:color="auto" w:sz="4" w:space="0"/>
              <w:right w:val="single" w:color="auto" w:sz="4" w:space="0"/>
            </w:tcBorders>
            <w:shd w:val="clear" w:color="auto" w:fill="auto"/>
            <w:noWrap/>
            <w:vAlign w:val="bottom"/>
          </w:tcPr>
          <w:p>
            <w:pPr>
              <w:numPr>
                <w:ilvl w:val="0"/>
                <w:numId w:val="0"/>
              </w:numPr>
              <w:spacing w:after="120" w:line="276" w:lineRule="auto"/>
              <w:ind w:left="0" w:leftChars="0" w:firstLine="0" w:firstLineChars="0"/>
              <w:jc w:val="both"/>
              <w:rPr>
                <w:rFonts w:ascii="Times New Roman" w:hAnsi="Times New Roman" w:eastAsia="宋体" w:cs="Times New Roman"/>
                <w:color w:val="000000"/>
                <w:sz w:val="15"/>
                <w:szCs w:val="15"/>
              </w:rPr>
            </w:pPr>
            <w:r>
              <w:rPr>
                <w:rFonts w:hint="default" w:ascii="Times New Roman" w:hAnsi="Times New Roman" w:cs="Times New Roman"/>
                <w:b w:val="0"/>
                <w:bCs w:val="0"/>
                <w:color w:val="auto"/>
                <w:kern w:val="0"/>
                <w:sz w:val="16"/>
                <w:szCs w:val="16"/>
                <w:lang w:val="en-US" w:eastAsia="zh-CN"/>
              </w:rPr>
              <w:t>Glycine max allene oxide synthase (AOS2),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rPr>
                <w:rFonts w:ascii="Times New Roman" w:hAnsi="Times New Roman" w:eastAsia="宋体" w:cs="Times New Roman"/>
                <w:color w:val="000000"/>
                <w:sz w:val="15"/>
                <w:szCs w:val="15"/>
              </w:rPr>
            </w:pPr>
            <w:r>
              <w:rPr>
                <w:rFonts w:hint="default" w:ascii="Times New Roman" w:hAnsi="Times New Roman" w:eastAsia="宋体" w:cs="Times New Roman"/>
                <w:color w:val="000000"/>
                <w:sz w:val="15"/>
                <w:szCs w:val="15"/>
              </w:rPr>
              <w:t>Wu, J., Wu, Q., Wu, Q., Gai, J., and Yu, D. (2008). Constitutive overexpression of AOS-like gene from soybean enhanced tolerance to insect attack in transgenic tobacco. Biotechnol Lett 30, 1693-1698. doi:10.1007/s10529-008-9742-1</w:t>
            </w:r>
          </w:p>
        </w:tc>
      </w:tr>
      <w:tr>
        <w:tblPrEx>
          <w:tblCellMar>
            <w:top w:w="0" w:type="dxa"/>
            <w:left w:w="108" w:type="dxa"/>
            <w:bottom w:w="0" w:type="dxa"/>
            <w:right w:w="108" w:type="dxa"/>
          </w:tblCellMar>
        </w:tblPrEx>
        <w:trPr>
          <w:trHeight w:val="560" w:hRule="atLeast"/>
          <w:jc w:val="center"/>
        </w:trPr>
        <w:tc>
          <w:tcPr>
            <w:tcW w:w="297" w:type="pct"/>
            <w:tcBorders>
              <w:top w:val="nil"/>
              <w:left w:val="single" w:color="auto" w:sz="4" w:space="0"/>
              <w:bottom w:val="single" w:color="auto" w:sz="4" w:space="0"/>
              <w:right w:val="single" w:color="auto" w:sz="4" w:space="0"/>
            </w:tcBorders>
            <w:shd w:val="clear" w:color="auto" w:fill="auto"/>
            <w:noWrap/>
            <w:vAlign w:val="center"/>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9</w:t>
            </w:r>
          </w:p>
        </w:tc>
        <w:tc>
          <w:tcPr>
            <w:tcW w:w="378" w:type="pct"/>
            <w:tcBorders>
              <w:top w:val="nil"/>
              <w:left w:val="nil"/>
              <w:bottom w:val="single" w:color="auto" w:sz="4" w:space="0"/>
              <w:right w:val="single" w:color="auto" w:sz="4" w:space="0"/>
            </w:tcBorders>
            <w:shd w:val="clear" w:color="auto" w:fill="auto"/>
            <w:noWrap/>
            <w:vAlign w:val="bottom"/>
          </w:tcPr>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color w:val="000000"/>
                <w:sz w:val="15"/>
                <w:szCs w:val="15"/>
              </w:rPr>
              <w:t>LOC100803787</w:t>
            </w:r>
          </w:p>
        </w:tc>
        <w:tc>
          <w:tcPr>
            <w:tcW w:w="502" w:type="pct"/>
            <w:tcBorders>
              <w:top w:val="nil"/>
              <w:left w:val="nil"/>
              <w:bottom w:val="single" w:color="auto" w:sz="4" w:space="0"/>
              <w:right w:val="single" w:color="auto" w:sz="4" w:space="0"/>
            </w:tcBorders>
            <w:shd w:val="clear" w:color="auto" w:fill="auto"/>
            <w:noWrap/>
            <w:vAlign w:val="bottom"/>
          </w:tcPr>
          <w:p>
            <w:pPr>
              <w:adjustRightInd/>
              <w:snapToGrid/>
              <w:spacing w:after="0"/>
              <w:jc w:val="center"/>
              <w:rPr>
                <w:rFonts w:ascii="Times New Roman" w:hAnsi="Times New Roman" w:eastAsia="宋体" w:cs="Times New Roman"/>
                <w:bCs/>
                <w:color w:val="000000"/>
                <w:sz w:val="15"/>
                <w:szCs w:val="15"/>
                <w:lang w:val="en-US" w:eastAsia="zh-CN"/>
              </w:rPr>
            </w:pPr>
            <w:r>
              <w:rPr>
                <w:rFonts w:hint="default" w:ascii="Times New Roman" w:hAnsi="Times New Roman" w:eastAsia="宋体" w:cs="Times New Roman"/>
                <w:bCs/>
                <w:color w:val="000000"/>
                <w:sz w:val="15"/>
                <w:szCs w:val="15"/>
                <w:lang w:val="en-US" w:eastAsia="zh-CN"/>
              </w:rPr>
              <w:t>XM_014771166.1</w:t>
            </w:r>
          </w:p>
        </w:tc>
        <w:tc>
          <w:tcPr>
            <w:tcW w:w="626" w:type="pct"/>
            <w:tcBorders>
              <w:top w:val="nil"/>
              <w:left w:val="nil"/>
              <w:bottom w:val="single" w:color="auto" w:sz="4" w:space="0"/>
              <w:right w:val="single" w:color="auto" w:sz="4" w:space="0"/>
            </w:tcBorders>
            <w:shd w:val="clear" w:color="auto" w:fill="auto"/>
            <w:noWrap/>
            <w:vAlign w:val="bottom"/>
          </w:tcPr>
          <w:p>
            <w:pPr>
              <w:adjustRightInd/>
              <w:snapToGrid/>
              <w:spacing w:after="0"/>
              <w:jc w:val="center"/>
              <w:rPr>
                <w:rFonts w:ascii="Times New Roman" w:hAnsi="Times New Roman" w:eastAsia="宋体" w:cs="Times New Roman"/>
                <w:bCs/>
                <w:color w:val="000000"/>
                <w:sz w:val="15"/>
                <w:szCs w:val="15"/>
              </w:rPr>
            </w:pPr>
          </w:p>
          <w:p>
            <w:pPr>
              <w:adjustRightInd/>
              <w:snapToGrid/>
              <w:spacing w:after="0"/>
              <w:jc w:val="center"/>
              <w:rPr>
                <w:rFonts w:ascii="Times New Roman" w:hAnsi="Times New Roman" w:eastAsia="宋体" w:cs="Times New Roman"/>
                <w:bCs/>
                <w:color w:val="000000"/>
                <w:sz w:val="15"/>
                <w:szCs w:val="15"/>
              </w:rPr>
            </w:pPr>
          </w:p>
          <w:p>
            <w:pPr>
              <w:adjustRightInd/>
              <w:snapToGrid/>
              <w:spacing w:after="0"/>
              <w:jc w:val="center"/>
              <w:rPr>
                <w:rFonts w:ascii="Times New Roman" w:hAnsi="Times New Roman" w:eastAsia="宋体" w:cs="Times New Roman"/>
                <w:bCs/>
                <w:color w:val="000000"/>
                <w:sz w:val="15"/>
                <w:szCs w:val="15"/>
              </w:rPr>
            </w:pPr>
            <w:r>
              <w:rPr>
                <w:rFonts w:ascii="Times New Roman" w:hAnsi="Times New Roman" w:eastAsia="宋体" w:cs="Times New Roman"/>
                <w:bCs/>
                <w:i/>
                <w:iCs/>
                <w:color w:val="000000"/>
                <w:sz w:val="15"/>
                <w:szCs w:val="15"/>
              </w:rPr>
              <w:t>GLYMA</w:t>
            </w:r>
            <w:r>
              <w:rPr>
                <w:rFonts w:hint="eastAsia" w:ascii="Times New Roman" w:hAnsi="Times New Roman" w:eastAsia="宋体" w:cs="Times New Roman"/>
                <w:bCs/>
                <w:i/>
                <w:iCs/>
                <w:color w:val="000000"/>
                <w:sz w:val="15"/>
                <w:szCs w:val="15"/>
              </w:rPr>
              <w:t>.</w:t>
            </w:r>
            <w:r>
              <w:rPr>
                <w:rFonts w:ascii="Times New Roman" w:hAnsi="Times New Roman" w:eastAsia="宋体" w:cs="Times New Roman"/>
                <w:bCs/>
                <w:i/>
                <w:iCs/>
                <w:color w:val="000000"/>
                <w:sz w:val="15"/>
                <w:szCs w:val="15"/>
              </w:rPr>
              <w:t>18G212200</w:t>
            </w:r>
          </w:p>
          <w:p>
            <w:pPr>
              <w:adjustRightInd/>
              <w:snapToGrid/>
              <w:spacing w:after="0"/>
              <w:jc w:val="center"/>
              <w:rPr>
                <w:rFonts w:ascii="Times New Roman" w:hAnsi="Times New Roman" w:eastAsia="宋体" w:cs="Times New Roman"/>
                <w:bCs/>
                <w:color w:val="000000"/>
                <w:sz w:val="15"/>
                <w:szCs w:val="15"/>
              </w:rPr>
            </w:pPr>
          </w:p>
        </w:tc>
        <w:tc>
          <w:tcPr>
            <w:tcW w:w="959" w:type="pct"/>
            <w:tcBorders>
              <w:top w:val="nil"/>
              <w:left w:val="nil"/>
              <w:bottom w:val="single" w:color="auto" w:sz="4" w:space="0"/>
              <w:right w:val="single" w:color="auto" w:sz="4" w:space="0"/>
            </w:tcBorders>
            <w:shd w:val="clear" w:color="auto" w:fill="auto"/>
            <w:noWrap/>
            <w:vAlign w:val="bottom"/>
          </w:tcPr>
          <w:p>
            <w:pPr>
              <w:adjustRightInd/>
              <w:snapToGrid/>
              <w:spacing w:after="0"/>
              <w:jc w:val="center"/>
              <w:rPr>
                <w:rFonts w:ascii="Times New Roman" w:hAnsi="Times New Roman" w:eastAsia="宋体" w:cs="Times New Roman"/>
                <w:bCs/>
                <w:color w:val="000000"/>
                <w:sz w:val="15"/>
                <w:szCs w:val="15"/>
              </w:rPr>
            </w:pPr>
            <w:r>
              <w:rPr>
                <w:rFonts w:hint="default" w:ascii="Times New Roman" w:hAnsi="Times New Roman" w:eastAsia="宋体" w:cs="Times New Roman"/>
                <w:bCs/>
                <w:color w:val="000000"/>
                <w:sz w:val="15"/>
                <w:szCs w:val="15"/>
                <w:lang w:val="en-US" w:eastAsia="zh-CN"/>
              </w:rPr>
              <w:t>PREDICTED: Glycine max CBL-interacting protein kinase 2-like (LOC100803787), transcript variant X1, mRNA</w:t>
            </w:r>
          </w:p>
        </w:tc>
        <w:tc>
          <w:tcPr>
            <w:tcW w:w="2235" w:type="pct"/>
            <w:tcBorders>
              <w:top w:val="nil"/>
              <w:left w:val="nil"/>
              <w:bottom w:val="single" w:color="auto" w:sz="4" w:space="0"/>
              <w:right w:val="single" w:color="auto" w:sz="4" w:space="0"/>
            </w:tcBorders>
            <w:shd w:val="clear" w:color="auto" w:fill="auto"/>
            <w:vAlign w:val="center"/>
          </w:tcPr>
          <w:p>
            <w:pPr>
              <w:adjustRightInd/>
              <w:snapToGrid/>
              <w:spacing w:after="0"/>
              <w:jc w:val="center"/>
              <w:rPr>
                <w:rFonts w:ascii="Times New Roman" w:hAnsi="Times New Roman" w:eastAsia="宋体" w:cs="Times New Roman"/>
                <w:bCs/>
                <w:color w:val="000000"/>
                <w:sz w:val="15"/>
                <w:szCs w:val="15"/>
              </w:rPr>
            </w:pPr>
          </w:p>
        </w:tc>
      </w:tr>
    </w:tbl>
    <w:p>
      <w:pPr>
        <w:widowControl/>
        <w:adjustRightInd w:val="0"/>
        <w:snapToGrid w:val="0"/>
        <w:spacing w:after="200" w:line="220" w:lineRule="atLeast"/>
        <w:jc w:val="left"/>
        <w:rPr>
          <w:rFonts w:ascii="Tahoma" w:hAnsi="Tahoma" w:eastAsia="微软雅黑" w:cs="Times New Roman"/>
          <w:kern w:val="0"/>
          <w:sz w:val="22"/>
          <w:szCs w:val="22"/>
        </w:rPr>
        <w:sectPr>
          <w:pgSz w:w="16838" w:h="11906" w:orient="landscape"/>
          <w:pgMar w:top="1800" w:right="1440" w:bottom="1800" w:left="1440" w:header="708" w:footer="708" w:gutter="0"/>
          <w:cols w:space="708" w:num="1"/>
          <w:docGrid w:linePitch="360" w:charSpace="0"/>
        </w:sectPr>
      </w:pPr>
    </w:p>
    <w:p/>
    <w:sectPr>
      <w:pgSz w:w="16838" w:h="11906" w:orient="landscape"/>
      <w:pgMar w:top="1800" w:right="1440" w:bottom="180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Courier New">
    <w:panose1 w:val="02070309020205020404"/>
    <w:charset w:val="00"/>
    <w:family w:val="auto"/>
    <w:pitch w:val="default"/>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25354"/>
    <w:rsid w:val="07342A9D"/>
    <w:rsid w:val="15525354"/>
    <w:rsid w:val="17F22769"/>
    <w:rsid w:val="195A73B9"/>
    <w:rsid w:val="27B21704"/>
    <w:rsid w:val="2E7D5CEC"/>
    <w:rsid w:val="2F222F0D"/>
    <w:rsid w:val="30861B03"/>
    <w:rsid w:val="3BB079EE"/>
    <w:rsid w:val="3EBF1643"/>
    <w:rsid w:val="495666C2"/>
    <w:rsid w:val="4FD64878"/>
    <w:rsid w:val="54A17975"/>
    <w:rsid w:val="58B16930"/>
    <w:rsid w:val="6A9A2A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Light Shading"/>
    <w:basedOn w:val="3"/>
    <w:qFormat/>
    <w:uiPriority w:val="60"/>
    <w:rPr>
      <w:color w:val="000000"/>
      <w:kern w:val="0"/>
      <w:sz w:val="20"/>
      <w:szCs w:val="2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BFBFBF"/>
      </w:tcPr>
    </w:tblStylePr>
    <w:tblStylePr w:type="band1Horz">
      <w:tblPr/>
      <w:tcPr>
        <w:tcBorders>
          <w:top w:val="nil"/>
          <w:left w:val="nil"/>
          <w:bottom w:val="nil"/>
          <w:right w:val="nil"/>
          <w:insideH w:val="nil"/>
          <w:insideV w:val="nil"/>
          <w:tl2br w:val="nil"/>
          <w:tr2bl w:val="nil"/>
        </w:tcBorders>
        <w:shd w:val="clear" w:color="auto" w:fill="BFBFBF"/>
      </w:tcPr>
    </w:tblStylePr>
  </w:style>
  <w:style w:type="table" w:customStyle="1" w:styleId="6">
    <w:name w:val="浅色底纹14"/>
    <w:basedOn w:val="3"/>
    <w:qFormat/>
    <w:uiPriority w:val="60"/>
    <w:rPr>
      <w:color w:val="000000"/>
      <w:kern w:val="0"/>
      <w:sz w:val="20"/>
      <w:szCs w:val="2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1781</Words>
  <Characters>15475</Characters>
  <Lines>0</Lines>
  <Paragraphs>0</Paragraphs>
  <TotalTime>2</TotalTime>
  <ScaleCrop>false</ScaleCrop>
  <LinksUpToDate>false</LinksUpToDate>
  <CharactersWithSpaces>16769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2021-07-13T08:40:00Z</dcterms:created>
  <dc:creator>你把我灌醉</dc:creator>
  <cp:lastModifiedBy>你把我灌醉</cp:lastModifiedBy>
  <dcterms:modified xsi:type="dcterms:W3CDTF">2022-03-31T07:16:23Z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23CDF81070D742649E8D451BC2431B69</vt:lpwstr>
  </property>
</Properties>
</file>