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LightGrid"/>
        <w:tblW w:w="13691" w:type="dxa"/>
        <w:tblInd w:w="-400" w:type="dxa"/>
        <w:tblLayout w:type="fixed"/>
        <w:tblLook w:val="04A0"/>
      </w:tblPr>
      <w:tblGrid>
        <w:gridCol w:w="2068"/>
        <w:gridCol w:w="2693"/>
        <w:gridCol w:w="1417"/>
        <w:gridCol w:w="1843"/>
        <w:gridCol w:w="5670"/>
      </w:tblGrid>
      <w:tr w:rsidR="004B0CD5" w:rsidTr="008620F5">
        <w:trPr>
          <w:cnfStyle w:val="100000000000"/>
        </w:trPr>
        <w:tc>
          <w:tcPr>
            <w:cnfStyle w:val="001000000000"/>
            <w:tcW w:w="2068" w:type="dxa"/>
          </w:tcPr>
          <w:p w:rsidR="003141B4" w:rsidRPr="00D829F3" w:rsidRDefault="003141B4">
            <w:pPr>
              <w:rPr>
                <w:highlight w:val="yellow"/>
              </w:rPr>
            </w:pPr>
            <w:bookmarkStart w:id="0" w:name="_GoBack"/>
            <w:r w:rsidRPr="00D829F3">
              <w:rPr>
                <w:highlight w:val="yellow"/>
              </w:rPr>
              <w:t xml:space="preserve">Name of the study </w:t>
            </w:r>
          </w:p>
        </w:tc>
        <w:tc>
          <w:tcPr>
            <w:tcW w:w="2693" w:type="dxa"/>
          </w:tcPr>
          <w:p w:rsidR="003141B4" w:rsidRPr="00D829F3" w:rsidRDefault="001117B0">
            <w:pPr>
              <w:cnfStyle w:val="100000000000"/>
              <w:rPr>
                <w:highlight w:val="yellow"/>
              </w:rPr>
            </w:pPr>
            <w:r>
              <w:rPr>
                <w:highlight w:val="yellow"/>
              </w:rPr>
              <w:t>Aim</w:t>
            </w:r>
          </w:p>
        </w:tc>
        <w:tc>
          <w:tcPr>
            <w:tcW w:w="1417" w:type="dxa"/>
          </w:tcPr>
          <w:p w:rsidR="003141B4" w:rsidRPr="00D829F3" w:rsidRDefault="00E3153C">
            <w:pPr>
              <w:cnfStyle w:val="100000000000"/>
              <w:rPr>
                <w:highlight w:val="yellow"/>
              </w:rPr>
            </w:pPr>
            <w:r w:rsidRPr="00D829F3">
              <w:rPr>
                <w:highlight w:val="yellow"/>
              </w:rPr>
              <w:t xml:space="preserve">Methods  </w:t>
            </w:r>
          </w:p>
        </w:tc>
        <w:tc>
          <w:tcPr>
            <w:tcW w:w="1843" w:type="dxa"/>
          </w:tcPr>
          <w:p w:rsidR="003141B4" w:rsidRPr="00D829F3" w:rsidRDefault="00F8791F" w:rsidP="00837DD2">
            <w:pPr>
              <w:cnfStyle w:val="100000000000"/>
              <w:rPr>
                <w:highlight w:val="yellow"/>
              </w:rPr>
            </w:pPr>
            <w:r>
              <w:rPr>
                <w:highlight w:val="yellow"/>
              </w:rPr>
              <w:t xml:space="preserve">Measurements </w:t>
            </w:r>
          </w:p>
        </w:tc>
        <w:tc>
          <w:tcPr>
            <w:tcW w:w="5670" w:type="dxa"/>
          </w:tcPr>
          <w:p w:rsidR="003141B4" w:rsidRPr="00D829F3" w:rsidRDefault="00F72346">
            <w:pPr>
              <w:cnfStyle w:val="100000000000"/>
              <w:rPr>
                <w:highlight w:val="yellow"/>
              </w:rPr>
            </w:pPr>
            <w:r>
              <w:rPr>
                <w:highlight w:val="yellow"/>
              </w:rPr>
              <w:t xml:space="preserve">Results </w:t>
            </w:r>
          </w:p>
        </w:tc>
      </w:tr>
      <w:tr w:rsidR="004B0CD5" w:rsidTr="008620F5">
        <w:trPr>
          <w:cnfStyle w:val="000000100000"/>
          <w:trHeight w:val="2936"/>
        </w:trPr>
        <w:tc>
          <w:tcPr>
            <w:cnfStyle w:val="001000000000"/>
            <w:tcW w:w="2068" w:type="dxa"/>
          </w:tcPr>
          <w:p w:rsidR="006F2933" w:rsidRPr="00D60479" w:rsidRDefault="006F2933" w:rsidP="009F6C90">
            <w:pPr>
              <w:pStyle w:val="NoSpacing"/>
              <w:rPr>
                <w:rFonts w:asciiTheme="majorBidi" w:hAnsiTheme="majorBidi"/>
                <w:u w:val="single"/>
              </w:rPr>
            </w:pPr>
            <w:r w:rsidRPr="00D60479">
              <w:rPr>
                <w:rFonts w:asciiTheme="majorBidi" w:hAnsiTheme="majorBidi"/>
                <w:u w:val="single"/>
              </w:rPr>
              <w:t>Social adversities and anxiety disorders in the Gaza Strip</w:t>
            </w:r>
          </w:p>
          <w:p w:rsidR="003141B4" w:rsidRPr="00D60479" w:rsidRDefault="003D4F65" w:rsidP="009F6C90">
            <w:pPr>
              <w:pStyle w:val="NoSpacing"/>
              <w:rPr>
                <w:rFonts w:asciiTheme="majorBidi" w:hAnsiTheme="majorBidi"/>
              </w:rPr>
            </w:pPr>
            <w:r w:rsidRPr="00D60479">
              <w:rPr>
                <w:rFonts w:asciiTheme="majorBidi" w:hAnsiTheme="majorBidi"/>
                <w:u w:val="single"/>
              </w:rPr>
              <w:t>1998</w:t>
            </w:r>
          </w:p>
        </w:tc>
        <w:tc>
          <w:tcPr>
            <w:tcW w:w="2693" w:type="dxa"/>
          </w:tcPr>
          <w:p w:rsidR="003141B4" w:rsidRPr="009F6C90" w:rsidRDefault="006F2933" w:rsidP="00A37500">
            <w:pPr>
              <w:pStyle w:val="NoSpacing"/>
              <w:cnfStyle w:val="000000100000"/>
              <w:rPr>
                <w:rFonts w:asciiTheme="majorBidi" w:hAnsiTheme="majorBidi" w:cstheme="majorBidi"/>
                <w:sz w:val="24"/>
                <w:szCs w:val="24"/>
              </w:rPr>
            </w:pPr>
            <w:r w:rsidRPr="009F6C90">
              <w:rPr>
                <w:rFonts w:asciiTheme="majorBidi" w:hAnsiTheme="majorBidi" w:cstheme="majorBidi"/>
                <w:sz w:val="24"/>
                <w:szCs w:val="24"/>
              </w:rPr>
              <w:t xml:space="preserve">To investigate the rate and nature of anxiety symptoms and disorders in children, and their relation to social adversities </w:t>
            </w:r>
          </w:p>
        </w:tc>
        <w:tc>
          <w:tcPr>
            <w:tcW w:w="1417" w:type="dxa"/>
          </w:tcPr>
          <w:p w:rsidR="003141B4" w:rsidRPr="009F6C90" w:rsidRDefault="006F2933" w:rsidP="009F6C90">
            <w:pPr>
              <w:pStyle w:val="NoSpacing"/>
              <w:cnfStyle w:val="000000100000"/>
              <w:rPr>
                <w:rFonts w:asciiTheme="majorBidi" w:hAnsiTheme="majorBidi" w:cstheme="majorBidi"/>
                <w:sz w:val="24"/>
                <w:szCs w:val="24"/>
              </w:rPr>
            </w:pPr>
            <w:r w:rsidRPr="009F6C90">
              <w:rPr>
                <w:rFonts w:asciiTheme="majorBidi" w:hAnsiTheme="majorBidi" w:cstheme="majorBidi"/>
                <w:sz w:val="24"/>
                <w:szCs w:val="24"/>
              </w:rPr>
              <w:t>237 children aged 9 to 13 years living in the Gaza Strip were selected randomly from 112 schools.</w:t>
            </w:r>
          </w:p>
        </w:tc>
        <w:tc>
          <w:tcPr>
            <w:tcW w:w="1843" w:type="dxa"/>
          </w:tcPr>
          <w:p w:rsidR="003141B4" w:rsidRPr="009F6C90" w:rsidRDefault="006F2933" w:rsidP="001E142C">
            <w:pPr>
              <w:pStyle w:val="NoSpacing"/>
              <w:cnfStyle w:val="000000100000"/>
              <w:rPr>
                <w:rFonts w:asciiTheme="majorBidi" w:hAnsiTheme="majorBidi" w:cstheme="majorBidi"/>
                <w:sz w:val="24"/>
                <w:szCs w:val="24"/>
              </w:rPr>
            </w:pPr>
            <w:r w:rsidRPr="009F6C90">
              <w:rPr>
                <w:rFonts w:asciiTheme="majorBidi" w:hAnsiTheme="majorBidi" w:cstheme="majorBidi"/>
                <w:sz w:val="24"/>
                <w:szCs w:val="24"/>
              </w:rPr>
              <w:t>anxiety scale</w:t>
            </w:r>
            <w:r w:rsidR="001E142C">
              <w:rPr>
                <w:rFonts w:asciiTheme="majorBidi" w:hAnsiTheme="majorBidi" w:cstheme="majorBidi"/>
                <w:sz w:val="24"/>
                <w:szCs w:val="24"/>
              </w:rPr>
              <w:t>,</w:t>
            </w:r>
            <w:r w:rsidRPr="009F6C90">
              <w:rPr>
                <w:rFonts w:asciiTheme="majorBidi" w:hAnsiTheme="majorBidi" w:cstheme="majorBidi"/>
                <w:sz w:val="24"/>
                <w:szCs w:val="24"/>
              </w:rPr>
              <w:t xml:space="preserve"> Rutter scale </w:t>
            </w:r>
          </w:p>
        </w:tc>
        <w:tc>
          <w:tcPr>
            <w:tcW w:w="5670" w:type="dxa"/>
          </w:tcPr>
          <w:p w:rsidR="003141B4" w:rsidRPr="009F6C90" w:rsidRDefault="006F2933" w:rsidP="009F6C90">
            <w:pPr>
              <w:pStyle w:val="NoSpacing"/>
              <w:cnfStyle w:val="000000100000"/>
              <w:rPr>
                <w:rFonts w:asciiTheme="majorBidi" w:hAnsiTheme="majorBidi" w:cstheme="majorBidi"/>
                <w:sz w:val="24"/>
                <w:szCs w:val="24"/>
              </w:rPr>
            </w:pPr>
            <w:r w:rsidRPr="009F6C90">
              <w:rPr>
                <w:rFonts w:asciiTheme="majorBidi" w:hAnsiTheme="majorBidi" w:cstheme="majorBidi"/>
                <w:sz w:val="24"/>
                <w:szCs w:val="24"/>
              </w:rPr>
              <w:t>Children reported high rates of significant anxiety problems (21.5%) and teachers reported high rates of mental health problems in the children (43.4%) that would justify clinical assessment. Anxiety problems, particularly negative cognitions, increased with age and were significantly higher among girls. Low socioeconomic status (father unemployed or unskilled worker) was the strongest predictor of general mental health problems. Living in inner city areas or camps, both common among refugees, was strongly associated with anxiety problems.</w:t>
            </w:r>
          </w:p>
        </w:tc>
      </w:tr>
      <w:tr w:rsidR="004B0CD5" w:rsidTr="008620F5">
        <w:trPr>
          <w:cnfStyle w:val="000000010000"/>
          <w:trHeight w:val="2252"/>
        </w:trPr>
        <w:tc>
          <w:tcPr>
            <w:cnfStyle w:val="001000000000"/>
            <w:tcW w:w="2068" w:type="dxa"/>
          </w:tcPr>
          <w:p w:rsidR="00896A95" w:rsidRPr="00D60479" w:rsidRDefault="00896A95" w:rsidP="00896A95">
            <w:pPr>
              <w:pStyle w:val="NoSpacing"/>
              <w:rPr>
                <w:u w:val="single"/>
              </w:rPr>
            </w:pPr>
            <w:r w:rsidRPr="00D60479">
              <w:rPr>
                <w:u w:val="single"/>
              </w:rPr>
              <w:t>Comorbidity of PTSD and depression among refugee children during war conflict</w:t>
            </w:r>
          </w:p>
          <w:p w:rsidR="005B7506" w:rsidRPr="00D60479" w:rsidRDefault="00B84EE3">
            <w:pPr>
              <w:rPr>
                <w:u w:val="single"/>
              </w:rPr>
            </w:pPr>
            <w:r w:rsidRPr="00D60479">
              <w:rPr>
                <w:u w:val="single"/>
              </w:rPr>
              <w:t>2004</w:t>
            </w:r>
          </w:p>
        </w:tc>
        <w:tc>
          <w:tcPr>
            <w:tcW w:w="2693" w:type="dxa"/>
          </w:tcPr>
          <w:p w:rsidR="003141B4" w:rsidRPr="002119C9" w:rsidRDefault="00485EF9" w:rsidP="0049144B">
            <w:pPr>
              <w:pStyle w:val="NoSpacing"/>
              <w:cnfStyle w:val="000000010000"/>
              <w:rPr>
                <w:rFonts w:asciiTheme="majorBidi" w:hAnsiTheme="majorBidi" w:cstheme="majorBidi"/>
                <w:sz w:val="24"/>
                <w:szCs w:val="24"/>
              </w:rPr>
            </w:pPr>
            <w:r w:rsidRPr="002119C9">
              <w:rPr>
                <w:rFonts w:asciiTheme="majorBidi" w:hAnsiTheme="majorBidi" w:cstheme="majorBidi"/>
                <w:sz w:val="24"/>
                <w:szCs w:val="24"/>
                <w:shd w:val="clear" w:color="auto" w:fill="FFFFFF"/>
              </w:rPr>
              <w:t>To examine the prevalence and nature of comorbid post-traumatic stress reactions and depress</w:t>
            </w:r>
            <w:r w:rsidR="0049144B">
              <w:rPr>
                <w:rFonts w:asciiTheme="majorBidi" w:hAnsiTheme="majorBidi" w:cstheme="majorBidi"/>
                <w:sz w:val="24"/>
                <w:szCs w:val="24"/>
                <w:shd w:val="clear" w:color="auto" w:fill="FFFFFF"/>
              </w:rPr>
              <w:t>ive symptoms</w:t>
            </w:r>
          </w:p>
        </w:tc>
        <w:tc>
          <w:tcPr>
            <w:tcW w:w="1417" w:type="dxa"/>
          </w:tcPr>
          <w:p w:rsidR="003141B4" w:rsidRPr="002119C9" w:rsidRDefault="00951E83" w:rsidP="002119C9">
            <w:pPr>
              <w:pStyle w:val="NoSpacing"/>
              <w:cnfStyle w:val="000000010000"/>
              <w:rPr>
                <w:rFonts w:asciiTheme="majorBidi" w:hAnsiTheme="majorBidi" w:cstheme="majorBidi"/>
                <w:sz w:val="24"/>
                <w:szCs w:val="24"/>
              </w:rPr>
            </w:pPr>
            <w:r w:rsidRPr="002119C9">
              <w:rPr>
                <w:rFonts w:asciiTheme="majorBidi" w:hAnsiTheme="majorBidi" w:cstheme="majorBidi"/>
                <w:sz w:val="24"/>
                <w:szCs w:val="24"/>
                <w:shd w:val="clear" w:color="auto" w:fill="FFFFFF"/>
              </w:rPr>
              <w:t>403 children aged 9-15 years, who lived in four refugee camps,</w:t>
            </w:r>
          </w:p>
        </w:tc>
        <w:tc>
          <w:tcPr>
            <w:tcW w:w="1843" w:type="dxa"/>
          </w:tcPr>
          <w:p w:rsidR="003141B4" w:rsidRPr="002119C9" w:rsidRDefault="002119C9" w:rsidP="002119C9">
            <w:pPr>
              <w:pStyle w:val="NoSpacing"/>
              <w:cnfStyle w:val="000000010000"/>
              <w:rPr>
                <w:rFonts w:asciiTheme="majorBidi" w:hAnsiTheme="majorBidi" w:cstheme="majorBidi"/>
                <w:sz w:val="24"/>
                <w:szCs w:val="24"/>
              </w:rPr>
            </w:pPr>
            <w:r w:rsidRPr="002119C9">
              <w:rPr>
                <w:rFonts w:asciiTheme="majorBidi" w:hAnsiTheme="majorBidi" w:cstheme="majorBidi"/>
                <w:sz w:val="24"/>
                <w:szCs w:val="24"/>
                <w:shd w:val="clear" w:color="auto" w:fill="FFFFFF"/>
              </w:rPr>
              <w:t>Traumatic Events Checklist, the Child Post Traumatic Stress Reaction Index (CPTSD-RI), and the Short Mood and Feelings Questionnaire (MFQ).</w:t>
            </w:r>
          </w:p>
        </w:tc>
        <w:tc>
          <w:tcPr>
            <w:tcW w:w="5670" w:type="dxa"/>
          </w:tcPr>
          <w:p w:rsidR="003141B4" w:rsidRPr="002119C9" w:rsidRDefault="002119C9" w:rsidP="002119C9">
            <w:pPr>
              <w:pStyle w:val="NoSpacing"/>
              <w:cnfStyle w:val="000000010000"/>
              <w:rPr>
                <w:rFonts w:asciiTheme="majorBidi" w:hAnsiTheme="majorBidi" w:cstheme="majorBidi"/>
                <w:sz w:val="24"/>
                <w:szCs w:val="24"/>
              </w:rPr>
            </w:pPr>
            <w:r w:rsidRPr="002119C9">
              <w:rPr>
                <w:rFonts w:asciiTheme="majorBidi" w:hAnsiTheme="majorBidi" w:cstheme="majorBidi"/>
                <w:sz w:val="24"/>
                <w:szCs w:val="24"/>
                <w:shd w:val="clear" w:color="auto" w:fill="FFFFFF"/>
              </w:rPr>
              <w:t>The CPTSD-RI items whose frequency was significantly associated with total MFQ scores were: sleep disturbance, somatic complaints, constricted affect, impulse control, and difficulties in concentration.</w:t>
            </w:r>
          </w:p>
        </w:tc>
      </w:tr>
      <w:tr w:rsidR="004B0CD5" w:rsidTr="008620F5">
        <w:trPr>
          <w:cnfStyle w:val="000000100000"/>
          <w:trHeight w:val="2525"/>
        </w:trPr>
        <w:tc>
          <w:tcPr>
            <w:cnfStyle w:val="001000000000"/>
            <w:tcW w:w="2068" w:type="dxa"/>
          </w:tcPr>
          <w:p w:rsidR="003141B4" w:rsidRPr="00D60479" w:rsidRDefault="006737CF">
            <w:pPr>
              <w:rPr>
                <w:rFonts w:asciiTheme="majorBidi" w:eastAsia="Times New Roman" w:hAnsiTheme="majorBidi"/>
                <w:u w:val="single"/>
              </w:rPr>
            </w:pPr>
            <w:r w:rsidRPr="00D60479">
              <w:rPr>
                <w:rFonts w:asciiTheme="majorBidi" w:eastAsia="Times New Roman" w:hAnsiTheme="majorBidi"/>
                <w:u w:val="single"/>
              </w:rPr>
              <w:t>The Effects of Chronic War Trauma among Palestinian Children</w:t>
            </w:r>
          </w:p>
          <w:p w:rsidR="00B84EE3" w:rsidRPr="00D60479" w:rsidRDefault="00B84EE3">
            <w:pPr>
              <w:rPr>
                <w:u w:val="single"/>
              </w:rPr>
            </w:pPr>
            <w:r w:rsidRPr="00D60479">
              <w:rPr>
                <w:rFonts w:asciiTheme="majorBidi" w:eastAsia="Times New Roman" w:hAnsiTheme="majorBidi"/>
                <w:u w:val="single"/>
              </w:rPr>
              <w:t>2008</w:t>
            </w:r>
          </w:p>
        </w:tc>
        <w:tc>
          <w:tcPr>
            <w:tcW w:w="2693" w:type="dxa"/>
          </w:tcPr>
          <w:p w:rsidR="00F82377" w:rsidRPr="00F82377" w:rsidRDefault="00C102C6" w:rsidP="00F82377">
            <w:pPr>
              <w:pStyle w:val="NoSpacing"/>
              <w:cnfStyle w:val="000000100000"/>
              <w:rPr>
                <w:rFonts w:asciiTheme="majorBidi" w:hAnsiTheme="majorBidi" w:cstheme="majorBidi"/>
                <w:sz w:val="24"/>
                <w:szCs w:val="24"/>
              </w:rPr>
            </w:pPr>
            <w:r>
              <w:rPr>
                <w:rFonts w:asciiTheme="majorBidi" w:hAnsiTheme="majorBidi" w:cstheme="majorBidi"/>
                <w:sz w:val="24"/>
                <w:szCs w:val="24"/>
              </w:rPr>
              <w:t>T</w:t>
            </w:r>
            <w:r w:rsidR="00F82377" w:rsidRPr="00F82377">
              <w:rPr>
                <w:rFonts w:asciiTheme="majorBidi" w:hAnsiTheme="majorBidi" w:cstheme="majorBidi"/>
                <w:sz w:val="24"/>
                <w:szCs w:val="24"/>
              </w:rPr>
              <w:t xml:space="preserve">o explore the long-term effects of war and occupation on the </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Palestinian children in the Gaza Strip</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 xml:space="preserve">to explore the long-term effects of war and occupation on the </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 xml:space="preserve">Palestinian children in </w:t>
            </w:r>
            <w:r w:rsidRPr="00F82377">
              <w:rPr>
                <w:rFonts w:asciiTheme="majorBidi" w:hAnsiTheme="majorBidi" w:cstheme="majorBidi"/>
                <w:sz w:val="24"/>
                <w:szCs w:val="24"/>
              </w:rPr>
              <w:lastRenderedPageBreak/>
              <w:t>the Gaza Strip</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 xml:space="preserve">to explore the long-term effects of war and occupation on the </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Palestinian children in the Gaza Strip</w:t>
            </w:r>
          </w:p>
          <w:p w:rsidR="003141B4"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To explore the long-term effects of occupation on the Palestinian children in the Gaza Strip.</w:t>
            </w:r>
          </w:p>
        </w:tc>
        <w:tc>
          <w:tcPr>
            <w:tcW w:w="1417" w:type="dxa"/>
          </w:tcPr>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lastRenderedPageBreak/>
              <w:t xml:space="preserve">1,137 children aged between 10 </w:t>
            </w:r>
          </w:p>
          <w:p w:rsidR="00F82377"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 xml:space="preserve">and 18 years were randomly selected from all </w:t>
            </w:r>
            <w:r w:rsidRPr="00F82377">
              <w:rPr>
                <w:rFonts w:asciiTheme="majorBidi" w:hAnsiTheme="majorBidi" w:cstheme="majorBidi"/>
                <w:sz w:val="24"/>
                <w:szCs w:val="24"/>
              </w:rPr>
              <w:lastRenderedPageBreak/>
              <w:t>parts of the Gaza Strip</w:t>
            </w:r>
          </w:p>
          <w:p w:rsidR="003141B4"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t>1,137 children aged between 10 and 18 years were randomly selected</w:t>
            </w:r>
          </w:p>
        </w:tc>
        <w:tc>
          <w:tcPr>
            <w:tcW w:w="1843" w:type="dxa"/>
          </w:tcPr>
          <w:p w:rsidR="003141B4"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lastRenderedPageBreak/>
              <w:t xml:space="preserve">Checklist of Traumatic Experiences (CTE), Symptoms of Post-Traumatic Stress Disorder Scale (PTSD) and Personality </w:t>
            </w:r>
            <w:r w:rsidRPr="00F82377">
              <w:rPr>
                <w:rFonts w:asciiTheme="majorBidi" w:hAnsiTheme="majorBidi" w:cstheme="majorBidi"/>
                <w:sz w:val="24"/>
                <w:szCs w:val="24"/>
              </w:rPr>
              <w:lastRenderedPageBreak/>
              <w:t>Assessment Questionnaire (PAQ).</w:t>
            </w:r>
          </w:p>
        </w:tc>
        <w:tc>
          <w:tcPr>
            <w:tcW w:w="5670" w:type="dxa"/>
          </w:tcPr>
          <w:p w:rsidR="003141B4" w:rsidRPr="00F82377" w:rsidRDefault="00F82377" w:rsidP="00F82377">
            <w:pPr>
              <w:pStyle w:val="NoSpacing"/>
              <w:cnfStyle w:val="000000100000"/>
              <w:rPr>
                <w:rFonts w:asciiTheme="majorBidi" w:hAnsiTheme="majorBidi" w:cstheme="majorBidi"/>
                <w:sz w:val="24"/>
                <w:szCs w:val="24"/>
              </w:rPr>
            </w:pPr>
            <w:r w:rsidRPr="00F82377">
              <w:rPr>
                <w:rFonts w:asciiTheme="majorBidi" w:hAnsiTheme="majorBidi" w:cstheme="majorBidi"/>
                <w:sz w:val="24"/>
                <w:szCs w:val="24"/>
              </w:rPr>
              <w:lastRenderedPageBreak/>
              <w:t>The most prevalent types of trauma exposure for Palestinian children were as follows: 99% of children had suffered humiliation (either to themselves or a family member); 97% had been exposed to the sound of explosions/bombs; 85% had witnessed a martyr’s funeral and 84% had witnessed shelling by tanks, artillery, or military planes.</w:t>
            </w:r>
          </w:p>
        </w:tc>
      </w:tr>
      <w:tr w:rsidR="004B0CD5" w:rsidTr="008620F5">
        <w:trPr>
          <w:cnfStyle w:val="000000010000"/>
          <w:trHeight w:val="2688"/>
        </w:trPr>
        <w:tc>
          <w:tcPr>
            <w:cnfStyle w:val="001000000000"/>
            <w:tcW w:w="2068" w:type="dxa"/>
          </w:tcPr>
          <w:p w:rsidR="003141B4" w:rsidRPr="00D60479" w:rsidRDefault="00F94462">
            <w:pPr>
              <w:rPr>
                <w:rFonts w:asciiTheme="majorBidi" w:eastAsia="Times New Roman" w:hAnsiTheme="majorBidi"/>
                <w:u w:val="single"/>
              </w:rPr>
            </w:pPr>
            <w:r w:rsidRPr="00D60479">
              <w:rPr>
                <w:rFonts w:asciiTheme="majorBidi" w:eastAsia="Times New Roman" w:hAnsiTheme="majorBidi"/>
                <w:u w:val="single"/>
              </w:rPr>
              <w:lastRenderedPageBreak/>
              <w:t>Exposure to war trauma and PTSD among parents and children in the Gaza strip</w:t>
            </w:r>
          </w:p>
          <w:p w:rsidR="00F94462" w:rsidRPr="00D60479" w:rsidRDefault="00F94462">
            <w:pPr>
              <w:rPr>
                <w:u w:val="single"/>
              </w:rPr>
            </w:pPr>
            <w:r w:rsidRPr="00D60479">
              <w:rPr>
                <w:rFonts w:asciiTheme="majorBidi" w:eastAsia="Times New Roman" w:hAnsiTheme="majorBidi"/>
                <w:u w:val="single"/>
              </w:rPr>
              <w:t>2008</w:t>
            </w:r>
          </w:p>
        </w:tc>
        <w:tc>
          <w:tcPr>
            <w:tcW w:w="2693" w:type="dxa"/>
          </w:tcPr>
          <w:p w:rsidR="003141B4" w:rsidRPr="00630052" w:rsidRDefault="00630052" w:rsidP="00630052">
            <w:pPr>
              <w:pStyle w:val="NoSpacing"/>
              <w:cnfStyle w:val="000000010000"/>
              <w:rPr>
                <w:rFonts w:asciiTheme="majorBidi" w:hAnsiTheme="majorBidi" w:cstheme="majorBidi"/>
                <w:sz w:val="24"/>
                <w:szCs w:val="24"/>
              </w:rPr>
            </w:pPr>
            <w:r w:rsidRPr="00630052">
              <w:rPr>
                <w:rFonts w:asciiTheme="majorBidi" w:hAnsiTheme="majorBidi" w:cstheme="majorBidi"/>
                <w:sz w:val="24"/>
                <w:szCs w:val="24"/>
                <w:shd w:val="clear" w:color="auto" w:fill="FFFFFF"/>
              </w:rPr>
              <w:t xml:space="preserve">To establish the relationship between ongoing </w:t>
            </w:r>
            <w:proofErr w:type="gramStart"/>
            <w:r w:rsidRPr="00630052">
              <w:rPr>
                <w:rFonts w:asciiTheme="majorBidi" w:hAnsiTheme="majorBidi" w:cstheme="majorBidi"/>
                <w:sz w:val="24"/>
                <w:szCs w:val="24"/>
                <w:shd w:val="clear" w:color="auto" w:fill="FFFFFF"/>
              </w:rPr>
              <w:t>war</w:t>
            </w:r>
            <w:proofErr w:type="gramEnd"/>
            <w:r w:rsidRPr="00630052">
              <w:rPr>
                <w:rFonts w:asciiTheme="majorBidi" w:hAnsiTheme="majorBidi" w:cstheme="majorBidi"/>
                <w:sz w:val="24"/>
                <w:szCs w:val="24"/>
                <w:shd w:val="clear" w:color="auto" w:fill="FFFFFF"/>
              </w:rPr>
              <w:t xml:space="preserve"> traumatic experiences, PTSD and anxiety symptoms in children, accounting for their parents' equivalent mental health responses.</w:t>
            </w:r>
          </w:p>
        </w:tc>
        <w:tc>
          <w:tcPr>
            <w:tcW w:w="1417" w:type="dxa"/>
          </w:tcPr>
          <w:p w:rsidR="003141B4" w:rsidRPr="00630052" w:rsidRDefault="00630052" w:rsidP="00630052">
            <w:pPr>
              <w:pStyle w:val="NoSpacing"/>
              <w:cnfStyle w:val="000000010000"/>
              <w:rPr>
                <w:rFonts w:asciiTheme="majorBidi" w:hAnsiTheme="majorBidi" w:cstheme="majorBidi"/>
                <w:sz w:val="24"/>
                <w:szCs w:val="24"/>
              </w:rPr>
            </w:pPr>
            <w:r w:rsidRPr="00630052">
              <w:rPr>
                <w:rFonts w:asciiTheme="majorBidi" w:hAnsiTheme="majorBidi" w:cstheme="majorBidi"/>
                <w:sz w:val="24"/>
                <w:szCs w:val="24"/>
                <w:shd w:val="clear" w:color="auto" w:fill="FFFFFF"/>
              </w:rPr>
              <w:t>100 families, with 200 parents and 197 children aged 9-18 years</w:t>
            </w:r>
            <w:proofErr w:type="gramStart"/>
            <w:r w:rsidRPr="00630052">
              <w:rPr>
                <w:rFonts w:asciiTheme="majorBidi" w:hAnsiTheme="majorBidi" w:cstheme="majorBidi"/>
                <w:sz w:val="24"/>
                <w:szCs w:val="24"/>
                <w:shd w:val="clear" w:color="auto" w:fill="FFFFFF"/>
              </w:rPr>
              <w:t>,  in</w:t>
            </w:r>
            <w:proofErr w:type="gramEnd"/>
            <w:r w:rsidRPr="00630052">
              <w:rPr>
                <w:rFonts w:asciiTheme="majorBidi" w:hAnsiTheme="majorBidi" w:cstheme="majorBidi"/>
                <w:sz w:val="24"/>
                <w:szCs w:val="24"/>
                <w:shd w:val="clear" w:color="auto" w:fill="FFFFFF"/>
              </w:rPr>
              <w:t xml:space="preserve"> areas under ongoing shelling and other acts of military violence.</w:t>
            </w:r>
          </w:p>
        </w:tc>
        <w:tc>
          <w:tcPr>
            <w:tcW w:w="1843" w:type="dxa"/>
          </w:tcPr>
          <w:p w:rsidR="003141B4" w:rsidRPr="00630052" w:rsidRDefault="00630052" w:rsidP="00630052">
            <w:pPr>
              <w:pStyle w:val="NoSpacing"/>
              <w:cnfStyle w:val="000000010000"/>
              <w:rPr>
                <w:rFonts w:asciiTheme="majorBidi" w:hAnsiTheme="majorBidi" w:cstheme="majorBidi"/>
                <w:sz w:val="24"/>
                <w:szCs w:val="24"/>
              </w:rPr>
            </w:pPr>
            <w:r w:rsidRPr="00630052">
              <w:rPr>
                <w:rFonts w:asciiTheme="majorBidi" w:hAnsiTheme="majorBidi" w:cstheme="majorBidi"/>
                <w:sz w:val="24"/>
                <w:szCs w:val="24"/>
                <w:shd w:val="clear" w:color="auto" w:fill="FFFFFF"/>
              </w:rPr>
              <w:t xml:space="preserve"> (Gaza Traumatic Checklist), PTSD (Children's Revised Impact of Events Scale, PTSD Checklist for parents), and anxiety (Revised Children's Manifest Anxiety Scale, and Taylor Manifest Anxiety Scale for parents).</w:t>
            </w:r>
          </w:p>
        </w:tc>
        <w:tc>
          <w:tcPr>
            <w:tcW w:w="5670" w:type="dxa"/>
          </w:tcPr>
          <w:p w:rsidR="003141B4" w:rsidRPr="00630052" w:rsidRDefault="00630052" w:rsidP="00630052">
            <w:pPr>
              <w:pStyle w:val="NoSpacing"/>
              <w:cnfStyle w:val="000000010000"/>
              <w:rPr>
                <w:rFonts w:asciiTheme="majorBidi" w:hAnsiTheme="majorBidi" w:cstheme="majorBidi"/>
                <w:sz w:val="24"/>
                <w:szCs w:val="24"/>
              </w:rPr>
            </w:pPr>
            <w:r w:rsidRPr="00630052">
              <w:rPr>
                <w:rFonts w:asciiTheme="majorBidi" w:hAnsiTheme="majorBidi" w:cstheme="majorBidi"/>
                <w:sz w:val="24"/>
                <w:szCs w:val="24"/>
                <w:shd w:val="clear" w:color="auto" w:fill="FFFFFF"/>
              </w:rPr>
              <w:t>Both war trauma and parents' emotional responses were significantly associated with children's PTSD and anxiety symptoms.</w:t>
            </w:r>
          </w:p>
        </w:tc>
      </w:tr>
      <w:tr w:rsidR="004B0CD5" w:rsidTr="008620F5">
        <w:trPr>
          <w:cnfStyle w:val="000000100000"/>
          <w:trHeight w:val="2513"/>
        </w:trPr>
        <w:tc>
          <w:tcPr>
            <w:cnfStyle w:val="001000000000"/>
            <w:tcW w:w="2068" w:type="dxa"/>
          </w:tcPr>
          <w:p w:rsidR="003141B4" w:rsidRPr="00D60479" w:rsidRDefault="00A1730E">
            <w:pPr>
              <w:rPr>
                <w:rFonts w:asciiTheme="majorBidi" w:eastAsia="Times New Roman" w:hAnsiTheme="majorBidi"/>
                <w:u w:val="single"/>
              </w:rPr>
            </w:pPr>
            <w:r w:rsidRPr="00D60479">
              <w:rPr>
                <w:rFonts w:asciiTheme="majorBidi" w:eastAsia="Times New Roman" w:hAnsiTheme="majorBidi"/>
                <w:u w:val="single"/>
              </w:rPr>
              <w:lastRenderedPageBreak/>
              <w:t>Mental health problems among labour children in the Gaza Strip</w:t>
            </w:r>
          </w:p>
          <w:p w:rsidR="00A1730E" w:rsidRPr="00D60479" w:rsidRDefault="00A1730E">
            <w:r w:rsidRPr="00D60479">
              <w:rPr>
                <w:rFonts w:asciiTheme="majorBidi" w:eastAsia="Times New Roman" w:hAnsiTheme="majorBidi"/>
                <w:u w:val="single"/>
              </w:rPr>
              <w:t>2011</w:t>
            </w:r>
          </w:p>
        </w:tc>
        <w:tc>
          <w:tcPr>
            <w:tcW w:w="2693" w:type="dxa"/>
          </w:tcPr>
          <w:p w:rsidR="003141B4" w:rsidRPr="00347316" w:rsidRDefault="00347316" w:rsidP="00347316">
            <w:pPr>
              <w:pStyle w:val="NoSpacing"/>
              <w:cnfStyle w:val="000000100000"/>
              <w:rPr>
                <w:rFonts w:asciiTheme="majorBidi" w:hAnsiTheme="majorBidi" w:cstheme="majorBidi"/>
                <w:sz w:val="24"/>
                <w:szCs w:val="24"/>
              </w:rPr>
            </w:pPr>
            <w:r>
              <w:rPr>
                <w:rFonts w:asciiTheme="majorBidi" w:hAnsiTheme="majorBidi" w:cstheme="majorBidi"/>
                <w:sz w:val="24"/>
                <w:szCs w:val="24"/>
              </w:rPr>
              <w:t xml:space="preserve">To </w:t>
            </w:r>
            <w:r w:rsidRPr="00347316">
              <w:rPr>
                <w:rFonts w:asciiTheme="majorBidi" w:hAnsiTheme="majorBidi" w:cstheme="majorBidi"/>
                <w:sz w:val="24"/>
                <w:szCs w:val="24"/>
              </w:rPr>
              <w:t>establish the association between labour-related variables and mental health problems </w:t>
            </w:r>
          </w:p>
        </w:tc>
        <w:tc>
          <w:tcPr>
            <w:tcW w:w="1417" w:type="dxa"/>
          </w:tcPr>
          <w:p w:rsidR="003141B4" w:rsidRPr="00347316" w:rsidRDefault="00347316" w:rsidP="00347316">
            <w:pPr>
              <w:pStyle w:val="NoSpacing"/>
              <w:cnfStyle w:val="000000100000"/>
              <w:rPr>
                <w:rFonts w:asciiTheme="majorBidi" w:hAnsiTheme="majorBidi" w:cstheme="majorBidi"/>
                <w:sz w:val="24"/>
                <w:szCs w:val="24"/>
              </w:rPr>
            </w:pPr>
            <w:r w:rsidRPr="00347316">
              <w:rPr>
                <w:rFonts w:asciiTheme="majorBidi" w:hAnsiTheme="majorBidi" w:cstheme="majorBidi"/>
                <w:sz w:val="24"/>
                <w:szCs w:val="24"/>
              </w:rPr>
              <w:t>780 children in labour (aged 9-18 years, mean 15.8) in the Gaza Strip.</w:t>
            </w:r>
          </w:p>
        </w:tc>
        <w:tc>
          <w:tcPr>
            <w:tcW w:w="1843" w:type="dxa"/>
          </w:tcPr>
          <w:p w:rsidR="003141B4" w:rsidRPr="00347316" w:rsidRDefault="00347316" w:rsidP="00347316">
            <w:pPr>
              <w:pStyle w:val="NoSpacing"/>
              <w:cnfStyle w:val="000000100000"/>
              <w:rPr>
                <w:rFonts w:asciiTheme="majorBidi" w:hAnsiTheme="majorBidi" w:cstheme="majorBidi"/>
                <w:sz w:val="24"/>
                <w:szCs w:val="24"/>
              </w:rPr>
            </w:pPr>
            <w:r w:rsidRPr="00347316">
              <w:rPr>
                <w:rFonts w:asciiTheme="majorBidi" w:hAnsiTheme="majorBidi" w:cstheme="majorBidi"/>
                <w:sz w:val="24"/>
                <w:szCs w:val="24"/>
              </w:rPr>
              <w:t>Demographic checklist, the Strengths and Difficulties Questionnaire, the Spence Children's Anxiety Scale and the Depression Self-rating Scale for Children.</w:t>
            </w:r>
          </w:p>
        </w:tc>
        <w:tc>
          <w:tcPr>
            <w:tcW w:w="5670" w:type="dxa"/>
          </w:tcPr>
          <w:p w:rsidR="003141B4" w:rsidRPr="00347316" w:rsidRDefault="00347316" w:rsidP="00347316">
            <w:pPr>
              <w:pStyle w:val="NoSpacing"/>
              <w:cnfStyle w:val="000000100000"/>
              <w:rPr>
                <w:rFonts w:asciiTheme="majorBidi" w:hAnsiTheme="majorBidi" w:cstheme="majorBidi"/>
                <w:sz w:val="24"/>
                <w:szCs w:val="24"/>
              </w:rPr>
            </w:pPr>
            <w:r w:rsidRPr="00347316">
              <w:rPr>
                <w:rFonts w:asciiTheme="majorBidi" w:hAnsiTheme="majorBidi" w:cstheme="majorBidi"/>
                <w:sz w:val="24"/>
                <w:szCs w:val="24"/>
              </w:rPr>
              <w:t>Ratings of mental health problems were predicted by different factors, i.e. total difficulties scores by poor friendship relationships and lack of health insurance; anxiety scores by selling in the streets, working to help family, low family income and lack of health insurance; and depression scores by parents' dissatisfaction with the job and longer working hours.</w:t>
            </w:r>
          </w:p>
        </w:tc>
      </w:tr>
      <w:tr w:rsidR="004B0CD5" w:rsidTr="008620F5">
        <w:trPr>
          <w:cnfStyle w:val="000000010000"/>
          <w:trHeight w:val="2535"/>
        </w:trPr>
        <w:tc>
          <w:tcPr>
            <w:cnfStyle w:val="001000000000"/>
            <w:tcW w:w="2068" w:type="dxa"/>
          </w:tcPr>
          <w:p w:rsidR="003141B4" w:rsidRPr="00D60479" w:rsidRDefault="00E033FC">
            <w:pPr>
              <w:rPr>
                <w:rFonts w:asciiTheme="majorBidi" w:eastAsia="Times New Roman" w:hAnsiTheme="majorBidi"/>
                <w:u w:val="single"/>
              </w:rPr>
            </w:pPr>
            <w:r w:rsidRPr="00D60479">
              <w:rPr>
                <w:rFonts w:asciiTheme="majorBidi" w:eastAsia="Times New Roman" w:hAnsiTheme="majorBidi"/>
                <w:u w:val="single"/>
              </w:rPr>
              <w:t>Post-traumatic stress disorder, depression, and anxiety among Gaza Strip adolescents in the wake of the second Uprising (Intifada)</w:t>
            </w:r>
          </w:p>
          <w:p w:rsidR="00BD6AD5" w:rsidRPr="00D60479" w:rsidRDefault="008037E6">
            <w:pPr>
              <w:rPr>
                <w:u w:val="single"/>
              </w:rPr>
            </w:pPr>
            <w:r w:rsidRPr="00D60479">
              <w:rPr>
                <w:u w:val="single"/>
              </w:rPr>
              <w:t>2007</w:t>
            </w:r>
          </w:p>
        </w:tc>
        <w:tc>
          <w:tcPr>
            <w:tcW w:w="2693" w:type="dxa"/>
          </w:tcPr>
          <w:p w:rsidR="003141B4" w:rsidRPr="008037E6" w:rsidRDefault="00F343EA" w:rsidP="008037E6">
            <w:pPr>
              <w:pStyle w:val="NoSpacing"/>
              <w:cnfStyle w:val="000000010000"/>
              <w:rPr>
                <w:rFonts w:asciiTheme="majorBidi" w:hAnsiTheme="majorBidi" w:cstheme="majorBidi"/>
                <w:sz w:val="24"/>
                <w:szCs w:val="24"/>
              </w:rPr>
            </w:pPr>
            <w:r w:rsidRPr="008037E6">
              <w:rPr>
                <w:rFonts w:asciiTheme="majorBidi" w:hAnsiTheme="majorBidi" w:cstheme="majorBidi"/>
                <w:sz w:val="24"/>
                <w:szCs w:val="24"/>
                <w:shd w:val="clear" w:color="auto" w:fill="FFFFFF"/>
              </w:rPr>
              <w:t>To evaluate and describe the psychological effects of exposure of war-like circumstances on this population.</w:t>
            </w:r>
          </w:p>
        </w:tc>
        <w:tc>
          <w:tcPr>
            <w:tcW w:w="1417" w:type="dxa"/>
          </w:tcPr>
          <w:p w:rsidR="003141B4" w:rsidRPr="008037E6" w:rsidRDefault="00BD6AD5" w:rsidP="008037E6">
            <w:pPr>
              <w:pStyle w:val="NoSpacing"/>
              <w:cnfStyle w:val="000000010000"/>
              <w:rPr>
                <w:rFonts w:asciiTheme="majorBidi" w:hAnsiTheme="majorBidi" w:cstheme="majorBidi"/>
                <w:sz w:val="24"/>
                <w:szCs w:val="24"/>
              </w:rPr>
            </w:pPr>
            <w:r w:rsidRPr="008037E6">
              <w:rPr>
                <w:rFonts w:asciiTheme="majorBidi" w:hAnsiTheme="majorBidi" w:cstheme="majorBidi"/>
                <w:sz w:val="24"/>
                <w:szCs w:val="24"/>
              </w:rPr>
              <w:t>229 Palestinian adolescents from refugee camps their ages ranged from 15-19 years.</w:t>
            </w:r>
          </w:p>
        </w:tc>
        <w:tc>
          <w:tcPr>
            <w:tcW w:w="1843" w:type="dxa"/>
          </w:tcPr>
          <w:p w:rsidR="003141B4" w:rsidRPr="008037E6" w:rsidRDefault="00F343EA" w:rsidP="008037E6">
            <w:pPr>
              <w:pStyle w:val="NoSpacing"/>
              <w:cnfStyle w:val="000000010000"/>
              <w:rPr>
                <w:rFonts w:asciiTheme="majorBidi" w:hAnsiTheme="majorBidi" w:cstheme="majorBidi"/>
                <w:sz w:val="24"/>
                <w:szCs w:val="24"/>
              </w:rPr>
            </w:pPr>
            <w:r w:rsidRPr="008037E6">
              <w:rPr>
                <w:rFonts w:asciiTheme="majorBidi" w:hAnsiTheme="majorBidi" w:cstheme="majorBidi"/>
                <w:sz w:val="24"/>
                <w:szCs w:val="24"/>
                <w:shd w:val="clear" w:color="auto" w:fill="FFFFFF"/>
              </w:rPr>
              <w:t>Posttraumatic Stress Disorder Interview (PTSD-I), and the Beck Anxiety Inventory (BAI).</w:t>
            </w:r>
          </w:p>
        </w:tc>
        <w:tc>
          <w:tcPr>
            <w:tcW w:w="5670" w:type="dxa"/>
          </w:tcPr>
          <w:p w:rsidR="003141B4" w:rsidRPr="008037E6" w:rsidRDefault="0014635A" w:rsidP="008037E6">
            <w:pPr>
              <w:pStyle w:val="NoSpacing"/>
              <w:cnfStyle w:val="000000010000"/>
              <w:rPr>
                <w:rFonts w:asciiTheme="majorBidi" w:hAnsiTheme="majorBidi" w:cstheme="majorBidi"/>
                <w:sz w:val="24"/>
                <w:szCs w:val="24"/>
              </w:rPr>
            </w:pPr>
            <w:r w:rsidRPr="008037E6">
              <w:rPr>
                <w:rFonts w:asciiTheme="majorBidi" w:hAnsiTheme="majorBidi" w:cstheme="majorBidi"/>
                <w:sz w:val="24"/>
                <w:szCs w:val="24"/>
                <w:shd w:val="clear" w:color="auto" w:fill="FFFFFF"/>
              </w:rPr>
              <w:t>Adolescents diagnosed with PTSD tended to be those who reported the highest levels of depression, anxiety, and positive reappraisal coping, and the lowest levels of seeking guidance and support coping.</w:t>
            </w:r>
          </w:p>
        </w:tc>
      </w:tr>
      <w:tr w:rsidR="004B0CD5" w:rsidTr="008620F5">
        <w:trPr>
          <w:cnfStyle w:val="000000100000"/>
          <w:trHeight w:val="2954"/>
        </w:trPr>
        <w:tc>
          <w:tcPr>
            <w:cnfStyle w:val="001000000000"/>
            <w:tcW w:w="2068" w:type="dxa"/>
          </w:tcPr>
          <w:p w:rsidR="00F63C42" w:rsidRPr="00D60479" w:rsidRDefault="00F63C42" w:rsidP="00F63C42">
            <w:pPr>
              <w:pStyle w:val="NoSpacing"/>
              <w:rPr>
                <w:u w:val="single"/>
              </w:rPr>
            </w:pPr>
            <w:r w:rsidRPr="00D60479">
              <w:rPr>
                <w:u w:val="single"/>
              </w:rPr>
              <w:t>Post-traumatic stress and psychiatric disorders in Palestinian adolescents following intifada-related injuries</w:t>
            </w:r>
          </w:p>
          <w:p w:rsidR="00F63C42" w:rsidRPr="00D60479" w:rsidRDefault="00F63C42" w:rsidP="00F63C42">
            <w:pPr>
              <w:pStyle w:val="NoSpacing"/>
              <w:rPr>
                <w:u w:val="single"/>
              </w:rPr>
            </w:pPr>
            <w:r w:rsidRPr="00D60479">
              <w:rPr>
                <w:u w:val="single"/>
              </w:rPr>
              <w:t>2008</w:t>
            </w:r>
          </w:p>
          <w:p w:rsidR="003141B4" w:rsidRPr="00D60479" w:rsidRDefault="003141B4"/>
        </w:tc>
        <w:tc>
          <w:tcPr>
            <w:tcW w:w="2693" w:type="dxa"/>
          </w:tcPr>
          <w:p w:rsidR="003141B4" w:rsidRPr="0041504A" w:rsidRDefault="0041504A" w:rsidP="0041504A">
            <w:pPr>
              <w:pStyle w:val="NoSpacing"/>
              <w:cnfStyle w:val="000000100000"/>
              <w:rPr>
                <w:rFonts w:asciiTheme="majorBidi" w:hAnsiTheme="majorBidi" w:cstheme="majorBidi"/>
              </w:rPr>
            </w:pPr>
            <w:r w:rsidRPr="0041504A">
              <w:rPr>
                <w:rFonts w:asciiTheme="majorBidi" w:hAnsiTheme="majorBidi" w:cstheme="majorBidi"/>
                <w:sz w:val="24"/>
                <w:szCs w:val="24"/>
              </w:rPr>
              <w:t>To assess the occurrence of Psychiatric disorders, in particular, PTSD and anxiety among Palestinian adolescents following intifada-related injuries.</w:t>
            </w:r>
          </w:p>
        </w:tc>
        <w:tc>
          <w:tcPr>
            <w:tcW w:w="1417" w:type="dxa"/>
          </w:tcPr>
          <w:p w:rsidR="003141B4" w:rsidRPr="00866804" w:rsidRDefault="00866804" w:rsidP="00AB36C7">
            <w:pPr>
              <w:pStyle w:val="NoSpacing"/>
              <w:cnfStyle w:val="000000100000"/>
              <w:rPr>
                <w:rFonts w:asciiTheme="majorBidi" w:hAnsiTheme="majorBidi" w:cstheme="majorBidi"/>
              </w:rPr>
            </w:pPr>
            <w:r w:rsidRPr="00866804">
              <w:rPr>
                <w:rFonts w:asciiTheme="majorBidi" w:hAnsiTheme="majorBidi" w:cstheme="majorBidi"/>
                <w:sz w:val="24"/>
                <w:szCs w:val="24"/>
              </w:rPr>
              <w:t xml:space="preserve">179 boys who were injured during Al-Aqsa intifada and as a result sustained a permanent physical disability. </w:t>
            </w:r>
          </w:p>
        </w:tc>
        <w:tc>
          <w:tcPr>
            <w:tcW w:w="1843" w:type="dxa"/>
          </w:tcPr>
          <w:p w:rsidR="003141B4" w:rsidRPr="00AB36C7" w:rsidRDefault="00AB36C7" w:rsidP="00AB36C7">
            <w:pPr>
              <w:pStyle w:val="NoSpacing"/>
              <w:cnfStyle w:val="000000100000"/>
              <w:rPr>
                <w:rFonts w:asciiTheme="majorBidi" w:hAnsiTheme="majorBidi" w:cstheme="majorBidi"/>
                <w:sz w:val="24"/>
                <w:szCs w:val="24"/>
              </w:rPr>
            </w:pPr>
            <w:r w:rsidRPr="00AB36C7">
              <w:rPr>
                <w:rFonts w:asciiTheme="majorBidi" w:hAnsiTheme="majorBidi" w:cstheme="majorBidi"/>
                <w:sz w:val="24"/>
                <w:szCs w:val="24"/>
              </w:rPr>
              <w:t>Questionnaires were administered in an interview format </w:t>
            </w:r>
          </w:p>
        </w:tc>
        <w:tc>
          <w:tcPr>
            <w:tcW w:w="5670" w:type="dxa"/>
          </w:tcPr>
          <w:p w:rsidR="003141B4" w:rsidRPr="00AB36C7" w:rsidRDefault="00AB36C7" w:rsidP="00AB36C7">
            <w:pPr>
              <w:pStyle w:val="NoSpacing"/>
              <w:cnfStyle w:val="000000100000"/>
              <w:rPr>
                <w:rFonts w:asciiTheme="majorBidi" w:hAnsiTheme="majorBidi" w:cstheme="majorBidi"/>
                <w:sz w:val="24"/>
                <w:szCs w:val="24"/>
              </w:rPr>
            </w:pPr>
            <w:r w:rsidRPr="00AB36C7">
              <w:rPr>
                <w:rFonts w:asciiTheme="majorBidi" w:hAnsiTheme="majorBidi" w:cstheme="majorBidi"/>
                <w:sz w:val="24"/>
                <w:szCs w:val="24"/>
              </w:rPr>
              <w:t>Approximately 76.5% of the injured victims qualify as having PTSD and that the disorder had a heterogeneous course, with excess risk for chronic symptoms and comorbidity with other psychiatric disorders such as anxiety and depression.</w:t>
            </w:r>
          </w:p>
        </w:tc>
      </w:tr>
      <w:tr w:rsidR="00E674EB" w:rsidTr="008620F5">
        <w:trPr>
          <w:cnfStyle w:val="000000010000"/>
        </w:trPr>
        <w:tc>
          <w:tcPr>
            <w:cnfStyle w:val="001000000000"/>
            <w:tcW w:w="2068" w:type="dxa"/>
          </w:tcPr>
          <w:p w:rsidR="00C1470F" w:rsidRDefault="00C1470F" w:rsidP="008952B6">
            <w:pPr>
              <w:pStyle w:val="NoSpacing"/>
              <w:rPr>
                <w:u w:val="single"/>
              </w:rPr>
            </w:pPr>
          </w:p>
          <w:p w:rsidR="008952B6" w:rsidRPr="008952B6" w:rsidRDefault="008952B6" w:rsidP="008952B6">
            <w:pPr>
              <w:pStyle w:val="NoSpacing"/>
              <w:rPr>
                <w:u w:val="single"/>
              </w:rPr>
            </w:pPr>
            <w:r w:rsidRPr="008952B6">
              <w:rPr>
                <w:u w:val="single"/>
              </w:rPr>
              <w:lastRenderedPageBreak/>
              <w:t>High school students' posttraumatic symptoms, substance abuse and involvement in violence in the aftermath of war</w:t>
            </w:r>
          </w:p>
          <w:p w:rsidR="00A47929" w:rsidRPr="00C1470F" w:rsidRDefault="00C1470F" w:rsidP="008952B6">
            <w:pPr>
              <w:pStyle w:val="NoSpacing"/>
              <w:rPr>
                <w:u w:val="single"/>
              </w:rPr>
            </w:pPr>
            <w:r w:rsidRPr="00C1470F">
              <w:rPr>
                <w:u w:val="single"/>
              </w:rPr>
              <w:t>2012</w:t>
            </w:r>
          </w:p>
          <w:p w:rsidR="00A47929" w:rsidRPr="00C1470F" w:rsidRDefault="00A47929" w:rsidP="008952B6">
            <w:pPr>
              <w:pStyle w:val="NoSpacing"/>
              <w:rPr>
                <w:u w:val="single"/>
              </w:rPr>
            </w:pPr>
          </w:p>
          <w:p w:rsidR="00A47929" w:rsidRPr="00D60479" w:rsidRDefault="00A47929" w:rsidP="00837DD2">
            <w:pPr>
              <w:rPr>
                <w:highlight w:val="yellow"/>
              </w:rPr>
            </w:pPr>
          </w:p>
        </w:tc>
        <w:tc>
          <w:tcPr>
            <w:tcW w:w="2693" w:type="dxa"/>
          </w:tcPr>
          <w:p w:rsidR="008542B5" w:rsidRPr="00741193" w:rsidRDefault="008542B5" w:rsidP="00741193">
            <w:pPr>
              <w:pStyle w:val="NoSpacing"/>
              <w:cnfStyle w:val="000000010000"/>
              <w:rPr>
                <w:rFonts w:asciiTheme="majorBidi" w:hAnsiTheme="majorBidi" w:cstheme="majorBidi"/>
                <w:sz w:val="24"/>
                <w:szCs w:val="24"/>
                <w:shd w:val="clear" w:color="auto" w:fill="FFFFFF"/>
              </w:rPr>
            </w:pPr>
          </w:p>
          <w:p w:rsidR="00E674EB" w:rsidRPr="00741193" w:rsidRDefault="008542B5" w:rsidP="00741193">
            <w:pPr>
              <w:pStyle w:val="NoSpacing"/>
              <w:cnfStyle w:val="000000010000"/>
              <w:rPr>
                <w:rFonts w:asciiTheme="majorBidi" w:hAnsiTheme="majorBidi" w:cstheme="majorBidi"/>
                <w:sz w:val="24"/>
                <w:szCs w:val="24"/>
                <w:highlight w:val="yellow"/>
              </w:rPr>
            </w:pPr>
            <w:r w:rsidRPr="00741193">
              <w:rPr>
                <w:rFonts w:asciiTheme="majorBidi" w:hAnsiTheme="majorBidi" w:cstheme="majorBidi"/>
                <w:sz w:val="24"/>
                <w:szCs w:val="24"/>
                <w:shd w:val="clear" w:color="auto" w:fill="FFFFFF"/>
              </w:rPr>
              <w:lastRenderedPageBreak/>
              <w:t xml:space="preserve">To examine the effects of exposure to war events on adolescents' Posttraumatic Stress Symptoms (PTS) and risk behaviors (substance use and involvement in school violence) </w:t>
            </w:r>
          </w:p>
        </w:tc>
        <w:tc>
          <w:tcPr>
            <w:tcW w:w="1417" w:type="dxa"/>
          </w:tcPr>
          <w:p w:rsidR="00E674EB" w:rsidRPr="00741193" w:rsidRDefault="00E674EB" w:rsidP="00741193">
            <w:pPr>
              <w:pStyle w:val="NoSpacing"/>
              <w:cnfStyle w:val="000000010000"/>
              <w:rPr>
                <w:rFonts w:asciiTheme="majorBidi" w:hAnsiTheme="majorBidi" w:cstheme="majorBidi"/>
                <w:sz w:val="24"/>
                <w:szCs w:val="24"/>
                <w:highlight w:val="yellow"/>
              </w:rPr>
            </w:pPr>
          </w:p>
          <w:p w:rsidR="00741193" w:rsidRPr="00741193" w:rsidRDefault="00741193" w:rsidP="00167EC9">
            <w:pPr>
              <w:pStyle w:val="NoSpacing"/>
              <w:cnfStyle w:val="000000010000"/>
              <w:rPr>
                <w:rFonts w:asciiTheme="majorBidi" w:hAnsiTheme="majorBidi" w:cstheme="majorBidi"/>
                <w:sz w:val="24"/>
                <w:szCs w:val="24"/>
                <w:highlight w:val="yellow"/>
              </w:rPr>
            </w:pPr>
            <w:r w:rsidRPr="00741193">
              <w:rPr>
                <w:rFonts w:asciiTheme="majorBidi" w:hAnsiTheme="majorBidi" w:cstheme="majorBidi"/>
                <w:color w:val="212121"/>
                <w:sz w:val="24"/>
                <w:szCs w:val="24"/>
                <w:shd w:val="clear" w:color="auto" w:fill="FFFFFF"/>
              </w:rPr>
              <w:lastRenderedPageBreak/>
              <w:t xml:space="preserve"> 7th to 11th grade students from the north of Israel that included 4151 students: Jewish (54.4% boys) </w:t>
            </w:r>
            <w:proofErr w:type="gramStart"/>
            <w:r w:rsidRPr="00741193">
              <w:rPr>
                <w:rFonts w:asciiTheme="majorBidi" w:hAnsiTheme="majorBidi" w:cstheme="majorBidi"/>
                <w:color w:val="212121"/>
                <w:sz w:val="24"/>
                <w:szCs w:val="24"/>
                <w:shd w:val="clear" w:color="auto" w:fill="FFFFFF"/>
              </w:rPr>
              <w:t>and  Arab</w:t>
            </w:r>
            <w:proofErr w:type="gramEnd"/>
            <w:r w:rsidRPr="00741193">
              <w:rPr>
                <w:rFonts w:asciiTheme="majorBidi" w:hAnsiTheme="majorBidi" w:cstheme="majorBidi"/>
                <w:color w:val="212121"/>
                <w:sz w:val="24"/>
                <w:szCs w:val="24"/>
                <w:shd w:val="clear" w:color="auto" w:fill="FFFFFF"/>
              </w:rPr>
              <w:t xml:space="preserve"> (41.5% boys).</w:t>
            </w:r>
          </w:p>
        </w:tc>
        <w:tc>
          <w:tcPr>
            <w:tcW w:w="1843" w:type="dxa"/>
          </w:tcPr>
          <w:p w:rsidR="00E674EB" w:rsidRDefault="00E674EB" w:rsidP="00837DD2">
            <w:pPr>
              <w:cnfStyle w:val="000000010000"/>
              <w:rPr>
                <w:highlight w:val="yellow"/>
              </w:rPr>
            </w:pPr>
          </w:p>
          <w:p w:rsidR="006B684A" w:rsidRDefault="0099523C" w:rsidP="0099523C">
            <w:pPr>
              <w:pStyle w:val="NoSpacing"/>
              <w:cnfStyle w:val="000000010000"/>
              <w:rPr>
                <w:rStyle w:val="l7"/>
                <w:rFonts w:asciiTheme="majorBidi" w:hAnsiTheme="majorBidi" w:cstheme="majorBidi"/>
                <w:sz w:val="24"/>
                <w:szCs w:val="24"/>
              </w:rPr>
            </w:pPr>
            <w:r w:rsidRPr="0099523C">
              <w:rPr>
                <w:rFonts w:asciiTheme="majorBidi" w:hAnsiTheme="majorBidi" w:cstheme="majorBidi"/>
                <w:sz w:val="24"/>
                <w:szCs w:val="24"/>
              </w:rPr>
              <w:lastRenderedPageBreak/>
              <w:t>Pos</w:t>
            </w:r>
            <w:r w:rsidRPr="0099523C">
              <w:rPr>
                <w:rStyle w:val="l8"/>
                <w:rFonts w:asciiTheme="majorBidi" w:hAnsiTheme="majorBidi" w:cstheme="majorBidi"/>
                <w:sz w:val="24"/>
                <w:szCs w:val="24"/>
              </w:rPr>
              <w:t>t</w:t>
            </w:r>
            <w:r>
              <w:rPr>
                <w:rStyle w:val="l8"/>
                <w:rFonts w:asciiTheme="majorBidi" w:hAnsiTheme="majorBidi" w:cstheme="majorBidi"/>
                <w:sz w:val="24"/>
                <w:szCs w:val="24"/>
              </w:rPr>
              <w:t xml:space="preserve"> </w:t>
            </w:r>
            <w:r w:rsidRPr="0099523C">
              <w:rPr>
                <w:rStyle w:val="l8"/>
                <w:rFonts w:asciiTheme="majorBidi" w:hAnsiTheme="majorBidi" w:cstheme="majorBidi"/>
                <w:sz w:val="24"/>
                <w:szCs w:val="24"/>
              </w:rPr>
              <w:t>T</w:t>
            </w:r>
            <w:r w:rsidRPr="0099523C">
              <w:rPr>
                <w:rStyle w:val="l6"/>
                <w:rFonts w:asciiTheme="majorBidi" w:hAnsiTheme="majorBidi" w:cstheme="majorBidi"/>
                <w:sz w:val="24"/>
                <w:szCs w:val="24"/>
              </w:rPr>
              <w:t>rau</w:t>
            </w:r>
            <w:r w:rsidRPr="0099523C">
              <w:rPr>
                <w:rStyle w:val="l8"/>
                <w:rFonts w:asciiTheme="majorBidi" w:hAnsiTheme="majorBidi" w:cstheme="majorBidi"/>
                <w:sz w:val="24"/>
                <w:szCs w:val="24"/>
              </w:rPr>
              <w:t>mat</w:t>
            </w:r>
            <w:r w:rsidRPr="0099523C">
              <w:rPr>
                <w:rStyle w:val="l6"/>
                <w:rFonts w:asciiTheme="majorBidi" w:hAnsiTheme="majorBidi" w:cstheme="majorBidi"/>
                <w:sz w:val="24"/>
                <w:szCs w:val="24"/>
              </w:rPr>
              <w:t>ic Stres</w:t>
            </w:r>
            <w:r w:rsidRPr="0099523C">
              <w:rPr>
                <w:rStyle w:val="l8"/>
                <w:rFonts w:asciiTheme="majorBidi" w:hAnsiTheme="majorBidi" w:cstheme="majorBidi"/>
                <w:sz w:val="24"/>
                <w:szCs w:val="24"/>
              </w:rPr>
              <w:t>s Dis</w:t>
            </w:r>
            <w:r w:rsidRPr="0099523C">
              <w:rPr>
                <w:rStyle w:val="l7"/>
                <w:rFonts w:asciiTheme="majorBidi" w:hAnsiTheme="majorBidi" w:cstheme="majorBidi"/>
                <w:sz w:val="24"/>
                <w:szCs w:val="24"/>
              </w:rPr>
              <w:t>ord</w:t>
            </w:r>
            <w:r w:rsidRPr="0099523C">
              <w:rPr>
                <w:rStyle w:val="l9"/>
                <w:rFonts w:asciiTheme="majorBidi" w:hAnsiTheme="majorBidi" w:cstheme="majorBidi"/>
                <w:sz w:val="24"/>
                <w:szCs w:val="24"/>
              </w:rPr>
              <w:t>er (PT</w:t>
            </w:r>
            <w:r w:rsidRPr="0099523C">
              <w:rPr>
                <w:rStyle w:val="l8"/>
                <w:rFonts w:asciiTheme="majorBidi" w:hAnsiTheme="majorBidi" w:cstheme="majorBidi"/>
                <w:sz w:val="24"/>
                <w:szCs w:val="24"/>
              </w:rPr>
              <w:t>SD) sca</w:t>
            </w:r>
            <w:r w:rsidRPr="0099523C">
              <w:rPr>
                <w:rStyle w:val="l7"/>
                <w:rFonts w:asciiTheme="majorBidi" w:hAnsiTheme="majorBidi" w:cstheme="majorBidi"/>
                <w:sz w:val="24"/>
                <w:szCs w:val="24"/>
              </w:rPr>
              <w:t>le</w:t>
            </w:r>
          </w:p>
          <w:p w:rsidR="0099523C" w:rsidRPr="0099523C" w:rsidRDefault="0099523C" w:rsidP="0099523C">
            <w:pPr>
              <w:pStyle w:val="NoSpacing"/>
              <w:cnfStyle w:val="000000010000"/>
              <w:rPr>
                <w:rFonts w:asciiTheme="majorBidi" w:hAnsiTheme="majorBidi" w:cstheme="majorBidi"/>
                <w:highlight w:val="yellow"/>
              </w:rPr>
            </w:pPr>
          </w:p>
        </w:tc>
        <w:tc>
          <w:tcPr>
            <w:tcW w:w="5670" w:type="dxa"/>
          </w:tcPr>
          <w:p w:rsidR="00B06875" w:rsidRPr="00B06875" w:rsidRDefault="00B06875" w:rsidP="00B06875">
            <w:pPr>
              <w:pStyle w:val="NoSpacing"/>
              <w:cnfStyle w:val="000000010000"/>
              <w:rPr>
                <w:rFonts w:asciiTheme="majorBidi" w:hAnsiTheme="majorBidi" w:cstheme="majorBidi"/>
              </w:rPr>
            </w:pPr>
            <w:r w:rsidRPr="00B06875">
              <w:rPr>
                <w:rFonts w:asciiTheme="majorBidi" w:hAnsiTheme="majorBidi" w:cstheme="majorBidi"/>
              </w:rPr>
              <w:lastRenderedPageBreak/>
              <w:t>The</w:t>
            </w:r>
          </w:p>
          <w:p w:rsidR="00E674EB" w:rsidRPr="00D829F3" w:rsidRDefault="00707F6B" w:rsidP="00837DD2">
            <w:pPr>
              <w:cnfStyle w:val="000000010000"/>
              <w:rPr>
                <w:highlight w:val="yellow"/>
              </w:rPr>
            </w:pPr>
            <w:r>
              <w:rPr>
                <w:rFonts w:asciiTheme="majorBidi" w:hAnsiTheme="majorBidi" w:cstheme="majorBidi"/>
                <w:sz w:val="24"/>
                <w:szCs w:val="24"/>
              </w:rPr>
              <w:lastRenderedPageBreak/>
              <w:t>E</w:t>
            </w:r>
            <w:r w:rsidRPr="000C7A05">
              <w:rPr>
                <w:rFonts w:asciiTheme="majorBidi" w:hAnsiTheme="majorBidi" w:cstheme="majorBidi"/>
                <w:sz w:val="24"/>
                <w:szCs w:val="24"/>
              </w:rPr>
              <w:t>xposure to war events had similar effects on both Arab and Jewish students, Arab-Palestinian reported higher PTS symptoms</w:t>
            </w:r>
          </w:p>
        </w:tc>
      </w:tr>
      <w:tr w:rsidR="00E674EB" w:rsidTr="008620F5">
        <w:trPr>
          <w:cnfStyle w:val="000000100000"/>
          <w:trHeight w:val="2936"/>
        </w:trPr>
        <w:tc>
          <w:tcPr>
            <w:cnfStyle w:val="001000000000"/>
            <w:tcW w:w="2068" w:type="dxa"/>
          </w:tcPr>
          <w:p w:rsidR="00525B1F" w:rsidRPr="00D60479" w:rsidRDefault="00525B1F" w:rsidP="00525B1F">
            <w:pPr>
              <w:pStyle w:val="NoSpacing"/>
              <w:rPr>
                <w:u w:val="single"/>
              </w:rPr>
            </w:pPr>
            <w:r w:rsidRPr="00D60479">
              <w:rPr>
                <w:u w:val="single"/>
              </w:rPr>
              <w:lastRenderedPageBreak/>
              <w:t>Advances in Continuous Traumatic Stress Theory: Traumatogenic Dynamics and Consequences of Intergroup Conflict: The Palestinian Adolescents Case</w:t>
            </w:r>
            <w:r w:rsidR="0062247C" w:rsidRPr="00D60479">
              <w:rPr>
                <w:u w:val="single"/>
              </w:rPr>
              <w:t xml:space="preserve"> 2013</w:t>
            </w:r>
          </w:p>
          <w:p w:rsidR="00E674EB" w:rsidRPr="00D60479" w:rsidRDefault="00E674EB" w:rsidP="00837DD2">
            <w:pPr>
              <w:pStyle w:val="NoSpacing"/>
              <w:rPr>
                <w:rFonts w:asciiTheme="majorBidi" w:hAnsiTheme="majorBidi"/>
              </w:rPr>
            </w:pPr>
          </w:p>
        </w:tc>
        <w:tc>
          <w:tcPr>
            <w:tcW w:w="2693" w:type="dxa"/>
          </w:tcPr>
          <w:p w:rsidR="00E674EB" w:rsidRPr="004A1B63" w:rsidRDefault="003A39C5" w:rsidP="004A1B63">
            <w:pPr>
              <w:pStyle w:val="NoSpacing"/>
              <w:cnfStyle w:val="000000100000"/>
              <w:rPr>
                <w:rFonts w:asciiTheme="majorBidi" w:hAnsiTheme="majorBidi" w:cstheme="majorBidi"/>
                <w:sz w:val="24"/>
                <w:szCs w:val="24"/>
              </w:rPr>
            </w:pPr>
            <w:r>
              <w:rPr>
                <w:rFonts w:asciiTheme="majorBidi" w:hAnsiTheme="majorBidi" w:cstheme="majorBidi"/>
                <w:sz w:val="24"/>
                <w:szCs w:val="24"/>
              </w:rPr>
              <w:t>To</w:t>
            </w:r>
            <w:r w:rsidR="004A1B63" w:rsidRPr="004A1B63">
              <w:rPr>
                <w:rFonts w:asciiTheme="majorBidi" w:hAnsiTheme="majorBidi" w:cstheme="majorBidi"/>
                <w:sz w:val="24"/>
                <w:szCs w:val="24"/>
              </w:rPr>
              <w:t xml:space="preserve"> advance the theory of chronic and traumatic stressors that have been identified as type III traumas in the trauma developmentally-based framework (DBTF) and use it to investigate the mental and physical health effects of such traumas on impacted individuals and groups.</w:t>
            </w:r>
          </w:p>
        </w:tc>
        <w:tc>
          <w:tcPr>
            <w:tcW w:w="1417" w:type="dxa"/>
          </w:tcPr>
          <w:p w:rsidR="00E674EB" w:rsidRPr="004A1B63" w:rsidRDefault="004A1B63" w:rsidP="001118AE">
            <w:pPr>
              <w:pStyle w:val="NoSpacing"/>
              <w:cnfStyle w:val="000000100000"/>
              <w:rPr>
                <w:rFonts w:asciiTheme="majorBidi" w:hAnsiTheme="majorBidi" w:cstheme="majorBidi"/>
                <w:sz w:val="24"/>
                <w:szCs w:val="24"/>
              </w:rPr>
            </w:pPr>
            <w:r w:rsidRPr="004A1B63">
              <w:rPr>
                <w:rFonts w:asciiTheme="majorBidi" w:hAnsiTheme="majorBidi" w:cstheme="majorBidi"/>
                <w:sz w:val="24"/>
                <w:szCs w:val="24"/>
              </w:rPr>
              <w:t>438 adolescents from the West Bank who had been exposed to a number of types of trauma including chronic intergroup violence. Age ranged from 12 to 19 </w:t>
            </w:r>
          </w:p>
        </w:tc>
        <w:tc>
          <w:tcPr>
            <w:tcW w:w="1843" w:type="dxa"/>
          </w:tcPr>
          <w:p w:rsidR="00E674EB" w:rsidRPr="004A1B63" w:rsidRDefault="004A1B63" w:rsidP="004A1B63">
            <w:pPr>
              <w:pStyle w:val="NoSpacing"/>
              <w:cnfStyle w:val="000000100000"/>
              <w:rPr>
                <w:rFonts w:asciiTheme="majorBidi" w:hAnsiTheme="majorBidi" w:cstheme="majorBidi"/>
                <w:sz w:val="24"/>
                <w:szCs w:val="24"/>
              </w:rPr>
            </w:pPr>
            <w:r>
              <w:rPr>
                <w:rFonts w:asciiTheme="majorBidi" w:hAnsiTheme="majorBidi" w:cstheme="majorBidi"/>
                <w:sz w:val="24"/>
                <w:szCs w:val="24"/>
              </w:rPr>
              <w:t>P</w:t>
            </w:r>
            <w:r w:rsidRPr="004A1B63">
              <w:rPr>
                <w:rFonts w:asciiTheme="majorBidi" w:hAnsiTheme="majorBidi" w:cstheme="majorBidi"/>
                <w:sz w:val="24"/>
                <w:szCs w:val="24"/>
              </w:rPr>
              <w:t>ost-traumatic stress disorder (PTSD), cumulative trauma related disorders (CTD), depression, anxiety, collective annihilation anxiety (AA), identity salience, and fear of death</w:t>
            </w:r>
          </w:p>
        </w:tc>
        <w:tc>
          <w:tcPr>
            <w:tcW w:w="5670" w:type="dxa"/>
          </w:tcPr>
          <w:p w:rsidR="00E674EB" w:rsidRPr="004A1B63" w:rsidRDefault="004A1B63" w:rsidP="004A1B63">
            <w:pPr>
              <w:pStyle w:val="NoSpacing"/>
              <w:cnfStyle w:val="000000100000"/>
              <w:rPr>
                <w:rFonts w:asciiTheme="majorBidi" w:hAnsiTheme="majorBidi" w:cstheme="majorBidi"/>
                <w:sz w:val="24"/>
                <w:szCs w:val="24"/>
              </w:rPr>
            </w:pPr>
            <w:r>
              <w:rPr>
                <w:rFonts w:asciiTheme="majorBidi" w:hAnsiTheme="majorBidi" w:cstheme="majorBidi"/>
                <w:sz w:val="24"/>
                <w:szCs w:val="24"/>
              </w:rPr>
              <w:t>C</w:t>
            </w:r>
            <w:r w:rsidRPr="004A1B63">
              <w:rPr>
                <w:rFonts w:asciiTheme="majorBidi" w:hAnsiTheme="majorBidi" w:cstheme="majorBidi"/>
                <w:sz w:val="24"/>
                <w:szCs w:val="24"/>
              </w:rPr>
              <w:t>ontinuous traumatic stress was a significant predictor of mental health. They found that anxiety has an effect on decreased physical and mental health as well as on increased fear of death.</w:t>
            </w:r>
          </w:p>
        </w:tc>
      </w:tr>
      <w:tr w:rsidR="00E674EB" w:rsidTr="008620F5">
        <w:trPr>
          <w:cnfStyle w:val="000000010000"/>
          <w:trHeight w:val="2252"/>
        </w:trPr>
        <w:tc>
          <w:tcPr>
            <w:cnfStyle w:val="001000000000"/>
            <w:tcW w:w="2068" w:type="dxa"/>
          </w:tcPr>
          <w:p w:rsidR="00E46920" w:rsidRPr="00D60479" w:rsidRDefault="00E46920" w:rsidP="00E46920">
            <w:pPr>
              <w:pStyle w:val="NoSpacing"/>
              <w:rPr>
                <w:u w:val="single"/>
              </w:rPr>
            </w:pPr>
            <w:r w:rsidRPr="00D60479">
              <w:rPr>
                <w:u w:val="single"/>
              </w:rPr>
              <w:lastRenderedPageBreak/>
              <w:t xml:space="preserve">The Perception of Student Psychological Problems at An-Najah </w:t>
            </w:r>
            <w:r w:rsidRPr="00D60479">
              <w:rPr>
                <w:u w:val="single"/>
                <w:cs/>
              </w:rPr>
              <w:t>‎</w:t>
            </w:r>
            <w:r w:rsidRPr="00D60479">
              <w:rPr>
                <w:u w:val="single"/>
              </w:rPr>
              <w:t xml:space="preserve">National University through the Al-Aqsa Intifada as a Result of </w:t>
            </w:r>
            <w:r w:rsidRPr="00D60479">
              <w:rPr>
                <w:u w:val="single"/>
                <w:cs/>
              </w:rPr>
              <w:t>‎</w:t>
            </w:r>
            <w:r w:rsidRPr="00D60479">
              <w:rPr>
                <w:u w:val="single"/>
              </w:rPr>
              <w:t>Israeli Occupation</w:t>
            </w:r>
          </w:p>
          <w:p w:rsidR="00E674EB" w:rsidRPr="00D60479" w:rsidRDefault="00A05CEF" w:rsidP="00837DD2">
            <w:pPr>
              <w:rPr>
                <w:u w:val="single"/>
              </w:rPr>
            </w:pPr>
            <w:r w:rsidRPr="00D60479">
              <w:rPr>
                <w:u w:val="single"/>
              </w:rPr>
              <w:t>2005</w:t>
            </w:r>
          </w:p>
        </w:tc>
        <w:tc>
          <w:tcPr>
            <w:tcW w:w="2693" w:type="dxa"/>
          </w:tcPr>
          <w:p w:rsidR="00E674EB" w:rsidRPr="00C778EA" w:rsidRDefault="00C778EA" w:rsidP="00C778EA">
            <w:pPr>
              <w:pStyle w:val="NoSpacing"/>
              <w:cnfStyle w:val="000000010000"/>
              <w:rPr>
                <w:rFonts w:asciiTheme="majorBidi" w:hAnsiTheme="majorBidi" w:cstheme="majorBidi"/>
                <w:sz w:val="24"/>
                <w:szCs w:val="24"/>
              </w:rPr>
            </w:pPr>
            <w:r>
              <w:rPr>
                <w:rFonts w:asciiTheme="majorBidi" w:hAnsiTheme="majorBidi" w:cstheme="majorBidi"/>
                <w:sz w:val="24"/>
                <w:szCs w:val="24"/>
              </w:rPr>
              <w:t>T</w:t>
            </w:r>
            <w:r w:rsidR="00C82ECD" w:rsidRPr="00C778EA">
              <w:rPr>
                <w:rFonts w:asciiTheme="majorBidi" w:hAnsiTheme="majorBidi" w:cstheme="majorBidi"/>
                <w:sz w:val="24"/>
                <w:szCs w:val="24"/>
              </w:rPr>
              <w:t>o determine the most important psychological problems facing An-Najah National University students as a result of the Israeli aggression.</w:t>
            </w:r>
          </w:p>
        </w:tc>
        <w:tc>
          <w:tcPr>
            <w:tcW w:w="1417" w:type="dxa"/>
          </w:tcPr>
          <w:p w:rsidR="00E674EB" w:rsidRPr="00C778EA" w:rsidRDefault="00C82ECD" w:rsidP="00C778EA">
            <w:pPr>
              <w:pStyle w:val="NoSpacing"/>
              <w:cnfStyle w:val="000000010000"/>
              <w:rPr>
                <w:rFonts w:asciiTheme="majorBidi" w:hAnsiTheme="majorBidi" w:cstheme="majorBidi"/>
                <w:sz w:val="24"/>
                <w:szCs w:val="24"/>
              </w:rPr>
            </w:pPr>
            <w:r w:rsidRPr="00C778EA">
              <w:rPr>
                <w:rFonts w:asciiTheme="majorBidi" w:hAnsiTheme="majorBidi" w:cstheme="majorBidi"/>
                <w:sz w:val="24"/>
                <w:szCs w:val="24"/>
              </w:rPr>
              <w:t>A random sample of (566) students</w:t>
            </w:r>
          </w:p>
        </w:tc>
        <w:tc>
          <w:tcPr>
            <w:tcW w:w="1843" w:type="dxa"/>
          </w:tcPr>
          <w:p w:rsidR="00E674EB" w:rsidRPr="00C778EA" w:rsidRDefault="00C82ECD" w:rsidP="00C778EA">
            <w:pPr>
              <w:pStyle w:val="NoSpacing"/>
              <w:cnfStyle w:val="000000010000"/>
              <w:rPr>
                <w:rFonts w:asciiTheme="majorBidi" w:hAnsiTheme="majorBidi" w:cstheme="majorBidi"/>
                <w:sz w:val="24"/>
                <w:szCs w:val="24"/>
              </w:rPr>
            </w:pPr>
            <w:r w:rsidRPr="00C778EA">
              <w:rPr>
                <w:rFonts w:asciiTheme="majorBidi" w:hAnsiTheme="majorBidi" w:cstheme="majorBidi"/>
                <w:sz w:val="24"/>
                <w:szCs w:val="24"/>
              </w:rPr>
              <w:t>A scale of psychological problems was constructed and validated by the researcher and applied to the sample of the study</w:t>
            </w:r>
          </w:p>
        </w:tc>
        <w:tc>
          <w:tcPr>
            <w:tcW w:w="5670" w:type="dxa"/>
          </w:tcPr>
          <w:p w:rsidR="00E674EB" w:rsidRPr="00C778EA" w:rsidRDefault="00C81BFB" w:rsidP="00C778EA">
            <w:pPr>
              <w:pStyle w:val="NoSpacing"/>
              <w:cnfStyle w:val="000000010000"/>
              <w:rPr>
                <w:rFonts w:asciiTheme="majorBidi" w:hAnsiTheme="majorBidi" w:cstheme="majorBidi"/>
                <w:sz w:val="24"/>
                <w:szCs w:val="24"/>
              </w:rPr>
            </w:pPr>
            <w:r w:rsidRPr="00C778EA">
              <w:rPr>
                <w:rFonts w:asciiTheme="majorBidi" w:hAnsiTheme="majorBidi" w:cstheme="majorBidi"/>
                <w:sz w:val="24"/>
                <w:szCs w:val="24"/>
              </w:rPr>
              <w:t>The psychological problem over all mean on students due to Israel aggression was (61.2%) which considered in terms of psychological effects is high</w:t>
            </w:r>
          </w:p>
        </w:tc>
      </w:tr>
      <w:tr w:rsidR="00E674EB" w:rsidTr="008620F5">
        <w:trPr>
          <w:cnfStyle w:val="000000100000"/>
          <w:trHeight w:val="2525"/>
        </w:trPr>
        <w:tc>
          <w:tcPr>
            <w:cnfStyle w:val="001000000000"/>
            <w:tcW w:w="2068" w:type="dxa"/>
          </w:tcPr>
          <w:p w:rsidR="00E674EB" w:rsidRPr="00D60479" w:rsidRDefault="00B73CD8" w:rsidP="00837DD2">
            <w:pPr>
              <w:rPr>
                <w:rFonts w:asciiTheme="majorBidi" w:eastAsia="Times New Roman" w:hAnsiTheme="majorBidi"/>
                <w:u w:val="single"/>
              </w:rPr>
            </w:pPr>
            <w:r w:rsidRPr="00D60479">
              <w:rPr>
                <w:rFonts w:asciiTheme="majorBidi" w:eastAsia="Times New Roman" w:hAnsiTheme="majorBidi"/>
                <w:u w:val="single"/>
              </w:rPr>
              <w:t>Psychological Distress Among Infertile Women Attending Razan Center In West Bank In Palestine: Quantitative Study</w:t>
            </w:r>
          </w:p>
          <w:p w:rsidR="00B73CD8" w:rsidRPr="00D60479" w:rsidRDefault="00B73CD8" w:rsidP="00837DD2">
            <w:pPr>
              <w:rPr>
                <w:u w:val="single"/>
              </w:rPr>
            </w:pPr>
            <w:r w:rsidRPr="00D60479">
              <w:rPr>
                <w:rFonts w:asciiTheme="majorBidi" w:eastAsia="Times New Roman" w:hAnsiTheme="majorBidi"/>
                <w:u w:val="single"/>
              </w:rPr>
              <w:t>2013</w:t>
            </w:r>
          </w:p>
        </w:tc>
        <w:tc>
          <w:tcPr>
            <w:tcW w:w="2693" w:type="dxa"/>
          </w:tcPr>
          <w:p w:rsidR="00E674EB" w:rsidRPr="00011350" w:rsidRDefault="00011350" w:rsidP="00011350">
            <w:pPr>
              <w:pStyle w:val="NoSpacing"/>
              <w:cnfStyle w:val="000000100000"/>
              <w:rPr>
                <w:rFonts w:asciiTheme="majorBidi" w:hAnsiTheme="majorBidi" w:cstheme="majorBidi"/>
                <w:sz w:val="24"/>
                <w:szCs w:val="24"/>
              </w:rPr>
            </w:pPr>
            <w:r w:rsidRPr="00011350">
              <w:rPr>
                <w:rFonts w:asciiTheme="majorBidi" w:hAnsiTheme="majorBidi" w:cstheme="majorBidi"/>
                <w:sz w:val="24"/>
                <w:szCs w:val="24"/>
              </w:rPr>
              <w:t> </w:t>
            </w:r>
            <w:r>
              <w:rPr>
                <w:rFonts w:asciiTheme="majorBidi" w:hAnsiTheme="majorBidi" w:cstheme="majorBidi"/>
                <w:sz w:val="24"/>
                <w:szCs w:val="24"/>
              </w:rPr>
              <w:t>T</w:t>
            </w:r>
            <w:r w:rsidRPr="00011350">
              <w:rPr>
                <w:rFonts w:asciiTheme="majorBidi" w:hAnsiTheme="majorBidi" w:cstheme="majorBidi"/>
                <w:sz w:val="24"/>
                <w:szCs w:val="24"/>
              </w:rPr>
              <w:t>o investigate the impacts of infertility on Palestinian women’s mental health status and to investigate the most prevalent psychological problems among infertile women.</w:t>
            </w:r>
          </w:p>
        </w:tc>
        <w:tc>
          <w:tcPr>
            <w:tcW w:w="1417" w:type="dxa"/>
          </w:tcPr>
          <w:p w:rsidR="00E674EB" w:rsidRPr="004A2A59" w:rsidRDefault="004A2A59" w:rsidP="005C4413">
            <w:pPr>
              <w:pStyle w:val="NoSpacing"/>
              <w:cnfStyle w:val="000000100000"/>
              <w:rPr>
                <w:rFonts w:asciiTheme="majorBidi" w:hAnsiTheme="majorBidi" w:cstheme="majorBidi"/>
              </w:rPr>
            </w:pPr>
            <w:r>
              <w:rPr>
                <w:rFonts w:asciiTheme="majorBidi" w:hAnsiTheme="majorBidi" w:cstheme="majorBidi"/>
                <w:sz w:val="24"/>
                <w:szCs w:val="24"/>
              </w:rPr>
              <w:t>88</w:t>
            </w:r>
            <w:r w:rsidRPr="004A2A59">
              <w:rPr>
                <w:rFonts w:asciiTheme="majorBidi" w:hAnsiTheme="majorBidi" w:cstheme="majorBidi"/>
                <w:sz w:val="24"/>
                <w:szCs w:val="24"/>
              </w:rPr>
              <w:t xml:space="preserve"> women diagnosed with infertility </w:t>
            </w:r>
          </w:p>
        </w:tc>
        <w:tc>
          <w:tcPr>
            <w:tcW w:w="1843" w:type="dxa"/>
          </w:tcPr>
          <w:p w:rsidR="00E674EB" w:rsidRPr="00984976" w:rsidRDefault="00984976" w:rsidP="00984976">
            <w:pPr>
              <w:pStyle w:val="NoSpacing"/>
              <w:cnfStyle w:val="000000100000"/>
              <w:rPr>
                <w:rFonts w:asciiTheme="majorBidi" w:hAnsiTheme="majorBidi" w:cstheme="majorBidi"/>
                <w:sz w:val="24"/>
                <w:szCs w:val="24"/>
              </w:rPr>
            </w:pPr>
            <w:r w:rsidRPr="00984976">
              <w:rPr>
                <w:rFonts w:asciiTheme="majorBidi" w:hAnsiTheme="majorBidi" w:cstheme="majorBidi"/>
                <w:sz w:val="24"/>
                <w:szCs w:val="24"/>
              </w:rPr>
              <w:t>SCL.90-R (a self report measure of mental health symptomatology)</w:t>
            </w:r>
          </w:p>
        </w:tc>
        <w:tc>
          <w:tcPr>
            <w:tcW w:w="5670" w:type="dxa"/>
          </w:tcPr>
          <w:p w:rsidR="00E674EB" w:rsidRPr="00984976" w:rsidRDefault="00984976" w:rsidP="00011F20">
            <w:pPr>
              <w:pStyle w:val="NoSpacing"/>
              <w:cnfStyle w:val="000000100000"/>
              <w:rPr>
                <w:rFonts w:asciiTheme="majorBidi" w:hAnsiTheme="majorBidi" w:cstheme="majorBidi"/>
                <w:sz w:val="24"/>
                <w:szCs w:val="24"/>
              </w:rPr>
            </w:pPr>
            <w:r w:rsidRPr="00984976">
              <w:rPr>
                <w:rFonts w:asciiTheme="majorBidi" w:hAnsiTheme="majorBidi" w:cstheme="majorBidi"/>
                <w:sz w:val="24"/>
                <w:szCs w:val="24"/>
              </w:rPr>
              <w:t>Infertile women in the current study have more psychological distress as represented through the 3 indices and 9 symptom dimensions of the SCL-90-R, than fertile women</w:t>
            </w:r>
            <w:r w:rsidR="00011F20">
              <w:rPr>
                <w:rFonts w:asciiTheme="majorBidi" w:hAnsiTheme="majorBidi" w:cstheme="majorBidi"/>
                <w:sz w:val="24"/>
                <w:szCs w:val="24"/>
              </w:rPr>
              <w:t>. T</w:t>
            </w:r>
            <w:r w:rsidR="00011F20" w:rsidRPr="000C7A05">
              <w:rPr>
                <w:rFonts w:asciiTheme="majorBidi" w:hAnsiTheme="majorBidi" w:cstheme="majorBidi"/>
                <w:sz w:val="24"/>
                <w:szCs w:val="24"/>
              </w:rPr>
              <w:t>he infertile women appeared to complain of many psychological effects including a high level of anxiety and anxiety phobia.</w:t>
            </w:r>
          </w:p>
        </w:tc>
      </w:tr>
      <w:tr w:rsidR="00E674EB" w:rsidTr="008620F5">
        <w:trPr>
          <w:cnfStyle w:val="000000010000"/>
          <w:trHeight w:val="2688"/>
        </w:trPr>
        <w:tc>
          <w:tcPr>
            <w:cnfStyle w:val="001000000000"/>
            <w:tcW w:w="2068" w:type="dxa"/>
          </w:tcPr>
          <w:p w:rsidR="0071132E" w:rsidRPr="0071132E" w:rsidRDefault="0071132E" w:rsidP="0071132E">
            <w:pPr>
              <w:pStyle w:val="NoSpacing"/>
              <w:rPr>
                <w:u w:val="single"/>
              </w:rPr>
            </w:pPr>
            <w:r w:rsidRPr="0071132E">
              <w:rPr>
                <w:u w:val="single"/>
              </w:rPr>
              <w:t>Anxiety and Depression, and their Associated Factors among pregnant women in Palestinian refugee camps - west bank</w:t>
            </w:r>
          </w:p>
          <w:p w:rsidR="00E674EB" w:rsidRPr="00F94462" w:rsidRDefault="00F62438" w:rsidP="00294BC9">
            <w:pPr>
              <w:rPr>
                <w:u w:val="single"/>
              </w:rPr>
            </w:pPr>
            <w:r>
              <w:rPr>
                <w:u w:val="single"/>
              </w:rPr>
              <w:t>201</w:t>
            </w:r>
            <w:r w:rsidR="00294BC9">
              <w:rPr>
                <w:u w:val="single"/>
              </w:rPr>
              <w:t>6</w:t>
            </w:r>
          </w:p>
        </w:tc>
        <w:tc>
          <w:tcPr>
            <w:tcW w:w="2693" w:type="dxa"/>
          </w:tcPr>
          <w:p w:rsidR="00E674EB" w:rsidRPr="00294BC9" w:rsidRDefault="00294BC9" w:rsidP="00294BC9">
            <w:pPr>
              <w:pStyle w:val="NoSpacing"/>
              <w:cnfStyle w:val="000000010000"/>
              <w:rPr>
                <w:rFonts w:asciiTheme="majorBidi" w:hAnsiTheme="majorBidi" w:cstheme="majorBidi"/>
                <w:sz w:val="24"/>
                <w:szCs w:val="24"/>
              </w:rPr>
            </w:pPr>
            <w:r w:rsidRPr="00294BC9">
              <w:rPr>
                <w:rFonts w:asciiTheme="majorBidi" w:hAnsiTheme="majorBidi" w:cstheme="majorBidi"/>
                <w:sz w:val="24"/>
                <w:szCs w:val="24"/>
              </w:rPr>
              <w:t>to find out the prevalence rate of depression and anxiety among pregnant women and the related associated factors during the period of study</w:t>
            </w:r>
          </w:p>
        </w:tc>
        <w:tc>
          <w:tcPr>
            <w:tcW w:w="1417" w:type="dxa"/>
          </w:tcPr>
          <w:p w:rsidR="00E674EB" w:rsidRPr="00294BC9" w:rsidRDefault="00294BC9" w:rsidP="00294BC9">
            <w:pPr>
              <w:pStyle w:val="NoSpacing"/>
              <w:cnfStyle w:val="000000010000"/>
              <w:rPr>
                <w:rFonts w:asciiTheme="majorBidi" w:hAnsiTheme="majorBidi" w:cstheme="majorBidi"/>
                <w:sz w:val="24"/>
                <w:szCs w:val="24"/>
              </w:rPr>
            </w:pPr>
            <w:r w:rsidRPr="00294BC9">
              <w:rPr>
                <w:rFonts w:asciiTheme="majorBidi" w:hAnsiTheme="majorBidi" w:cstheme="majorBidi"/>
                <w:sz w:val="24"/>
                <w:szCs w:val="24"/>
              </w:rPr>
              <w:t>(327) pregnant women who were selected through random sampling</w:t>
            </w:r>
          </w:p>
        </w:tc>
        <w:tc>
          <w:tcPr>
            <w:tcW w:w="1843" w:type="dxa"/>
          </w:tcPr>
          <w:p w:rsidR="00E674EB" w:rsidRPr="00294BC9" w:rsidRDefault="00294BC9" w:rsidP="00294BC9">
            <w:pPr>
              <w:pStyle w:val="NoSpacing"/>
              <w:cnfStyle w:val="000000010000"/>
              <w:rPr>
                <w:rFonts w:asciiTheme="majorBidi" w:hAnsiTheme="majorBidi" w:cstheme="majorBidi"/>
                <w:sz w:val="24"/>
                <w:szCs w:val="24"/>
              </w:rPr>
            </w:pPr>
            <w:r w:rsidRPr="00294BC9">
              <w:rPr>
                <w:rFonts w:asciiTheme="majorBidi" w:hAnsiTheme="majorBidi" w:cstheme="majorBidi"/>
                <w:sz w:val="24"/>
                <w:szCs w:val="24"/>
              </w:rPr>
              <w:t>(GAD-7) used to measure the level of anxiety, and depression (PHQ-9) Depression Scale.</w:t>
            </w:r>
          </w:p>
        </w:tc>
        <w:tc>
          <w:tcPr>
            <w:tcW w:w="5670" w:type="dxa"/>
          </w:tcPr>
          <w:p w:rsidR="00E674EB" w:rsidRPr="00294BC9" w:rsidRDefault="00294BC9" w:rsidP="00294BC9">
            <w:pPr>
              <w:pStyle w:val="NoSpacing"/>
              <w:cnfStyle w:val="000000010000"/>
              <w:rPr>
                <w:rFonts w:asciiTheme="majorBidi" w:hAnsiTheme="majorBidi" w:cstheme="majorBidi"/>
                <w:sz w:val="24"/>
                <w:szCs w:val="24"/>
              </w:rPr>
            </w:pPr>
            <w:r w:rsidRPr="00294BC9">
              <w:rPr>
                <w:rFonts w:asciiTheme="majorBidi" w:hAnsiTheme="majorBidi" w:cstheme="majorBidi"/>
                <w:sz w:val="24"/>
                <w:szCs w:val="24"/>
              </w:rPr>
              <w:t>Th</w:t>
            </w:r>
            <w:r>
              <w:rPr>
                <w:rFonts w:asciiTheme="majorBidi" w:hAnsiTheme="majorBidi" w:cstheme="majorBidi"/>
                <w:sz w:val="24"/>
                <w:szCs w:val="24"/>
              </w:rPr>
              <w:t xml:space="preserve">e prevalence of anxiety </w:t>
            </w:r>
            <w:proofErr w:type="gramStart"/>
            <w:r>
              <w:rPr>
                <w:rFonts w:asciiTheme="majorBidi" w:hAnsiTheme="majorBidi" w:cstheme="majorBidi"/>
                <w:sz w:val="24"/>
                <w:szCs w:val="24"/>
              </w:rPr>
              <w:t>was  high</w:t>
            </w:r>
            <w:proofErr w:type="gramEnd"/>
            <w:r>
              <w:rPr>
                <w:rFonts w:asciiTheme="majorBidi" w:hAnsiTheme="majorBidi" w:cstheme="majorBidi"/>
                <w:sz w:val="24"/>
                <w:szCs w:val="24"/>
              </w:rPr>
              <w:t xml:space="preserve">. </w:t>
            </w:r>
            <w:r w:rsidRPr="000C7A05">
              <w:rPr>
                <w:rFonts w:asciiTheme="majorBidi" w:hAnsiTheme="majorBidi" w:cstheme="majorBidi"/>
                <w:sz w:val="24"/>
                <w:szCs w:val="24"/>
              </w:rPr>
              <w:t>Pregnant women had a different degree of anxiety as follows: mild anxiety was 30.7%, moderate anxiety 17.5% and severe anxiety was 12%.</w:t>
            </w:r>
          </w:p>
        </w:tc>
      </w:tr>
      <w:tr w:rsidR="00E674EB" w:rsidTr="008620F5">
        <w:trPr>
          <w:cnfStyle w:val="000000100000"/>
          <w:trHeight w:val="2513"/>
        </w:trPr>
        <w:tc>
          <w:tcPr>
            <w:cnfStyle w:val="001000000000"/>
            <w:tcW w:w="2068" w:type="dxa"/>
          </w:tcPr>
          <w:p w:rsidR="00915B58" w:rsidRPr="00915B58" w:rsidRDefault="00915B58" w:rsidP="00915B58">
            <w:pPr>
              <w:rPr>
                <w:u w:val="single"/>
              </w:rPr>
            </w:pPr>
            <w:r w:rsidRPr="00915B58">
              <w:rPr>
                <w:u w:val="single"/>
              </w:rPr>
              <w:lastRenderedPageBreak/>
              <w:t>Binge eating symptoms prevalence and relationship with psychosocial</w:t>
            </w:r>
          </w:p>
          <w:p w:rsidR="00915B58" w:rsidRPr="00915B58" w:rsidRDefault="00915B58" w:rsidP="00915B58">
            <w:pPr>
              <w:rPr>
                <w:u w:val="single"/>
              </w:rPr>
            </w:pPr>
            <w:r w:rsidRPr="00915B58">
              <w:rPr>
                <w:u w:val="single"/>
              </w:rPr>
              <w:t>factors among female undergraduate students at Palestine Polytechnic University: a cross-sectional</w:t>
            </w:r>
          </w:p>
          <w:p w:rsidR="00E674EB" w:rsidRDefault="00915B58" w:rsidP="00915B58">
            <w:proofErr w:type="gramStart"/>
            <w:r w:rsidRPr="00915B58">
              <w:rPr>
                <w:u w:val="single"/>
              </w:rPr>
              <w:t>study</w:t>
            </w:r>
            <w:proofErr w:type="gramEnd"/>
            <w:r w:rsidRPr="00915B58">
              <w:rPr>
                <w:u w:val="single"/>
              </w:rPr>
              <w:t>.</w:t>
            </w:r>
            <w:r w:rsidR="00B301AA">
              <w:rPr>
                <w:u w:val="single"/>
              </w:rPr>
              <w:t xml:space="preserve">  </w:t>
            </w:r>
            <w:r w:rsidR="00CA04A5">
              <w:rPr>
                <w:u w:val="single"/>
              </w:rPr>
              <w:t>2019</w:t>
            </w:r>
          </w:p>
        </w:tc>
        <w:tc>
          <w:tcPr>
            <w:tcW w:w="2693" w:type="dxa"/>
          </w:tcPr>
          <w:p w:rsidR="00E674EB" w:rsidRPr="00B301AA" w:rsidRDefault="00B301AA" w:rsidP="00B301AA">
            <w:pPr>
              <w:pStyle w:val="NoSpacing"/>
              <w:cnfStyle w:val="000000100000"/>
              <w:rPr>
                <w:rFonts w:asciiTheme="majorBidi" w:hAnsiTheme="majorBidi" w:cstheme="majorBidi"/>
                <w:sz w:val="24"/>
                <w:szCs w:val="24"/>
              </w:rPr>
            </w:pPr>
            <w:r w:rsidRPr="00B301AA">
              <w:rPr>
                <w:rFonts w:asciiTheme="majorBidi" w:hAnsiTheme="majorBidi" w:cstheme="majorBidi"/>
                <w:sz w:val="24"/>
                <w:szCs w:val="24"/>
              </w:rPr>
              <w:t>To examine the prevalence of binge eating symptoms and its relationship with selected variables (i.e. socio-demographics, nutritional status and dietary habits).</w:t>
            </w:r>
          </w:p>
        </w:tc>
        <w:tc>
          <w:tcPr>
            <w:tcW w:w="1417" w:type="dxa"/>
          </w:tcPr>
          <w:p w:rsidR="00E674EB" w:rsidRPr="00B301AA" w:rsidRDefault="00515F61" w:rsidP="00B301AA">
            <w:pPr>
              <w:pStyle w:val="NoSpacing"/>
              <w:cnfStyle w:val="000000100000"/>
              <w:rPr>
                <w:rFonts w:asciiTheme="majorBidi" w:hAnsiTheme="majorBidi" w:cstheme="majorBidi"/>
                <w:sz w:val="24"/>
                <w:szCs w:val="24"/>
              </w:rPr>
            </w:pPr>
            <w:r>
              <w:rPr>
                <w:rFonts w:asciiTheme="majorBidi" w:hAnsiTheme="majorBidi" w:cstheme="majorBidi"/>
                <w:sz w:val="24"/>
                <w:szCs w:val="24"/>
              </w:rPr>
              <w:t>154</w:t>
            </w:r>
            <w:r w:rsidR="00B301AA" w:rsidRPr="00B301AA">
              <w:rPr>
                <w:rFonts w:asciiTheme="majorBidi" w:hAnsiTheme="majorBidi" w:cstheme="majorBidi"/>
                <w:sz w:val="24"/>
                <w:szCs w:val="24"/>
              </w:rPr>
              <w:t xml:space="preserve"> female undergraduate students, from three different faculties at Palestine Polytechnic University, participated in the study</w:t>
            </w:r>
          </w:p>
        </w:tc>
        <w:tc>
          <w:tcPr>
            <w:tcW w:w="1843" w:type="dxa"/>
          </w:tcPr>
          <w:p w:rsidR="00E674EB" w:rsidRPr="00B301AA" w:rsidRDefault="00B301AA" w:rsidP="00B301AA">
            <w:pPr>
              <w:pStyle w:val="NoSpacing"/>
              <w:cnfStyle w:val="000000100000"/>
              <w:rPr>
                <w:rFonts w:asciiTheme="majorBidi" w:hAnsiTheme="majorBidi" w:cstheme="majorBidi"/>
                <w:sz w:val="24"/>
                <w:szCs w:val="24"/>
              </w:rPr>
            </w:pPr>
            <w:r w:rsidRPr="00B301AA">
              <w:rPr>
                <w:rFonts w:asciiTheme="majorBidi" w:hAnsiTheme="majorBidi" w:cstheme="majorBidi"/>
                <w:sz w:val="24"/>
                <w:szCs w:val="24"/>
              </w:rPr>
              <w:t>The screening for presence of binge eating symptoms was done using BEDS-7.</w:t>
            </w:r>
          </w:p>
        </w:tc>
        <w:tc>
          <w:tcPr>
            <w:tcW w:w="5670" w:type="dxa"/>
          </w:tcPr>
          <w:p w:rsidR="00E674EB" w:rsidRPr="00B301AA" w:rsidRDefault="00B301AA" w:rsidP="00B301AA">
            <w:pPr>
              <w:pStyle w:val="NoSpacing"/>
              <w:cnfStyle w:val="000000100000"/>
              <w:rPr>
                <w:rFonts w:asciiTheme="majorBidi" w:hAnsiTheme="majorBidi" w:cstheme="majorBidi"/>
                <w:sz w:val="24"/>
                <w:szCs w:val="24"/>
              </w:rPr>
            </w:pPr>
            <w:r w:rsidRPr="00B301AA">
              <w:rPr>
                <w:rFonts w:asciiTheme="majorBidi" w:hAnsiTheme="majorBidi" w:cstheme="majorBidi"/>
                <w:sz w:val="24"/>
                <w:szCs w:val="24"/>
              </w:rPr>
              <w:t>Half of the participants   (50%) had binge eating symptoms. No association between binge eating symptoms and socio-demographic variables was found.</w:t>
            </w:r>
            <w:r w:rsidR="00D76730">
              <w:rPr>
                <w:rFonts w:asciiTheme="majorBidi" w:hAnsiTheme="majorBidi" w:cstheme="majorBidi"/>
                <w:sz w:val="24"/>
                <w:szCs w:val="24"/>
              </w:rPr>
              <w:t xml:space="preserve"> </w:t>
            </w:r>
            <w:r w:rsidR="00D76730" w:rsidRPr="00D76730">
              <w:rPr>
                <w:rFonts w:asciiTheme="majorBidi" w:hAnsiTheme="majorBidi" w:cstheme="majorBidi"/>
                <w:sz w:val="24"/>
                <w:szCs w:val="24"/>
              </w:rPr>
              <w:t>A significantly higher score on depression, stress and anxiety was found among binge eaters than non-binge eaters.</w:t>
            </w:r>
          </w:p>
        </w:tc>
      </w:tr>
      <w:tr w:rsidR="00E674EB" w:rsidTr="008620F5">
        <w:trPr>
          <w:cnfStyle w:val="000000010000"/>
          <w:trHeight w:val="2535"/>
        </w:trPr>
        <w:tc>
          <w:tcPr>
            <w:cnfStyle w:val="001000000000"/>
            <w:tcW w:w="2068" w:type="dxa"/>
          </w:tcPr>
          <w:p w:rsidR="00494FB3" w:rsidRPr="00494FB3" w:rsidRDefault="00494FB3" w:rsidP="00494FB3">
            <w:pPr>
              <w:rPr>
                <w:u w:val="single"/>
              </w:rPr>
            </w:pPr>
            <w:r w:rsidRPr="00494FB3">
              <w:rPr>
                <w:u w:val="single"/>
              </w:rPr>
              <w:t>The Relationship between PTSD, Anxiety and Depression in Palestinian</w:t>
            </w:r>
          </w:p>
          <w:p w:rsidR="00E674EB" w:rsidRPr="00E033FC" w:rsidRDefault="00494FB3" w:rsidP="00494FB3">
            <w:pPr>
              <w:rPr>
                <w:u w:val="single"/>
              </w:rPr>
            </w:pPr>
            <w:r w:rsidRPr="00494FB3">
              <w:rPr>
                <w:u w:val="single"/>
              </w:rPr>
              <w:t>Children with Cancer and Mental Health of Mothers.</w:t>
            </w:r>
            <w:r>
              <w:rPr>
                <w:u w:val="single"/>
              </w:rPr>
              <w:t xml:space="preserve"> 2017</w:t>
            </w:r>
          </w:p>
        </w:tc>
        <w:tc>
          <w:tcPr>
            <w:tcW w:w="2693" w:type="dxa"/>
          </w:tcPr>
          <w:p w:rsidR="00E674EB" w:rsidRPr="00332850" w:rsidRDefault="001B218B" w:rsidP="00332850">
            <w:pPr>
              <w:pStyle w:val="NoSpacing"/>
              <w:cnfStyle w:val="000000010000"/>
              <w:rPr>
                <w:rFonts w:asciiTheme="majorBidi" w:hAnsiTheme="majorBidi" w:cstheme="majorBidi"/>
                <w:sz w:val="24"/>
                <w:szCs w:val="24"/>
              </w:rPr>
            </w:pPr>
            <w:r w:rsidRPr="00332850">
              <w:rPr>
                <w:rFonts w:asciiTheme="majorBidi" w:hAnsiTheme="majorBidi" w:cstheme="majorBidi"/>
                <w:sz w:val="24"/>
                <w:szCs w:val="24"/>
              </w:rPr>
              <w:t>To investigate the prevalence of PTSD, depression and anxiety among children with cancer and relationship to mother’s mental health.</w:t>
            </w:r>
          </w:p>
        </w:tc>
        <w:tc>
          <w:tcPr>
            <w:tcW w:w="1417" w:type="dxa"/>
          </w:tcPr>
          <w:p w:rsidR="00E674EB" w:rsidRPr="00332850" w:rsidRDefault="00332850" w:rsidP="00332850">
            <w:pPr>
              <w:pStyle w:val="NoSpacing"/>
              <w:cnfStyle w:val="000000010000"/>
              <w:rPr>
                <w:rFonts w:asciiTheme="majorBidi" w:hAnsiTheme="majorBidi" w:cstheme="majorBidi"/>
                <w:sz w:val="24"/>
                <w:szCs w:val="24"/>
              </w:rPr>
            </w:pPr>
            <w:r w:rsidRPr="00332850">
              <w:rPr>
                <w:rFonts w:asciiTheme="majorBidi" w:hAnsiTheme="majorBidi" w:cstheme="majorBidi"/>
                <w:sz w:val="24"/>
                <w:szCs w:val="24"/>
              </w:rPr>
              <w:t xml:space="preserve">50 children with their mothers </w:t>
            </w:r>
            <w:proofErr w:type="gramStart"/>
            <w:r w:rsidRPr="00332850">
              <w:rPr>
                <w:rFonts w:asciiTheme="majorBidi" w:hAnsiTheme="majorBidi" w:cstheme="majorBidi"/>
                <w:sz w:val="24"/>
                <w:szCs w:val="24"/>
              </w:rPr>
              <w:t>was</w:t>
            </w:r>
            <w:proofErr w:type="gramEnd"/>
            <w:r w:rsidRPr="00332850">
              <w:rPr>
                <w:rFonts w:asciiTheme="majorBidi" w:hAnsiTheme="majorBidi" w:cstheme="majorBidi"/>
                <w:sz w:val="24"/>
                <w:szCs w:val="24"/>
              </w:rPr>
              <w:t xml:space="preserve"> selected from oncology department at El Nasser </w:t>
            </w:r>
            <w:proofErr w:type="spellStart"/>
            <w:r w:rsidRPr="00332850">
              <w:rPr>
                <w:rFonts w:asciiTheme="majorBidi" w:hAnsiTheme="majorBidi" w:cstheme="majorBidi"/>
                <w:sz w:val="24"/>
                <w:szCs w:val="24"/>
              </w:rPr>
              <w:t>paediatric</w:t>
            </w:r>
            <w:proofErr w:type="spellEnd"/>
            <w:r w:rsidRPr="00332850">
              <w:rPr>
                <w:rFonts w:asciiTheme="majorBidi" w:hAnsiTheme="majorBidi" w:cstheme="majorBidi"/>
                <w:sz w:val="24"/>
                <w:szCs w:val="24"/>
              </w:rPr>
              <w:t xml:space="preserve"> hospital in Gaza city.</w:t>
            </w:r>
          </w:p>
        </w:tc>
        <w:tc>
          <w:tcPr>
            <w:tcW w:w="1843" w:type="dxa"/>
          </w:tcPr>
          <w:p w:rsidR="00E674EB" w:rsidRPr="00332850" w:rsidRDefault="00332850" w:rsidP="00332850">
            <w:pPr>
              <w:pStyle w:val="NoSpacing"/>
              <w:cnfStyle w:val="000000010000"/>
              <w:rPr>
                <w:rFonts w:asciiTheme="majorBidi" w:hAnsiTheme="majorBidi" w:cstheme="majorBidi"/>
                <w:sz w:val="24"/>
                <w:szCs w:val="24"/>
              </w:rPr>
            </w:pPr>
            <w:r w:rsidRPr="00332850">
              <w:rPr>
                <w:rStyle w:val="Strong"/>
                <w:rFonts w:asciiTheme="majorBidi" w:hAnsiTheme="majorBidi" w:cstheme="majorBidi"/>
                <w:b w:val="0"/>
                <w:bCs w:val="0"/>
                <w:sz w:val="24"/>
                <w:szCs w:val="24"/>
              </w:rPr>
              <w:t>A pre-designed socio-demographic sheet</w:t>
            </w:r>
          </w:p>
        </w:tc>
        <w:tc>
          <w:tcPr>
            <w:tcW w:w="5670" w:type="dxa"/>
          </w:tcPr>
          <w:p w:rsidR="00E674EB" w:rsidRPr="00332850" w:rsidRDefault="00332850" w:rsidP="00332850">
            <w:pPr>
              <w:pStyle w:val="NoSpacing"/>
              <w:cnfStyle w:val="000000010000"/>
              <w:rPr>
                <w:rFonts w:asciiTheme="majorBidi" w:hAnsiTheme="majorBidi" w:cstheme="majorBidi"/>
                <w:sz w:val="24"/>
                <w:szCs w:val="24"/>
              </w:rPr>
            </w:pPr>
            <w:r w:rsidRPr="00332850">
              <w:rPr>
                <w:rFonts w:asciiTheme="majorBidi" w:hAnsiTheme="majorBidi" w:cstheme="majorBidi"/>
                <w:sz w:val="24"/>
                <w:szCs w:val="24"/>
              </w:rPr>
              <w:t>22% of children had partial PTSD and 18% had full criteria of PTSD, 62% of children had anxiety disorders</w:t>
            </w:r>
          </w:p>
        </w:tc>
      </w:tr>
      <w:tr w:rsidR="00E674EB" w:rsidTr="008620F5">
        <w:trPr>
          <w:cnfStyle w:val="000000100000"/>
          <w:trHeight w:val="2954"/>
        </w:trPr>
        <w:tc>
          <w:tcPr>
            <w:cnfStyle w:val="001000000000"/>
            <w:tcW w:w="2068" w:type="dxa"/>
          </w:tcPr>
          <w:p w:rsidR="006C77FE" w:rsidRPr="006C77FE" w:rsidRDefault="006C77FE" w:rsidP="006C77FE">
            <w:pPr>
              <w:pStyle w:val="NoSpacing"/>
              <w:rPr>
                <w:u w:val="single"/>
              </w:rPr>
            </w:pPr>
            <w:r w:rsidRPr="006C77FE">
              <w:rPr>
                <w:u w:val="single"/>
              </w:rPr>
              <w:lastRenderedPageBreak/>
              <w:t>Depression and anxiety symptoms in cardiac patients: a cross-sectional hospital-based study in a Palestinian population</w:t>
            </w:r>
          </w:p>
          <w:p w:rsidR="00E674EB" w:rsidRDefault="002D698A" w:rsidP="00837DD2">
            <w:r>
              <w:t>2019</w:t>
            </w:r>
          </w:p>
        </w:tc>
        <w:tc>
          <w:tcPr>
            <w:tcW w:w="2693" w:type="dxa"/>
          </w:tcPr>
          <w:p w:rsidR="00E674EB" w:rsidRPr="009012C9" w:rsidRDefault="009012C9" w:rsidP="009012C9">
            <w:pPr>
              <w:pStyle w:val="NoSpacing"/>
              <w:cnfStyle w:val="000000100000"/>
              <w:rPr>
                <w:rFonts w:asciiTheme="majorBidi" w:hAnsiTheme="majorBidi" w:cstheme="majorBidi"/>
                <w:sz w:val="24"/>
                <w:szCs w:val="24"/>
              </w:rPr>
            </w:pPr>
            <w:r w:rsidRPr="009012C9">
              <w:rPr>
                <w:rFonts w:asciiTheme="majorBidi" w:hAnsiTheme="majorBidi" w:cstheme="majorBidi"/>
                <w:sz w:val="24"/>
                <w:szCs w:val="24"/>
              </w:rPr>
              <w:t>To investigate the proportion of cardiac patients with depression and anxiety as well as factors associated with the presence of these symptoms in a Palestinian population.</w:t>
            </w:r>
          </w:p>
        </w:tc>
        <w:tc>
          <w:tcPr>
            <w:tcW w:w="1417" w:type="dxa"/>
          </w:tcPr>
          <w:p w:rsidR="00E674EB" w:rsidRPr="009012C9" w:rsidRDefault="009012C9" w:rsidP="009012C9">
            <w:pPr>
              <w:pStyle w:val="NoSpacing"/>
              <w:cnfStyle w:val="000000100000"/>
              <w:rPr>
                <w:rFonts w:asciiTheme="majorBidi" w:hAnsiTheme="majorBidi" w:cstheme="majorBidi"/>
                <w:sz w:val="24"/>
                <w:szCs w:val="24"/>
              </w:rPr>
            </w:pPr>
            <w:r w:rsidRPr="009012C9">
              <w:rPr>
                <w:rFonts w:asciiTheme="majorBidi" w:hAnsiTheme="majorBidi" w:cstheme="majorBidi"/>
                <w:sz w:val="24"/>
                <w:szCs w:val="24"/>
              </w:rPr>
              <w:t>The sample consisted of a total of 1053 Patients. The age ranged 30-80.</w:t>
            </w:r>
          </w:p>
        </w:tc>
        <w:tc>
          <w:tcPr>
            <w:tcW w:w="1843" w:type="dxa"/>
          </w:tcPr>
          <w:p w:rsidR="00E674EB" w:rsidRPr="009012C9" w:rsidRDefault="009012C9" w:rsidP="009012C9">
            <w:pPr>
              <w:pStyle w:val="NoSpacing"/>
              <w:cnfStyle w:val="000000100000"/>
              <w:rPr>
                <w:rFonts w:asciiTheme="majorBidi" w:hAnsiTheme="majorBidi" w:cstheme="majorBidi"/>
                <w:sz w:val="24"/>
                <w:szCs w:val="24"/>
              </w:rPr>
            </w:pPr>
            <w:r w:rsidRPr="009012C9">
              <w:rPr>
                <w:rFonts w:asciiTheme="majorBidi" w:hAnsiTheme="majorBidi" w:cstheme="majorBidi"/>
                <w:sz w:val="24"/>
                <w:szCs w:val="24"/>
              </w:rPr>
              <w:t>Cardiac Depression Scale (CDS) and the Depression Anxiety Stress Scale (DASS-42)</w:t>
            </w:r>
          </w:p>
        </w:tc>
        <w:tc>
          <w:tcPr>
            <w:tcW w:w="5670" w:type="dxa"/>
          </w:tcPr>
          <w:p w:rsidR="00E674EB" w:rsidRPr="009012C9" w:rsidRDefault="009012C9" w:rsidP="009012C9">
            <w:pPr>
              <w:pStyle w:val="NoSpacing"/>
              <w:cnfStyle w:val="000000100000"/>
              <w:rPr>
                <w:rFonts w:asciiTheme="majorBidi" w:hAnsiTheme="majorBidi" w:cstheme="majorBidi"/>
                <w:sz w:val="24"/>
                <w:szCs w:val="24"/>
              </w:rPr>
            </w:pPr>
            <w:r w:rsidRPr="009012C9">
              <w:rPr>
                <w:rFonts w:asciiTheme="majorBidi" w:hAnsiTheme="majorBidi" w:cstheme="majorBidi"/>
                <w:sz w:val="24"/>
                <w:szCs w:val="24"/>
              </w:rPr>
              <w:t>Symptoms of depression and anxiety were more prevalent among females and less educated patients. Factors independently associated with both depressive and anxiety symptoms were post-traumatic stress disorder symptoms, low level of self-esteem, high somatic symptoms, low physical and mental health component scores, active smoking, physical inactivity, and longer disease duration. Patients with depressive and anxiety symptoms also reported poor social support and lower resilience.</w:t>
            </w:r>
          </w:p>
        </w:tc>
      </w:tr>
      <w:tr w:rsidR="00691F04" w:rsidRPr="00AB36C7" w:rsidTr="008620F5">
        <w:trPr>
          <w:cnfStyle w:val="000000010000"/>
          <w:trHeight w:val="2954"/>
        </w:trPr>
        <w:tc>
          <w:tcPr>
            <w:cnfStyle w:val="001000000000"/>
            <w:tcW w:w="2068" w:type="dxa"/>
          </w:tcPr>
          <w:p w:rsidR="00EA027A" w:rsidRPr="00EA027A" w:rsidRDefault="00EA027A" w:rsidP="00EA027A">
            <w:pPr>
              <w:pStyle w:val="NoSpacing"/>
              <w:rPr>
                <w:u w:val="single"/>
              </w:rPr>
            </w:pPr>
            <w:r w:rsidRPr="00EA027A">
              <w:rPr>
                <w:u w:val="single"/>
              </w:rPr>
              <w:t>The Impact of Preoperative Education on the Psychological and Physiological Aspects of Patients Undergoing Abdominal Surgery</w:t>
            </w:r>
          </w:p>
          <w:p w:rsidR="00691F04" w:rsidRDefault="006D3DEC" w:rsidP="00B0072D">
            <w:r>
              <w:t>2017</w:t>
            </w:r>
          </w:p>
        </w:tc>
        <w:tc>
          <w:tcPr>
            <w:tcW w:w="2693" w:type="dxa"/>
          </w:tcPr>
          <w:p w:rsidR="00691F04" w:rsidRPr="00CB3015" w:rsidRDefault="00605D7F" w:rsidP="00CB3015">
            <w:pPr>
              <w:pStyle w:val="NoSpacing"/>
              <w:cnfStyle w:val="000000010000"/>
              <w:rPr>
                <w:rFonts w:asciiTheme="majorBidi" w:hAnsiTheme="majorBidi" w:cstheme="majorBidi"/>
                <w:sz w:val="24"/>
                <w:szCs w:val="24"/>
              </w:rPr>
            </w:pPr>
            <w:r w:rsidRPr="00CB3015">
              <w:rPr>
                <w:rFonts w:asciiTheme="majorBidi" w:hAnsiTheme="majorBidi" w:cstheme="majorBidi"/>
                <w:sz w:val="24"/>
                <w:szCs w:val="24"/>
              </w:rPr>
              <w:t>To assess the impact of preoperative education on the anxiety level of patients undergoing abdominal surgery and their postoperative pain.</w:t>
            </w:r>
          </w:p>
        </w:tc>
        <w:tc>
          <w:tcPr>
            <w:tcW w:w="1417" w:type="dxa"/>
          </w:tcPr>
          <w:p w:rsidR="00691F04" w:rsidRPr="00CB3015" w:rsidRDefault="00BC543D" w:rsidP="00CB3015">
            <w:pPr>
              <w:pStyle w:val="NoSpacing"/>
              <w:cnfStyle w:val="000000010000"/>
              <w:rPr>
                <w:rFonts w:asciiTheme="majorBidi" w:hAnsiTheme="majorBidi" w:cstheme="majorBidi"/>
                <w:sz w:val="24"/>
                <w:szCs w:val="24"/>
              </w:rPr>
            </w:pPr>
            <w:r w:rsidRPr="00CB3015">
              <w:rPr>
                <w:rFonts w:asciiTheme="majorBidi" w:hAnsiTheme="majorBidi" w:cstheme="majorBidi"/>
                <w:sz w:val="24"/>
                <w:szCs w:val="24"/>
              </w:rPr>
              <w:t xml:space="preserve">Randomized and controlled among </w:t>
            </w:r>
            <w:r w:rsidR="00322805" w:rsidRPr="00CB3015">
              <w:rPr>
                <w:rFonts w:asciiTheme="majorBidi" w:hAnsiTheme="majorBidi" w:cstheme="majorBidi"/>
                <w:sz w:val="24"/>
                <w:szCs w:val="24"/>
              </w:rPr>
              <w:t xml:space="preserve">Adult men and women over 18 undergoing any type of elective abdominal surgery in governmental hospitals in the Nablus district. </w:t>
            </w:r>
          </w:p>
        </w:tc>
        <w:tc>
          <w:tcPr>
            <w:tcW w:w="1843" w:type="dxa"/>
          </w:tcPr>
          <w:p w:rsidR="00691F04" w:rsidRPr="00FC4E4B" w:rsidRDefault="00FC4E4B" w:rsidP="00FC4E4B">
            <w:pPr>
              <w:pStyle w:val="NoSpacing"/>
              <w:cnfStyle w:val="000000010000"/>
              <w:rPr>
                <w:rFonts w:asciiTheme="majorBidi" w:hAnsiTheme="majorBidi" w:cstheme="majorBidi"/>
              </w:rPr>
            </w:pPr>
            <w:r w:rsidRPr="00FC4E4B">
              <w:rPr>
                <w:rFonts w:asciiTheme="majorBidi" w:hAnsiTheme="majorBidi" w:cstheme="majorBidi"/>
                <w:sz w:val="24"/>
                <w:szCs w:val="24"/>
              </w:rPr>
              <w:t>Anxiety Inventory and the Visual Analog Scale (VAS) for pain scales</w:t>
            </w:r>
          </w:p>
        </w:tc>
        <w:tc>
          <w:tcPr>
            <w:tcW w:w="5670" w:type="dxa"/>
          </w:tcPr>
          <w:p w:rsidR="00691F04" w:rsidRPr="00CB3015" w:rsidRDefault="00BC543D" w:rsidP="00CB3015">
            <w:pPr>
              <w:pStyle w:val="NoSpacing"/>
              <w:cnfStyle w:val="000000010000"/>
              <w:rPr>
                <w:rFonts w:asciiTheme="majorBidi" w:hAnsiTheme="majorBidi" w:cstheme="majorBidi"/>
                <w:sz w:val="24"/>
                <w:szCs w:val="24"/>
              </w:rPr>
            </w:pPr>
            <w:r w:rsidRPr="00CB3015">
              <w:rPr>
                <w:rFonts w:asciiTheme="majorBidi" w:hAnsiTheme="majorBidi" w:cstheme="majorBidi"/>
                <w:sz w:val="24"/>
                <w:szCs w:val="24"/>
              </w:rPr>
              <w:t xml:space="preserve">There was a significant reduction in the preoperative level of anxiety and postoperative level of pain among the patients who received the structured </w:t>
            </w:r>
            <w:r w:rsidR="004D6BFE" w:rsidRPr="00CB3015">
              <w:rPr>
                <w:rFonts w:asciiTheme="majorBidi" w:hAnsiTheme="majorBidi" w:cstheme="majorBidi"/>
                <w:sz w:val="24"/>
                <w:szCs w:val="24"/>
              </w:rPr>
              <w:t>education</w:t>
            </w:r>
            <w:r w:rsidRPr="00CB3015">
              <w:rPr>
                <w:rFonts w:asciiTheme="majorBidi" w:hAnsiTheme="majorBidi" w:cstheme="majorBidi"/>
                <w:sz w:val="24"/>
                <w:szCs w:val="24"/>
              </w:rPr>
              <w:t xml:space="preserve"> program</w:t>
            </w:r>
          </w:p>
        </w:tc>
      </w:tr>
      <w:tr w:rsidR="00CB3015" w:rsidRPr="004D6BFE" w:rsidTr="008620F5">
        <w:trPr>
          <w:cnfStyle w:val="000000100000"/>
          <w:trHeight w:val="2954"/>
        </w:trPr>
        <w:tc>
          <w:tcPr>
            <w:cnfStyle w:val="001000000000"/>
            <w:tcW w:w="2068" w:type="dxa"/>
          </w:tcPr>
          <w:p w:rsidR="00072FC4" w:rsidRPr="00072FC4" w:rsidRDefault="00072FC4" w:rsidP="00072FC4">
            <w:pPr>
              <w:pStyle w:val="NoSpacing"/>
              <w:rPr>
                <w:u w:val="single"/>
              </w:rPr>
            </w:pPr>
            <w:r w:rsidRPr="00072FC4">
              <w:rPr>
                <w:u w:val="single"/>
              </w:rPr>
              <w:lastRenderedPageBreak/>
              <w:t>Epidemiology of child mental health problems in Gaza Strip</w:t>
            </w:r>
          </w:p>
          <w:p w:rsidR="00CB3015" w:rsidRDefault="00072FC4" w:rsidP="00072FC4">
            <w:pPr>
              <w:pStyle w:val="NoSpacing"/>
            </w:pPr>
            <w:r w:rsidRPr="00072FC4">
              <w:rPr>
                <w:u w:val="single"/>
              </w:rPr>
              <w:t>2001</w:t>
            </w:r>
          </w:p>
        </w:tc>
        <w:tc>
          <w:tcPr>
            <w:tcW w:w="2693" w:type="dxa"/>
          </w:tcPr>
          <w:p w:rsidR="00CB3015" w:rsidRPr="00A27780" w:rsidRDefault="00D0442A" w:rsidP="00D0442A">
            <w:pPr>
              <w:pStyle w:val="NoSpacing"/>
              <w:cnfStyle w:val="000000100000"/>
              <w:rPr>
                <w:rFonts w:asciiTheme="majorBidi" w:hAnsiTheme="majorBidi" w:cstheme="majorBidi"/>
                <w:sz w:val="24"/>
                <w:szCs w:val="24"/>
              </w:rPr>
            </w:pPr>
            <w:r w:rsidRPr="00A27780">
              <w:rPr>
                <w:rFonts w:asciiTheme="majorBidi" w:hAnsiTheme="majorBidi" w:cstheme="majorBidi"/>
                <w:sz w:val="24"/>
                <w:szCs w:val="24"/>
              </w:rPr>
              <w:t>To detect the prevalence of behavioral and emotional problems among Palestinian children.</w:t>
            </w:r>
          </w:p>
        </w:tc>
        <w:tc>
          <w:tcPr>
            <w:tcW w:w="1417" w:type="dxa"/>
          </w:tcPr>
          <w:p w:rsidR="00CB3015" w:rsidRPr="00A27780" w:rsidRDefault="00C1118B" w:rsidP="00D0442A">
            <w:pPr>
              <w:pStyle w:val="NoSpacing"/>
              <w:cnfStyle w:val="000000100000"/>
              <w:rPr>
                <w:rFonts w:asciiTheme="majorBidi" w:hAnsiTheme="majorBidi" w:cstheme="majorBidi"/>
                <w:sz w:val="24"/>
                <w:szCs w:val="24"/>
              </w:rPr>
            </w:pPr>
            <w:r w:rsidRPr="000C7A05">
              <w:rPr>
                <w:rFonts w:asciiTheme="majorBidi" w:hAnsiTheme="majorBidi" w:cstheme="majorBidi"/>
                <w:sz w:val="24"/>
                <w:szCs w:val="24"/>
              </w:rPr>
              <w:t>The sample consisted of 453 boys and 506 girls</w:t>
            </w:r>
            <w:r>
              <w:rPr>
                <w:rFonts w:asciiTheme="majorBidi" w:hAnsiTheme="majorBidi" w:cstheme="majorBidi"/>
                <w:sz w:val="24"/>
                <w:szCs w:val="24"/>
              </w:rPr>
              <w:t xml:space="preserve">. </w:t>
            </w:r>
            <w:r w:rsidRPr="000C7A05">
              <w:rPr>
                <w:rFonts w:asciiTheme="majorBidi" w:hAnsiTheme="majorBidi" w:cstheme="majorBidi"/>
                <w:sz w:val="24"/>
                <w:szCs w:val="24"/>
              </w:rPr>
              <w:t>The total number of schools selected was 42 UNWRA, 53 Government and 2 Private schools.</w:t>
            </w:r>
          </w:p>
        </w:tc>
        <w:tc>
          <w:tcPr>
            <w:tcW w:w="1843" w:type="dxa"/>
          </w:tcPr>
          <w:p w:rsidR="00CB3015" w:rsidRPr="00A27780" w:rsidRDefault="00D0442A" w:rsidP="00D0442A">
            <w:pPr>
              <w:pStyle w:val="NoSpacing"/>
              <w:cnfStyle w:val="000000100000"/>
              <w:rPr>
                <w:rFonts w:asciiTheme="majorBidi" w:hAnsiTheme="majorBidi" w:cstheme="majorBidi"/>
                <w:sz w:val="24"/>
                <w:szCs w:val="24"/>
              </w:rPr>
            </w:pPr>
            <w:r w:rsidRPr="00A27780">
              <w:rPr>
                <w:rFonts w:asciiTheme="majorBidi" w:hAnsiTheme="majorBidi" w:cstheme="majorBidi"/>
                <w:sz w:val="24"/>
                <w:szCs w:val="24"/>
              </w:rPr>
              <w:t>Teachers completed the Rutter scale B2</w:t>
            </w:r>
          </w:p>
        </w:tc>
        <w:tc>
          <w:tcPr>
            <w:tcW w:w="5670" w:type="dxa"/>
          </w:tcPr>
          <w:p w:rsidR="00CB3015" w:rsidRPr="00A27780" w:rsidRDefault="00A27780" w:rsidP="00C85B8F">
            <w:pPr>
              <w:pStyle w:val="NoSpacing"/>
              <w:cnfStyle w:val="000000100000"/>
              <w:rPr>
                <w:rFonts w:asciiTheme="majorBidi" w:hAnsiTheme="majorBidi" w:cstheme="majorBidi"/>
                <w:sz w:val="24"/>
                <w:szCs w:val="24"/>
              </w:rPr>
            </w:pPr>
            <w:r>
              <w:rPr>
                <w:rFonts w:asciiTheme="majorBidi" w:hAnsiTheme="majorBidi" w:cstheme="majorBidi"/>
                <w:sz w:val="24"/>
                <w:szCs w:val="24"/>
              </w:rPr>
              <w:t>T</w:t>
            </w:r>
            <w:r w:rsidR="00D0442A" w:rsidRPr="00A27780">
              <w:rPr>
                <w:rFonts w:asciiTheme="majorBidi" w:hAnsiTheme="majorBidi" w:cstheme="majorBidi"/>
                <w:sz w:val="24"/>
                <w:szCs w:val="24"/>
              </w:rPr>
              <w:t xml:space="preserve">he case incidence in boys </w:t>
            </w:r>
            <w:proofErr w:type="gramStart"/>
            <w:r w:rsidR="00D0442A" w:rsidRPr="00A27780">
              <w:rPr>
                <w:rFonts w:asciiTheme="majorBidi" w:hAnsiTheme="majorBidi" w:cstheme="majorBidi"/>
                <w:sz w:val="24"/>
                <w:szCs w:val="24"/>
              </w:rPr>
              <w:t>was  (</w:t>
            </w:r>
            <w:proofErr w:type="gramEnd"/>
            <w:r w:rsidR="00D0442A" w:rsidRPr="00A27780">
              <w:rPr>
                <w:rFonts w:asciiTheme="majorBidi" w:hAnsiTheme="majorBidi" w:cstheme="majorBidi"/>
                <w:sz w:val="24"/>
                <w:szCs w:val="24"/>
              </w:rPr>
              <w:t xml:space="preserve">54.5%), while in girls it was  (46.5%). </w:t>
            </w:r>
          </w:p>
        </w:tc>
      </w:tr>
      <w:tr w:rsidR="008620F5" w:rsidRPr="00A27780" w:rsidTr="008620F5">
        <w:trPr>
          <w:cnfStyle w:val="000000010000"/>
          <w:trHeight w:val="2954"/>
        </w:trPr>
        <w:tc>
          <w:tcPr>
            <w:cnfStyle w:val="001000000000"/>
            <w:tcW w:w="2068" w:type="dxa"/>
          </w:tcPr>
          <w:p w:rsidR="00C27926" w:rsidRPr="00C27926" w:rsidRDefault="00C27926" w:rsidP="00C27926">
            <w:pPr>
              <w:pStyle w:val="NoSpacing"/>
              <w:rPr>
                <w:u w:val="single"/>
              </w:rPr>
            </w:pPr>
            <w:r w:rsidRPr="00C27926">
              <w:rPr>
                <w:u w:val="single"/>
              </w:rPr>
              <w:t>Trauma, PTSD, Anxiety, and Resilience in Palestinian Children in the Gaza</w:t>
            </w:r>
          </w:p>
          <w:p w:rsidR="008620F5" w:rsidRPr="00C27926" w:rsidRDefault="00C27926" w:rsidP="00C27926">
            <w:pPr>
              <w:pStyle w:val="NoSpacing"/>
              <w:rPr>
                <w:u w:val="single"/>
              </w:rPr>
            </w:pPr>
            <w:r w:rsidRPr="00C27926">
              <w:rPr>
                <w:u w:val="single"/>
              </w:rPr>
              <w:t>Strip.</w:t>
            </w:r>
          </w:p>
          <w:p w:rsidR="00C27926" w:rsidRDefault="00C27926" w:rsidP="00C27926">
            <w:pPr>
              <w:pStyle w:val="NoSpacing"/>
            </w:pPr>
            <w:r w:rsidRPr="00C27926">
              <w:rPr>
                <w:u w:val="single"/>
              </w:rPr>
              <w:t>2014</w:t>
            </w:r>
          </w:p>
        </w:tc>
        <w:tc>
          <w:tcPr>
            <w:tcW w:w="2693" w:type="dxa"/>
          </w:tcPr>
          <w:p w:rsidR="008620F5" w:rsidRPr="006F6D46" w:rsidRDefault="00981F7B" w:rsidP="006F6D46">
            <w:pPr>
              <w:pStyle w:val="NoSpacing"/>
              <w:cnfStyle w:val="000000010000"/>
              <w:rPr>
                <w:rFonts w:asciiTheme="majorBidi" w:hAnsiTheme="majorBidi" w:cstheme="majorBidi"/>
                <w:sz w:val="24"/>
                <w:szCs w:val="24"/>
              </w:rPr>
            </w:pPr>
            <w:r w:rsidRPr="006F6D46">
              <w:rPr>
                <w:rFonts w:asciiTheme="majorBidi" w:hAnsiTheme="majorBidi" w:cstheme="majorBidi"/>
                <w:sz w:val="24"/>
                <w:szCs w:val="24"/>
              </w:rPr>
              <w:t> To investigate types of traumatic events due to war on Gaza experienced by Palestinian adolescents in relation to PTSD and anxiety and coping strategies as mediating factor</w:t>
            </w:r>
          </w:p>
        </w:tc>
        <w:tc>
          <w:tcPr>
            <w:tcW w:w="1417" w:type="dxa"/>
          </w:tcPr>
          <w:p w:rsidR="00827648" w:rsidRPr="006F6D46" w:rsidRDefault="00827648" w:rsidP="006F6D46">
            <w:pPr>
              <w:pStyle w:val="NoSpacing"/>
              <w:cnfStyle w:val="000000010000"/>
              <w:rPr>
                <w:rFonts w:asciiTheme="majorBidi" w:hAnsiTheme="majorBidi" w:cstheme="majorBidi"/>
                <w:sz w:val="24"/>
                <w:szCs w:val="24"/>
              </w:rPr>
            </w:pPr>
            <w:r w:rsidRPr="006F6D46">
              <w:rPr>
                <w:rFonts w:asciiTheme="majorBidi" w:hAnsiTheme="majorBidi" w:cstheme="majorBidi"/>
                <w:sz w:val="24"/>
                <w:szCs w:val="24"/>
              </w:rPr>
              <w:t>One hundred fifty eight were boys (44.1%) and 200 were girls (55.9%)</w:t>
            </w:r>
          </w:p>
        </w:tc>
        <w:tc>
          <w:tcPr>
            <w:tcW w:w="1843" w:type="dxa"/>
          </w:tcPr>
          <w:p w:rsidR="008620F5" w:rsidRPr="006F6D46" w:rsidRDefault="006F6D46" w:rsidP="006F6D46">
            <w:pPr>
              <w:pStyle w:val="NoSpacing"/>
              <w:cnfStyle w:val="000000010000"/>
              <w:rPr>
                <w:rFonts w:asciiTheme="majorBidi" w:hAnsiTheme="majorBidi" w:cstheme="majorBidi"/>
                <w:sz w:val="24"/>
                <w:szCs w:val="24"/>
              </w:rPr>
            </w:pPr>
            <w:r w:rsidRPr="006F6D46">
              <w:rPr>
                <w:rFonts w:asciiTheme="majorBidi" w:hAnsiTheme="majorBidi" w:cstheme="majorBidi"/>
                <w:sz w:val="24"/>
                <w:szCs w:val="24"/>
              </w:rPr>
              <w:t xml:space="preserve">The adolescents were interviewed by self -administrated questionnaire include sociodemographic scale, Gaza Traumatic Events Checklist, Spence Children's Anxiety Scale, Post Traumatic Stress Disorder </w:t>
            </w:r>
            <w:r w:rsidRPr="006F6D46">
              <w:rPr>
                <w:rFonts w:asciiTheme="majorBidi" w:hAnsiTheme="majorBidi" w:cstheme="majorBidi"/>
                <w:sz w:val="24"/>
                <w:szCs w:val="24"/>
              </w:rPr>
              <w:lastRenderedPageBreak/>
              <w:t>according to DSM-IV scale, and Adolescent-Coping Orientation for Problem experiences Scale.</w:t>
            </w:r>
          </w:p>
        </w:tc>
        <w:tc>
          <w:tcPr>
            <w:tcW w:w="5670" w:type="dxa"/>
          </w:tcPr>
          <w:p w:rsidR="007E047B" w:rsidRPr="007E047B" w:rsidRDefault="006F6D46" w:rsidP="007E047B">
            <w:pPr>
              <w:pStyle w:val="NoSpacing"/>
              <w:cnfStyle w:val="000000010000"/>
              <w:rPr>
                <w:rFonts w:asciiTheme="majorBidi" w:hAnsiTheme="majorBidi" w:cstheme="majorBidi"/>
                <w:sz w:val="24"/>
                <w:szCs w:val="24"/>
              </w:rPr>
            </w:pPr>
            <w:r w:rsidRPr="007E047B">
              <w:rPr>
                <w:rFonts w:asciiTheme="majorBidi" w:hAnsiTheme="majorBidi" w:cstheme="majorBidi"/>
                <w:sz w:val="24"/>
                <w:szCs w:val="24"/>
              </w:rPr>
              <w:lastRenderedPageBreak/>
              <w:t>The results showed the mean total anxiety was 41.18, obsessive compulsive subscale was 8.90, generalized anxiety subscale was 4.46, social phobia was 6.99, separation anxiety was 6.16, physical injury fears was 5.48, and panic/Agoraphobia was 5.4. </w:t>
            </w:r>
            <w:r w:rsidR="007E047B" w:rsidRPr="007E047B">
              <w:rPr>
                <w:rFonts w:asciiTheme="majorBidi" w:hAnsiTheme="majorBidi" w:cstheme="majorBidi"/>
                <w:sz w:val="24"/>
                <w:szCs w:val="24"/>
              </w:rPr>
              <w:t xml:space="preserve">Girls had more anxiety problems than boys including all anxiety subscales. </w:t>
            </w:r>
          </w:p>
          <w:p w:rsidR="007E047B" w:rsidRPr="007E047B" w:rsidRDefault="007E047B" w:rsidP="007E047B">
            <w:pPr>
              <w:pStyle w:val="NoSpacing"/>
              <w:cnfStyle w:val="000000010000"/>
              <w:rPr>
                <w:rFonts w:asciiTheme="majorBidi" w:hAnsiTheme="majorBidi" w:cstheme="majorBidi"/>
                <w:sz w:val="24"/>
                <w:szCs w:val="24"/>
              </w:rPr>
            </w:pPr>
          </w:p>
          <w:p w:rsidR="007E047B" w:rsidRPr="006F6D46" w:rsidRDefault="007E047B" w:rsidP="007E047B">
            <w:pPr>
              <w:pStyle w:val="NoSpacing"/>
              <w:cnfStyle w:val="000000010000"/>
            </w:pPr>
            <w:r w:rsidRPr="007E047B">
              <w:rPr>
                <w:rFonts w:asciiTheme="majorBidi" w:hAnsiTheme="majorBidi" w:cstheme="majorBidi"/>
                <w:sz w:val="24"/>
                <w:szCs w:val="24"/>
              </w:rPr>
              <w:t>Regard PTSD, the study showed that 11.8% of adolescents reported no PTSD, 24.2% reported less than two clusters of symptoms, and 34.31% reported symptoms meeting criteria for partial PTSD, while 29.8% reported symptoms meeting criteria for full PTSD according to DSM-IV-TR. The results showed that girls reported more PTSD than boys</w:t>
            </w:r>
          </w:p>
        </w:tc>
      </w:tr>
      <w:bookmarkEnd w:id="0"/>
    </w:tbl>
    <w:p w:rsidR="003719EA" w:rsidRDefault="003719EA"/>
    <w:sectPr w:rsidR="003719EA" w:rsidSect="003141B4">
      <w:headerReference w:type="even" r:id="rId6"/>
      <w:headerReference w:type="default" r:id="rId7"/>
      <w:footerReference w:type="even" r:id="rId8"/>
      <w:footerReference w:type="default" r:id="rId9"/>
      <w:headerReference w:type="first" r:id="rId10"/>
      <w:footerReference w:type="first" r:id="rId11"/>
      <w:pgSz w:w="15840" w:h="12240" w:orient="landscape"/>
      <w:pgMar w:top="1440" w:right="1440" w:bottom="1440" w:left="1440" w:header="720" w:footer="720" w:gutter="0"/>
      <w:pgBorders w:offsetFrom="page">
        <w:top w:val="thinThickSmallGap" w:sz="18" w:space="24" w:color="auto"/>
        <w:left w:val="thinThickSmallGap" w:sz="18" w:space="24" w:color="auto"/>
        <w:bottom w:val="thickThinSmallGap" w:sz="18" w:space="24" w:color="auto"/>
        <w:right w:val="thickThinSmallGap" w:sz="18"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1E3" w:rsidRDefault="005F31E3" w:rsidP="00F50A03">
      <w:pPr>
        <w:spacing w:after="0" w:line="240" w:lineRule="auto"/>
      </w:pPr>
      <w:r>
        <w:separator/>
      </w:r>
    </w:p>
  </w:endnote>
  <w:endnote w:type="continuationSeparator" w:id="0">
    <w:p w:rsidR="005F31E3" w:rsidRDefault="005F31E3" w:rsidP="00F50A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Default="00F50A0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Default="00F50A0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Default="00F50A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1E3" w:rsidRDefault="005F31E3" w:rsidP="00F50A03">
      <w:pPr>
        <w:spacing w:after="0" w:line="240" w:lineRule="auto"/>
      </w:pPr>
      <w:r>
        <w:separator/>
      </w:r>
    </w:p>
  </w:footnote>
  <w:footnote w:type="continuationSeparator" w:id="0">
    <w:p w:rsidR="005F31E3" w:rsidRDefault="005F31E3" w:rsidP="00F50A0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Default="00F50A0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Pr="00F50A03" w:rsidRDefault="00F50A03">
    <w:pPr>
      <w:pStyle w:val="Header"/>
      <w:rPr>
        <w:rFonts w:asciiTheme="majorBidi" w:hAnsiTheme="majorBidi" w:cstheme="majorBidi"/>
        <w:sz w:val="32"/>
        <w:szCs w:val="32"/>
        <w:u w:val="single"/>
        <w:lang w:val="en-GB"/>
      </w:rPr>
    </w:pPr>
    <w:r w:rsidRPr="00F50A03">
      <w:rPr>
        <w:rFonts w:asciiTheme="majorBidi" w:hAnsiTheme="majorBidi" w:cstheme="majorBidi"/>
        <w:sz w:val="32"/>
        <w:szCs w:val="32"/>
        <w:u w:val="single"/>
        <w:lang w:val="en-GB"/>
      </w:rPr>
      <w:t xml:space="preserve">Appendix </w:t>
    </w:r>
    <w:r>
      <w:rPr>
        <w:rFonts w:asciiTheme="majorBidi" w:hAnsiTheme="majorBidi" w:cstheme="majorBidi"/>
        <w:sz w:val="32"/>
        <w:szCs w:val="32"/>
        <w:u w:val="single"/>
        <w:lang w:val="en-GB"/>
      </w:rPr>
      <w:t xml:space="preserve">c: </w:t>
    </w:r>
    <w:r w:rsidRPr="0018005B">
      <w:rPr>
        <w:rFonts w:asciiTheme="majorBidi" w:hAnsiTheme="majorBidi" w:cstheme="majorBidi"/>
        <w:sz w:val="24"/>
        <w:szCs w:val="24"/>
      </w:rPr>
      <w:t>characteristics of the included studies</w:t>
    </w:r>
    <w:r>
      <w:rPr>
        <w:rFonts w:asciiTheme="majorBidi" w:hAnsiTheme="majorBidi" w:cstheme="majorBidi"/>
        <w:sz w:val="24"/>
        <w:szCs w:val="24"/>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A03" w:rsidRDefault="00F50A0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footnotePr>
    <w:footnote w:id="-1"/>
    <w:footnote w:id="0"/>
  </w:footnotePr>
  <w:endnotePr>
    <w:endnote w:id="-1"/>
    <w:endnote w:id="0"/>
  </w:endnotePr>
  <w:compat/>
  <w:rsids>
    <w:rsidRoot w:val="00DB74C3"/>
    <w:rsid w:val="00011350"/>
    <w:rsid w:val="00011F20"/>
    <w:rsid w:val="000353F3"/>
    <w:rsid w:val="00056560"/>
    <w:rsid w:val="00072FC4"/>
    <w:rsid w:val="00103A30"/>
    <w:rsid w:val="00104510"/>
    <w:rsid w:val="001117B0"/>
    <w:rsid w:val="001118AE"/>
    <w:rsid w:val="00126A8F"/>
    <w:rsid w:val="0014635A"/>
    <w:rsid w:val="00167EC9"/>
    <w:rsid w:val="001713D0"/>
    <w:rsid w:val="001B218B"/>
    <w:rsid w:val="001D1C55"/>
    <w:rsid w:val="001D6561"/>
    <w:rsid w:val="001E142C"/>
    <w:rsid w:val="001F7BB0"/>
    <w:rsid w:val="002119C9"/>
    <w:rsid w:val="00243844"/>
    <w:rsid w:val="0024461A"/>
    <w:rsid w:val="00267B46"/>
    <w:rsid w:val="00294BC9"/>
    <w:rsid w:val="002C293A"/>
    <w:rsid w:val="002D698A"/>
    <w:rsid w:val="003141B4"/>
    <w:rsid w:val="00322805"/>
    <w:rsid w:val="00332850"/>
    <w:rsid w:val="0034463C"/>
    <w:rsid w:val="00347316"/>
    <w:rsid w:val="003719EA"/>
    <w:rsid w:val="003A132E"/>
    <w:rsid w:val="003A39C5"/>
    <w:rsid w:val="003B1871"/>
    <w:rsid w:val="003D4F65"/>
    <w:rsid w:val="003D7369"/>
    <w:rsid w:val="0041504A"/>
    <w:rsid w:val="004765E4"/>
    <w:rsid w:val="00485EF9"/>
    <w:rsid w:val="00487F27"/>
    <w:rsid w:val="0049144B"/>
    <w:rsid w:val="00494FB3"/>
    <w:rsid w:val="004A1B63"/>
    <w:rsid w:val="004A2A59"/>
    <w:rsid w:val="004B0CD5"/>
    <w:rsid w:val="004D6BFE"/>
    <w:rsid w:val="004E0FEB"/>
    <w:rsid w:val="004E3127"/>
    <w:rsid w:val="00515F61"/>
    <w:rsid w:val="00525B1F"/>
    <w:rsid w:val="00541C67"/>
    <w:rsid w:val="005B7506"/>
    <w:rsid w:val="005C4413"/>
    <w:rsid w:val="005F31E3"/>
    <w:rsid w:val="005F3A56"/>
    <w:rsid w:val="00605D7F"/>
    <w:rsid w:val="00615DB9"/>
    <w:rsid w:val="0062247C"/>
    <w:rsid w:val="00627808"/>
    <w:rsid w:val="00630052"/>
    <w:rsid w:val="006737CF"/>
    <w:rsid w:val="00691F04"/>
    <w:rsid w:val="006B684A"/>
    <w:rsid w:val="006C77FE"/>
    <w:rsid w:val="006D3DEC"/>
    <w:rsid w:val="006F2933"/>
    <w:rsid w:val="006F6D46"/>
    <w:rsid w:val="00707F6B"/>
    <w:rsid w:val="0071132E"/>
    <w:rsid w:val="00741193"/>
    <w:rsid w:val="007523A7"/>
    <w:rsid w:val="00757BBB"/>
    <w:rsid w:val="0077495E"/>
    <w:rsid w:val="007A0429"/>
    <w:rsid w:val="007E047B"/>
    <w:rsid w:val="008037E6"/>
    <w:rsid w:val="00827648"/>
    <w:rsid w:val="008542B5"/>
    <w:rsid w:val="008620F5"/>
    <w:rsid w:val="00866804"/>
    <w:rsid w:val="00886D14"/>
    <w:rsid w:val="008952B6"/>
    <w:rsid w:val="00896A95"/>
    <w:rsid w:val="008B153D"/>
    <w:rsid w:val="009012C9"/>
    <w:rsid w:val="00915B58"/>
    <w:rsid w:val="009173D0"/>
    <w:rsid w:val="009253D7"/>
    <w:rsid w:val="00933562"/>
    <w:rsid w:val="00951E83"/>
    <w:rsid w:val="00981F7B"/>
    <w:rsid w:val="00984976"/>
    <w:rsid w:val="0099523C"/>
    <w:rsid w:val="009F6C90"/>
    <w:rsid w:val="00A05CEF"/>
    <w:rsid w:val="00A1730E"/>
    <w:rsid w:val="00A27780"/>
    <w:rsid w:val="00A37500"/>
    <w:rsid w:val="00A47929"/>
    <w:rsid w:val="00AB36C7"/>
    <w:rsid w:val="00AD2842"/>
    <w:rsid w:val="00B06875"/>
    <w:rsid w:val="00B301AA"/>
    <w:rsid w:val="00B73CD8"/>
    <w:rsid w:val="00B7691A"/>
    <w:rsid w:val="00B84EE3"/>
    <w:rsid w:val="00BC543D"/>
    <w:rsid w:val="00BD012C"/>
    <w:rsid w:val="00BD6AD5"/>
    <w:rsid w:val="00C102C6"/>
    <w:rsid w:val="00C1118B"/>
    <w:rsid w:val="00C1470F"/>
    <w:rsid w:val="00C27926"/>
    <w:rsid w:val="00C778EA"/>
    <w:rsid w:val="00C81BFB"/>
    <w:rsid w:val="00C82ECD"/>
    <w:rsid w:val="00C85B8F"/>
    <w:rsid w:val="00C94329"/>
    <w:rsid w:val="00C960BF"/>
    <w:rsid w:val="00CA04A5"/>
    <w:rsid w:val="00CB3015"/>
    <w:rsid w:val="00CE1BBF"/>
    <w:rsid w:val="00CE770A"/>
    <w:rsid w:val="00D0442A"/>
    <w:rsid w:val="00D60479"/>
    <w:rsid w:val="00D73B90"/>
    <w:rsid w:val="00D76730"/>
    <w:rsid w:val="00D829F3"/>
    <w:rsid w:val="00DB6B3B"/>
    <w:rsid w:val="00DB74C3"/>
    <w:rsid w:val="00E033FC"/>
    <w:rsid w:val="00E3153C"/>
    <w:rsid w:val="00E46920"/>
    <w:rsid w:val="00E674EB"/>
    <w:rsid w:val="00E92577"/>
    <w:rsid w:val="00EA027A"/>
    <w:rsid w:val="00EB107B"/>
    <w:rsid w:val="00EB6C61"/>
    <w:rsid w:val="00F343EA"/>
    <w:rsid w:val="00F50A03"/>
    <w:rsid w:val="00F62438"/>
    <w:rsid w:val="00F63C42"/>
    <w:rsid w:val="00F72346"/>
    <w:rsid w:val="00F82377"/>
    <w:rsid w:val="00F8791F"/>
    <w:rsid w:val="00F94462"/>
    <w:rsid w:val="00FC457F"/>
    <w:rsid w:val="00FC4E4B"/>
    <w:rsid w:val="00FF21AC"/>
    <w:rsid w:val="00FF38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B90"/>
  </w:style>
  <w:style w:type="paragraph" w:styleId="Heading1">
    <w:name w:val="heading 1"/>
    <w:basedOn w:val="Normal"/>
    <w:link w:val="Heading1Char"/>
    <w:uiPriority w:val="9"/>
    <w:qFormat/>
    <w:rsid w:val="000565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1132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74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DB74C3"/>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DB74C3"/>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4">
    <w:name w:val="Light Shading Accent 4"/>
    <w:basedOn w:val="TableNormal"/>
    <w:uiPriority w:val="60"/>
    <w:rsid w:val="00DB74C3"/>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
    <w:name w:val="Light Grid"/>
    <w:basedOn w:val="TableNormal"/>
    <w:uiPriority w:val="62"/>
    <w:rsid w:val="00DB74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1Char">
    <w:name w:val="Heading 1 Char"/>
    <w:basedOn w:val="DefaultParagraphFont"/>
    <w:link w:val="Heading1"/>
    <w:uiPriority w:val="9"/>
    <w:rsid w:val="00056560"/>
    <w:rPr>
      <w:rFonts w:ascii="Times New Roman" w:eastAsia="Times New Roman" w:hAnsi="Times New Roman" w:cs="Times New Roman"/>
      <w:b/>
      <w:bCs/>
      <w:kern w:val="36"/>
      <w:sz w:val="48"/>
      <w:szCs w:val="48"/>
    </w:rPr>
  </w:style>
  <w:style w:type="paragraph" w:styleId="NoSpacing">
    <w:name w:val="No Spacing"/>
    <w:uiPriority w:val="1"/>
    <w:qFormat/>
    <w:rsid w:val="00056560"/>
    <w:pPr>
      <w:spacing w:after="0" w:line="240" w:lineRule="auto"/>
    </w:pPr>
  </w:style>
  <w:style w:type="character" w:customStyle="1" w:styleId="Heading2Char">
    <w:name w:val="Heading 2 Char"/>
    <w:basedOn w:val="DefaultParagraphFont"/>
    <w:link w:val="Heading2"/>
    <w:uiPriority w:val="9"/>
    <w:semiHidden/>
    <w:rsid w:val="0071132E"/>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332850"/>
    <w:rPr>
      <w:b/>
      <w:bCs/>
    </w:rPr>
  </w:style>
  <w:style w:type="character" w:customStyle="1" w:styleId="l8">
    <w:name w:val="l8"/>
    <w:basedOn w:val="DefaultParagraphFont"/>
    <w:rsid w:val="0099523C"/>
  </w:style>
  <w:style w:type="character" w:customStyle="1" w:styleId="l6">
    <w:name w:val="l6"/>
    <w:basedOn w:val="DefaultParagraphFont"/>
    <w:rsid w:val="0099523C"/>
  </w:style>
  <w:style w:type="character" w:customStyle="1" w:styleId="l7">
    <w:name w:val="l7"/>
    <w:basedOn w:val="DefaultParagraphFont"/>
    <w:rsid w:val="0099523C"/>
  </w:style>
  <w:style w:type="character" w:customStyle="1" w:styleId="l9">
    <w:name w:val="l9"/>
    <w:basedOn w:val="DefaultParagraphFont"/>
    <w:rsid w:val="0099523C"/>
  </w:style>
  <w:style w:type="character" w:customStyle="1" w:styleId="a">
    <w:name w:val="a"/>
    <w:basedOn w:val="DefaultParagraphFont"/>
    <w:rsid w:val="00B06875"/>
  </w:style>
  <w:style w:type="paragraph" w:styleId="Header">
    <w:name w:val="header"/>
    <w:basedOn w:val="Normal"/>
    <w:link w:val="HeaderChar"/>
    <w:uiPriority w:val="99"/>
    <w:semiHidden/>
    <w:unhideWhenUsed/>
    <w:rsid w:val="00F50A0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50A03"/>
  </w:style>
  <w:style w:type="paragraph" w:styleId="Footer">
    <w:name w:val="footer"/>
    <w:basedOn w:val="Normal"/>
    <w:link w:val="FooterChar"/>
    <w:uiPriority w:val="99"/>
    <w:semiHidden/>
    <w:unhideWhenUsed/>
    <w:rsid w:val="00F50A0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50A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65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1132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7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DB74C3"/>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DB74C3"/>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4">
    <w:name w:val="Light Shading Accent 4"/>
    <w:basedOn w:val="TableNormal"/>
    <w:uiPriority w:val="60"/>
    <w:rsid w:val="00DB74C3"/>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
    <w:name w:val="Light Grid"/>
    <w:basedOn w:val="TableNormal"/>
    <w:uiPriority w:val="62"/>
    <w:rsid w:val="00DB74C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1Char">
    <w:name w:val="Heading 1 Char"/>
    <w:basedOn w:val="DefaultParagraphFont"/>
    <w:link w:val="Heading1"/>
    <w:uiPriority w:val="9"/>
    <w:rsid w:val="00056560"/>
    <w:rPr>
      <w:rFonts w:ascii="Times New Roman" w:eastAsia="Times New Roman" w:hAnsi="Times New Roman" w:cs="Times New Roman"/>
      <w:b/>
      <w:bCs/>
      <w:kern w:val="36"/>
      <w:sz w:val="48"/>
      <w:szCs w:val="48"/>
    </w:rPr>
  </w:style>
  <w:style w:type="paragraph" w:styleId="NoSpacing">
    <w:name w:val="No Spacing"/>
    <w:uiPriority w:val="1"/>
    <w:qFormat/>
    <w:rsid w:val="00056560"/>
    <w:pPr>
      <w:spacing w:after="0" w:line="240" w:lineRule="auto"/>
    </w:pPr>
  </w:style>
  <w:style w:type="character" w:customStyle="1" w:styleId="Heading2Char">
    <w:name w:val="Heading 2 Char"/>
    <w:basedOn w:val="DefaultParagraphFont"/>
    <w:link w:val="Heading2"/>
    <w:uiPriority w:val="9"/>
    <w:semiHidden/>
    <w:rsid w:val="0071132E"/>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332850"/>
    <w:rPr>
      <w:b/>
      <w:bCs/>
    </w:rPr>
  </w:style>
  <w:style w:type="character" w:customStyle="1" w:styleId="l8">
    <w:name w:val="l8"/>
    <w:basedOn w:val="DefaultParagraphFont"/>
    <w:rsid w:val="0099523C"/>
  </w:style>
  <w:style w:type="character" w:customStyle="1" w:styleId="l6">
    <w:name w:val="l6"/>
    <w:basedOn w:val="DefaultParagraphFont"/>
    <w:rsid w:val="0099523C"/>
  </w:style>
  <w:style w:type="character" w:customStyle="1" w:styleId="l7">
    <w:name w:val="l7"/>
    <w:basedOn w:val="DefaultParagraphFont"/>
    <w:rsid w:val="0099523C"/>
  </w:style>
  <w:style w:type="character" w:customStyle="1" w:styleId="l9">
    <w:name w:val="l9"/>
    <w:basedOn w:val="DefaultParagraphFont"/>
    <w:rsid w:val="0099523C"/>
  </w:style>
  <w:style w:type="character" w:customStyle="1" w:styleId="a">
    <w:name w:val="a"/>
    <w:basedOn w:val="DefaultParagraphFont"/>
    <w:rsid w:val="00B06875"/>
  </w:style>
</w:styles>
</file>

<file path=word/webSettings.xml><?xml version="1.0" encoding="utf-8"?>
<w:webSettings xmlns:r="http://schemas.openxmlformats.org/officeDocument/2006/relationships" xmlns:w="http://schemas.openxmlformats.org/wordprocessingml/2006/main">
  <w:divs>
    <w:div w:id="201673202">
      <w:bodyDiv w:val="1"/>
      <w:marLeft w:val="0"/>
      <w:marRight w:val="0"/>
      <w:marTop w:val="0"/>
      <w:marBottom w:val="0"/>
      <w:divBdr>
        <w:top w:val="none" w:sz="0" w:space="0" w:color="auto"/>
        <w:left w:val="none" w:sz="0" w:space="0" w:color="auto"/>
        <w:bottom w:val="none" w:sz="0" w:space="0" w:color="auto"/>
        <w:right w:val="none" w:sz="0" w:space="0" w:color="auto"/>
      </w:divBdr>
    </w:div>
    <w:div w:id="285936324">
      <w:bodyDiv w:val="1"/>
      <w:marLeft w:val="0"/>
      <w:marRight w:val="0"/>
      <w:marTop w:val="0"/>
      <w:marBottom w:val="0"/>
      <w:divBdr>
        <w:top w:val="none" w:sz="0" w:space="0" w:color="auto"/>
        <w:left w:val="none" w:sz="0" w:space="0" w:color="auto"/>
        <w:bottom w:val="none" w:sz="0" w:space="0" w:color="auto"/>
        <w:right w:val="none" w:sz="0" w:space="0" w:color="auto"/>
      </w:divBdr>
    </w:div>
    <w:div w:id="443616359">
      <w:bodyDiv w:val="1"/>
      <w:marLeft w:val="0"/>
      <w:marRight w:val="0"/>
      <w:marTop w:val="0"/>
      <w:marBottom w:val="0"/>
      <w:divBdr>
        <w:top w:val="none" w:sz="0" w:space="0" w:color="auto"/>
        <w:left w:val="none" w:sz="0" w:space="0" w:color="auto"/>
        <w:bottom w:val="none" w:sz="0" w:space="0" w:color="auto"/>
        <w:right w:val="none" w:sz="0" w:space="0" w:color="auto"/>
      </w:divBdr>
    </w:div>
    <w:div w:id="456681889">
      <w:bodyDiv w:val="1"/>
      <w:marLeft w:val="0"/>
      <w:marRight w:val="0"/>
      <w:marTop w:val="0"/>
      <w:marBottom w:val="0"/>
      <w:divBdr>
        <w:top w:val="none" w:sz="0" w:space="0" w:color="auto"/>
        <w:left w:val="none" w:sz="0" w:space="0" w:color="auto"/>
        <w:bottom w:val="none" w:sz="0" w:space="0" w:color="auto"/>
        <w:right w:val="none" w:sz="0" w:space="0" w:color="auto"/>
      </w:divBdr>
    </w:div>
    <w:div w:id="562762489">
      <w:bodyDiv w:val="1"/>
      <w:marLeft w:val="0"/>
      <w:marRight w:val="0"/>
      <w:marTop w:val="0"/>
      <w:marBottom w:val="0"/>
      <w:divBdr>
        <w:top w:val="none" w:sz="0" w:space="0" w:color="auto"/>
        <w:left w:val="none" w:sz="0" w:space="0" w:color="auto"/>
        <w:bottom w:val="none" w:sz="0" w:space="0" w:color="auto"/>
        <w:right w:val="none" w:sz="0" w:space="0" w:color="auto"/>
      </w:divBdr>
    </w:div>
    <w:div w:id="656036017">
      <w:bodyDiv w:val="1"/>
      <w:marLeft w:val="0"/>
      <w:marRight w:val="0"/>
      <w:marTop w:val="0"/>
      <w:marBottom w:val="0"/>
      <w:divBdr>
        <w:top w:val="none" w:sz="0" w:space="0" w:color="auto"/>
        <w:left w:val="none" w:sz="0" w:space="0" w:color="auto"/>
        <w:bottom w:val="none" w:sz="0" w:space="0" w:color="auto"/>
        <w:right w:val="none" w:sz="0" w:space="0" w:color="auto"/>
      </w:divBdr>
    </w:div>
    <w:div w:id="788814758">
      <w:bodyDiv w:val="1"/>
      <w:marLeft w:val="0"/>
      <w:marRight w:val="0"/>
      <w:marTop w:val="0"/>
      <w:marBottom w:val="0"/>
      <w:divBdr>
        <w:top w:val="none" w:sz="0" w:space="0" w:color="auto"/>
        <w:left w:val="none" w:sz="0" w:space="0" w:color="auto"/>
        <w:bottom w:val="none" w:sz="0" w:space="0" w:color="auto"/>
        <w:right w:val="none" w:sz="0" w:space="0" w:color="auto"/>
      </w:divBdr>
    </w:div>
    <w:div w:id="860439347">
      <w:bodyDiv w:val="1"/>
      <w:marLeft w:val="0"/>
      <w:marRight w:val="0"/>
      <w:marTop w:val="0"/>
      <w:marBottom w:val="0"/>
      <w:divBdr>
        <w:top w:val="none" w:sz="0" w:space="0" w:color="auto"/>
        <w:left w:val="none" w:sz="0" w:space="0" w:color="auto"/>
        <w:bottom w:val="none" w:sz="0" w:space="0" w:color="auto"/>
        <w:right w:val="none" w:sz="0" w:space="0" w:color="auto"/>
      </w:divBdr>
    </w:div>
    <w:div w:id="1059598210">
      <w:bodyDiv w:val="1"/>
      <w:marLeft w:val="0"/>
      <w:marRight w:val="0"/>
      <w:marTop w:val="0"/>
      <w:marBottom w:val="0"/>
      <w:divBdr>
        <w:top w:val="none" w:sz="0" w:space="0" w:color="auto"/>
        <w:left w:val="none" w:sz="0" w:space="0" w:color="auto"/>
        <w:bottom w:val="none" w:sz="0" w:space="0" w:color="auto"/>
        <w:right w:val="none" w:sz="0" w:space="0" w:color="auto"/>
      </w:divBdr>
    </w:div>
    <w:div w:id="1261065578">
      <w:bodyDiv w:val="1"/>
      <w:marLeft w:val="0"/>
      <w:marRight w:val="0"/>
      <w:marTop w:val="0"/>
      <w:marBottom w:val="0"/>
      <w:divBdr>
        <w:top w:val="none" w:sz="0" w:space="0" w:color="auto"/>
        <w:left w:val="none" w:sz="0" w:space="0" w:color="auto"/>
        <w:bottom w:val="none" w:sz="0" w:space="0" w:color="auto"/>
        <w:right w:val="none" w:sz="0" w:space="0" w:color="auto"/>
      </w:divBdr>
    </w:div>
    <w:div w:id="1281574415">
      <w:bodyDiv w:val="1"/>
      <w:marLeft w:val="0"/>
      <w:marRight w:val="0"/>
      <w:marTop w:val="0"/>
      <w:marBottom w:val="0"/>
      <w:divBdr>
        <w:top w:val="none" w:sz="0" w:space="0" w:color="auto"/>
        <w:left w:val="none" w:sz="0" w:space="0" w:color="auto"/>
        <w:bottom w:val="none" w:sz="0" w:space="0" w:color="auto"/>
        <w:right w:val="none" w:sz="0" w:space="0" w:color="auto"/>
      </w:divBdr>
    </w:div>
    <w:div w:id="1397319610">
      <w:bodyDiv w:val="1"/>
      <w:marLeft w:val="0"/>
      <w:marRight w:val="0"/>
      <w:marTop w:val="0"/>
      <w:marBottom w:val="0"/>
      <w:divBdr>
        <w:top w:val="none" w:sz="0" w:space="0" w:color="auto"/>
        <w:left w:val="none" w:sz="0" w:space="0" w:color="auto"/>
        <w:bottom w:val="none" w:sz="0" w:space="0" w:color="auto"/>
        <w:right w:val="none" w:sz="0" w:space="0" w:color="auto"/>
      </w:divBdr>
    </w:div>
    <w:div w:id="1429810045">
      <w:bodyDiv w:val="1"/>
      <w:marLeft w:val="0"/>
      <w:marRight w:val="0"/>
      <w:marTop w:val="0"/>
      <w:marBottom w:val="0"/>
      <w:divBdr>
        <w:top w:val="none" w:sz="0" w:space="0" w:color="auto"/>
        <w:left w:val="none" w:sz="0" w:space="0" w:color="auto"/>
        <w:bottom w:val="none" w:sz="0" w:space="0" w:color="auto"/>
        <w:right w:val="none" w:sz="0" w:space="0" w:color="auto"/>
      </w:divBdr>
    </w:div>
    <w:div w:id="1445224024">
      <w:bodyDiv w:val="1"/>
      <w:marLeft w:val="0"/>
      <w:marRight w:val="0"/>
      <w:marTop w:val="0"/>
      <w:marBottom w:val="0"/>
      <w:divBdr>
        <w:top w:val="none" w:sz="0" w:space="0" w:color="auto"/>
        <w:left w:val="none" w:sz="0" w:space="0" w:color="auto"/>
        <w:bottom w:val="none" w:sz="0" w:space="0" w:color="auto"/>
        <w:right w:val="none" w:sz="0" w:space="0" w:color="auto"/>
      </w:divBdr>
    </w:div>
    <w:div w:id="1568300489">
      <w:bodyDiv w:val="1"/>
      <w:marLeft w:val="0"/>
      <w:marRight w:val="0"/>
      <w:marTop w:val="0"/>
      <w:marBottom w:val="0"/>
      <w:divBdr>
        <w:top w:val="none" w:sz="0" w:space="0" w:color="auto"/>
        <w:left w:val="none" w:sz="0" w:space="0" w:color="auto"/>
        <w:bottom w:val="none" w:sz="0" w:space="0" w:color="auto"/>
        <w:right w:val="none" w:sz="0" w:space="0" w:color="auto"/>
      </w:divBdr>
    </w:div>
    <w:div w:id="1626767337">
      <w:bodyDiv w:val="1"/>
      <w:marLeft w:val="0"/>
      <w:marRight w:val="0"/>
      <w:marTop w:val="0"/>
      <w:marBottom w:val="0"/>
      <w:divBdr>
        <w:top w:val="none" w:sz="0" w:space="0" w:color="auto"/>
        <w:left w:val="none" w:sz="0" w:space="0" w:color="auto"/>
        <w:bottom w:val="none" w:sz="0" w:space="0" w:color="auto"/>
        <w:right w:val="none" w:sz="0" w:space="0" w:color="auto"/>
      </w:divBdr>
    </w:div>
    <w:div w:id="1938248021">
      <w:bodyDiv w:val="1"/>
      <w:marLeft w:val="0"/>
      <w:marRight w:val="0"/>
      <w:marTop w:val="0"/>
      <w:marBottom w:val="0"/>
      <w:divBdr>
        <w:top w:val="none" w:sz="0" w:space="0" w:color="auto"/>
        <w:left w:val="none" w:sz="0" w:space="0" w:color="auto"/>
        <w:bottom w:val="none" w:sz="0" w:space="0" w:color="auto"/>
        <w:right w:val="none" w:sz="0" w:space="0" w:color="auto"/>
      </w:divBdr>
      <w:divsChild>
        <w:div w:id="2106805722">
          <w:marLeft w:val="0"/>
          <w:marRight w:val="0"/>
          <w:marTop w:val="0"/>
          <w:marBottom w:val="0"/>
          <w:divBdr>
            <w:top w:val="none" w:sz="0" w:space="0" w:color="auto"/>
            <w:left w:val="none" w:sz="0" w:space="0" w:color="auto"/>
            <w:bottom w:val="none" w:sz="0" w:space="0" w:color="auto"/>
            <w:right w:val="none" w:sz="0" w:space="0" w:color="auto"/>
          </w:divBdr>
        </w:div>
        <w:div w:id="1260333545">
          <w:marLeft w:val="0"/>
          <w:marRight w:val="0"/>
          <w:marTop w:val="0"/>
          <w:marBottom w:val="0"/>
          <w:divBdr>
            <w:top w:val="none" w:sz="0" w:space="0" w:color="auto"/>
            <w:left w:val="none" w:sz="0" w:space="0" w:color="auto"/>
            <w:bottom w:val="none" w:sz="0" w:space="0" w:color="auto"/>
            <w:right w:val="none" w:sz="0" w:space="0" w:color="auto"/>
          </w:divBdr>
        </w:div>
        <w:div w:id="1578049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2003</Words>
  <Characters>11423</Characters>
  <Application>Microsoft Office Word</Application>
  <DocSecurity>0</DocSecurity>
  <Lines>95</Lines>
  <Paragraphs>26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IBDA3GATE.COM</Company>
  <LinksUpToDate>false</LinksUpToDate>
  <CharactersWithSpaces>13400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Profrssional</dc:creator>
  <cp:lastModifiedBy>lenovo g580</cp:lastModifiedBy>
  <cp:revision>2</cp:revision>
  <dcterms:created xsi:type="dcterms:W3CDTF">2020-08-23T11:15:00Z</dcterms:created>
  <dcterms:modified xsi:type="dcterms:W3CDTF">2020-08-23T11:15:00Z</dcterms:modified>
</cp:coreProperties>
</file>