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CAB83" w14:textId="77777777" w:rsidR="00F91E20" w:rsidRDefault="00723A26">
      <w:pPr>
        <w:pStyle w:val="Title"/>
      </w:pPr>
      <w:bookmarkStart w:id="0" w:name="_rs900t4v3yta" w:colFirst="0" w:colLast="0"/>
      <w:bookmarkStart w:id="1" w:name="_GoBack"/>
      <w:bookmarkEnd w:id="0"/>
      <w:bookmarkEnd w:id="1"/>
      <w:r>
        <w:t>High-fidelity 3D live-cell nanoscopy through data-driven enhanced super-resolution radial fluctuation</w:t>
      </w:r>
    </w:p>
    <w:p w14:paraId="208C9D34" w14:textId="77777777" w:rsidR="00F91E20" w:rsidRDefault="00F91E20">
      <w:pPr>
        <w:pStyle w:val="Title"/>
      </w:pPr>
      <w:bookmarkStart w:id="2" w:name="_ciy5hd21o7mg" w:colFirst="0" w:colLast="0"/>
      <w:bookmarkEnd w:id="2"/>
    </w:p>
    <w:p w14:paraId="4D779AD9" w14:textId="77777777" w:rsidR="00F91E20" w:rsidRDefault="00723A26">
      <w:pPr>
        <w:pStyle w:val="Title"/>
      </w:pPr>
      <w:bookmarkStart w:id="3" w:name="_mu51lyssaaxy" w:colFirst="0" w:colLast="0"/>
      <w:bookmarkEnd w:id="3"/>
      <w:r>
        <w:t>Supplementary information</w:t>
      </w:r>
    </w:p>
    <w:p w14:paraId="007C5133" w14:textId="77777777" w:rsidR="00F91E20" w:rsidRDefault="00F91E20"/>
    <w:p w14:paraId="3C43C740" w14:textId="77777777" w:rsidR="00F91E20" w:rsidRDefault="00723A26">
      <w:r>
        <w:t>Romain F. Laine</w:t>
      </w:r>
      <w:r>
        <w:rPr>
          <w:vertAlign w:val="superscript"/>
        </w:rPr>
        <w:t>1-3,+</w:t>
      </w:r>
      <w:r>
        <w:t>, Hannah S. Heil</w:t>
      </w:r>
      <w:r>
        <w:rPr>
          <w:vertAlign w:val="superscript"/>
        </w:rPr>
        <w:t>4,+</w:t>
      </w:r>
      <w:r>
        <w:t>, Simao Coelho</w:t>
      </w:r>
      <w:r>
        <w:rPr>
          <w:vertAlign w:val="superscript"/>
        </w:rPr>
        <w:t>4</w:t>
      </w:r>
      <w:r>
        <w:t>, Jonathon Nixon-Abell</w:t>
      </w:r>
      <w:r>
        <w:rPr>
          <w:vertAlign w:val="superscript"/>
        </w:rPr>
        <w:t>5,6</w:t>
      </w:r>
      <w:r>
        <w:t>, Angélique Jimenez</w:t>
      </w:r>
      <w:r>
        <w:rPr>
          <w:vertAlign w:val="superscript"/>
        </w:rPr>
        <w:t>7</w:t>
      </w:r>
      <w:r>
        <w:t>, Tommaso Galgani</w:t>
      </w:r>
      <w:r>
        <w:rPr>
          <w:vertAlign w:val="superscript"/>
        </w:rPr>
        <w:t>8</w:t>
      </w:r>
      <w:r>
        <w:t>, Aki Stubb</w:t>
      </w:r>
      <w:r>
        <w:rPr>
          <w:vertAlign w:val="superscript"/>
        </w:rPr>
        <w:t>9,10</w:t>
      </w:r>
      <w:r>
        <w:t>, Gautier Follain</w:t>
      </w:r>
      <w:r>
        <w:rPr>
          <w:vertAlign w:val="superscript"/>
        </w:rPr>
        <w:t>9,11</w:t>
      </w:r>
      <w:r>
        <w:t>, Siân Culley</w:t>
      </w:r>
      <w:r>
        <w:rPr>
          <w:vertAlign w:val="superscript"/>
        </w:rPr>
        <w:t>1,12</w:t>
      </w:r>
      <w:r>
        <w:t>, Guillaume Jacquemet</w:t>
      </w:r>
      <w:r>
        <w:rPr>
          <w:vertAlign w:val="superscript"/>
        </w:rPr>
        <w:t>9,11,13</w:t>
      </w:r>
      <w:r>
        <w:t>, Bassam Hajj</w:t>
      </w:r>
      <w:r>
        <w:rPr>
          <w:vertAlign w:val="superscript"/>
        </w:rPr>
        <w:t xml:space="preserve">8, </w:t>
      </w:r>
      <w:r>
        <w:t>*, Christophe Leterrier</w:t>
      </w:r>
      <w:r>
        <w:rPr>
          <w:vertAlign w:val="superscript"/>
        </w:rPr>
        <w:t xml:space="preserve">7, </w:t>
      </w:r>
      <w:r>
        <w:t>*, Ricardo Henriques</w:t>
      </w:r>
      <w:r>
        <w:rPr>
          <w:vertAlign w:val="superscript"/>
        </w:rPr>
        <w:t>1,2,4,</w:t>
      </w:r>
      <w:r>
        <w:t>*</w:t>
      </w:r>
    </w:p>
    <w:p w14:paraId="0F3FC529" w14:textId="77777777" w:rsidR="00F91E20" w:rsidRDefault="00723A26">
      <w:r>
        <w:t xml:space="preserve"> </w:t>
      </w:r>
    </w:p>
    <w:p w14:paraId="1C7B6BD8" w14:textId="77777777" w:rsidR="00F91E20" w:rsidRDefault="00723A26">
      <w:r>
        <w:rPr>
          <w:vertAlign w:val="superscript"/>
        </w:rPr>
        <w:t>1</w:t>
      </w:r>
      <w:r>
        <w:t xml:space="preserve"> MRC-Laboratory for Molecular Cell Biology. University College London, London, UK</w:t>
      </w:r>
    </w:p>
    <w:p w14:paraId="45E50EEA" w14:textId="77777777" w:rsidR="00F91E20" w:rsidRDefault="00723A26">
      <w:r>
        <w:rPr>
          <w:vertAlign w:val="superscript"/>
        </w:rPr>
        <w:t>2</w:t>
      </w:r>
      <w:r>
        <w:t xml:space="preserve"> The Francis Crick Institute, London, UK</w:t>
      </w:r>
    </w:p>
    <w:p w14:paraId="7F7A11DA" w14:textId="77777777" w:rsidR="00F91E20" w:rsidRDefault="00723A26">
      <w:r>
        <w:rPr>
          <w:vertAlign w:val="superscript"/>
        </w:rPr>
        <w:t xml:space="preserve">3 </w:t>
      </w:r>
      <w:r>
        <w:t>Current affiliation: MicrographiaBio, Translation &amp; Innovation Hub, 84 Wood Lane, London, W12 0BZ</w:t>
      </w:r>
    </w:p>
    <w:p w14:paraId="090BD927" w14:textId="77777777" w:rsidR="00F91E20" w:rsidRPr="0063627E" w:rsidRDefault="00723A26">
      <w:pPr>
        <w:rPr>
          <w:lang w:val="pt-BR"/>
        </w:rPr>
      </w:pPr>
      <w:r w:rsidRPr="0063627E">
        <w:rPr>
          <w:vertAlign w:val="superscript"/>
          <w:lang w:val="pt-BR"/>
        </w:rPr>
        <w:t>4</w:t>
      </w:r>
      <w:r w:rsidRPr="0063627E">
        <w:rPr>
          <w:lang w:val="pt-BR"/>
        </w:rPr>
        <w:t xml:space="preserve"> Optical Cell Biology, Instituto Gulbenkian de Ciência, Oeiras, Portugal</w:t>
      </w:r>
    </w:p>
    <w:p w14:paraId="26965183" w14:textId="77777777" w:rsidR="00F91E20" w:rsidRDefault="00723A26">
      <w:r>
        <w:rPr>
          <w:vertAlign w:val="superscript"/>
        </w:rPr>
        <w:t>5</w:t>
      </w:r>
      <w:r>
        <w:t xml:space="preserve"> Janelia Research Campus, Howard Hughes Medical Institute, Ashburn, VA, USA. </w:t>
      </w:r>
    </w:p>
    <w:p w14:paraId="6FC1C5BC" w14:textId="77777777" w:rsidR="00F91E20" w:rsidRDefault="00723A26">
      <w:r>
        <w:rPr>
          <w:vertAlign w:val="superscript"/>
        </w:rPr>
        <w:t>6</w:t>
      </w:r>
      <w:r>
        <w:t xml:space="preserve"> CIMR, Cambridge Univeristy, Cambridge, UK</w:t>
      </w:r>
    </w:p>
    <w:p w14:paraId="77CBB182" w14:textId="77777777" w:rsidR="00F91E20" w:rsidRDefault="00723A26">
      <w:r>
        <w:rPr>
          <w:vertAlign w:val="superscript"/>
        </w:rPr>
        <w:t>7</w:t>
      </w:r>
      <w:r>
        <w:t xml:space="preserve"> NeuroCyto, Aix Marseille Université, CNRS, INP UMR7051, Marseille, France</w:t>
      </w:r>
    </w:p>
    <w:p w14:paraId="5C65BDF0" w14:textId="77777777" w:rsidR="00F91E20" w:rsidRDefault="00723A26">
      <w:r>
        <w:rPr>
          <w:vertAlign w:val="superscript"/>
        </w:rPr>
        <w:t xml:space="preserve">8 </w:t>
      </w:r>
      <w:r>
        <w:t>Laboratoire Physico-Chimie Curie, Institut Curie, PSL Research University, Sorbonne Université, CNRS UMR168, Paris, France</w:t>
      </w:r>
    </w:p>
    <w:p w14:paraId="463487D0" w14:textId="77777777" w:rsidR="00F91E20" w:rsidRDefault="00723A26">
      <w:r>
        <w:rPr>
          <w:vertAlign w:val="superscript"/>
        </w:rPr>
        <w:t>9</w:t>
      </w:r>
      <w:r>
        <w:t xml:space="preserve"> Turku Bioscience Centre, University of Turku and Åbo Akademi University, Turku, Finland</w:t>
      </w:r>
    </w:p>
    <w:p w14:paraId="684B186B" w14:textId="77777777" w:rsidR="00F91E20" w:rsidRDefault="00723A26">
      <w:r>
        <w:rPr>
          <w:vertAlign w:val="superscript"/>
        </w:rPr>
        <w:t>10</w:t>
      </w:r>
      <w:r>
        <w:t xml:space="preserve"> Current affiliation: Helsinki Institute of Life Science, Biomedicum Helsinki, University of Helsinki, 00290 Helsinki, Finland</w:t>
      </w:r>
    </w:p>
    <w:p w14:paraId="23F4A341" w14:textId="77777777" w:rsidR="00F91E20" w:rsidRDefault="00723A26">
      <w:pPr>
        <w:rPr>
          <w:vertAlign w:val="superscript"/>
        </w:rPr>
      </w:pPr>
      <w:r>
        <w:rPr>
          <w:vertAlign w:val="superscript"/>
        </w:rPr>
        <w:t>11</w:t>
      </w:r>
      <w:r>
        <w:t xml:space="preserve"> Faculty of Science and Engineering, Cell Biology, Åbo Akademi University, Turku, Finland</w:t>
      </w:r>
    </w:p>
    <w:p w14:paraId="7B27BB0B" w14:textId="77777777" w:rsidR="00F91E20" w:rsidRDefault="00723A26">
      <w:r>
        <w:rPr>
          <w:vertAlign w:val="superscript"/>
        </w:rPr>
        <w:t>12</w:t>
      </w:r>
      <w:r>
        <w:t xml:space="preserve"> Current affiliation: Randall Centre for Cell &amp; Molecular Biophysics, King’s College London, Guy’s Campus, London SE1 1UL, UK</w:t>
      </w:r>
    </w:p>
    <w:p w14:paraId="3E3F8B4F" w14:textId="77777777" w:rsidR="00F91E20" w:rsidRDefault="00723A26">
      <w:r>
        <w:rPr>
          <w:vertAlign w:val="superscript"/>
        </w:rPr>
        <w:t>13</w:t>
      </w:r>
      <w:r>
        <w:t xml:space="preserve"> Turku Bioimaging, University of Turku and Åbo Akademi University, Turku, Finland</w:t>
      </w:r>
    </w:p>
    <w:p w14:paraId="26D02859" w14:textId="77777777" w:rsidR="00F91E20" w:rsidRDefault="00723A26">
      <w:r>
        <w:rPr>
          <w:vertAlign w:val="superscript"/>
        </w:rPr>
        <w:t>+</w:t>
      </w:r>
      <w:r>
        <w:t xml:space="preserve"> Equal contribution</w:t>
      </w:r>
    </w:p>
    <w:p w14:paraId="1AA89F39" w14:textId="77777777" w:rsidR="00F91E20" w:rsidRDefault="00723A26">
      <w:pPr>
        <w:jc w:val="left"/>
      </w:pPr>
      <w:r>
        <w:t>* Corresponding author:  b</w:t>
      </w:r>
      <w:hyperlink r:id="rId6">
        <w:r>
          <w:rPr>
            <w:color w:val="1155CC"/>
            <w:u w:val="single"/>
          </w:rPr>
          <w:t>assam.hajj@curie.fr</w:t>
        </w:r>
      </w:hyperlink>
      <w:r>
        <w:t xml:space="preserve">, </w:t>
      </w:r>
      <w:hyperlink r:id="rId7">
        <w:r>
          <w:rPr>
            <w:color w:val="1155CC"/>
            <w:u w:val="single"/>
          </w:rPr>
          <w:t>christophe.leterrier@univ-amu.fr</w:t>
        </w:r>
      </w:hyperlink>
      <w:r>
        <w:t xml:space="preserve"> &amp; </w:t>
      </w:r>
      <w:hyperlink r:id="rId8">
        <w:r>
          <w:rPr>
            <w:color w:val="1155CC"/>
            <w:u w:val="single"/>
          </w:rPr>
          <w:t>rjhenriques@igc.gulbenkian.pt</w:t>
        </w:r>
      </w:hyperlink>
    </w:p>
    <w:p w14:paraId="51F10CB9" w14:textId="77777777" w:rsidR="00F91E20" w:rsidRDefault="00F91E20"/>
    <w:p w14:paraId="2781E5D5" w14:textId="77777777" w:rsidR="00F91E20" w:rsidRDefault="00F91E20"/>
    <w:p w14:paraId="3D5AE0F0" w14:textId="77777777" w:rsidR="00F91E20" w:rsidRDefault="00723A26">
      <w:pPr>
        <w:rPr>
          <w:b/>
        </w:rPr>
      </w:pPr>
      <w:r>
        <w:rPr>
          <w:b/>
        </w:rPr>
        <w:t xml:space="preserve">Content: </w:t>
      </w:r>
    </w:p>
    <w:p w14:paraId="627438BE" w14:textId="77777777" w:rsidR="00F91E20" w:rsidRDefault="00723A26">
      <w:pPr>
        <w:spacing w:line="360" w:lineRule="auto"/>
      </w:pPr>
      <w:r>
        <w:t>Supplementary Note 1&amp;2</w:t>
      </w:r>
    </w:p>
    <w:p w14:paraId="1FB1BDE6" w14:textId="77777777" w:rsidR="00F91E20" w:rsidRDefault="00723A26">
      <w:pPr>
        <w:spacing w:line="360" w:lineRule="auto"/>
      </w:pPr>
      <w:r>
        <w:t>Supplementary Table 1-3</w:t>
      </w:r>
    </w:p>
    <w:p w14:paraId="00CED11D" w14:textId="77777777" w:rsidR="00F91E20" w:rsidRDefault="00723A26">
      <w:pPr>
        <w:spacing w:line="360" w:lineRule="auto"/>
      </w:pPr>
      <w:r>
        <w:t>Supplementary Fig. 1-14</w:t>
      </w:r>
    </w:p>
    <w:p w14:paraId="1938EDA0" w14:textId="77777777" w:rsidR="00F91E20" w:rsidRDefault="00723A26">
      <w:pPr>
        <w:spacing w:line="360" w:lineRule="auto"/>
      </w:pPr>
      <w:r>
        <w:t>Supplementary Movie 1-5</w:t>
      </w:r>
    </w:p>
    <w:p w14:paraId="3800CD6C" w14:textId="77777777" w:rsidR="00F91E20" w:rsidRDefault="00723A26">
      <w:pPr>
        <w:spacing w:line="360" w:lineRule="auto"/>
      </w:pPr>
      <w:r>
        <w:t>References</w:t>
      </w:r>
    </w:p>
    <w:p w14:paraId="11D5735A" w14:textId="77777777" w:rsidR="00F91E20" w:rsidRDefault="00723A26">
      <w:pPr>
        <w:pStyle w:val="Heading1"/>
      </w:pPr>
      <w:bookmarkStart w:id="4" w:name="_j2s6ls4atbnf" w:colFirst="0" w:colLast="0"/>
      <w:bookmarkEnd w:id="4"/>
      <w:r>
        <w:lastRenderedPageBreak/>
        <w:t>Supplementary Notes</w:t>
      </w:r>
    </w:p>
    <w:p w14:paraId="44B70E06" w14:textId="77777777" w:rsidR="00F91E20" w:rsidRDefault="00723A26">
      <w:pPr>
        <w:pStyle w:val="Heading2"/>
        <w:rPr>
          <w:rFonts w:ascii="Times New Roman" w:eastAsia="Times New Roman" w:hAnsi="Times New Roman" w:cs="Times New Roman"/>
          <w:b/>
          <w:sz w:val="20"/>
          <w:szCs w:val="20"/>
        </w:rPr>
      </w:pPr>
      <w:bookmarkStart w:id="5" w:name="_7yp4pgcrhb2t" w:colFirst="0" w:colLast="0"/>
      <w:bookmarkEnd w:id="5"/>
      <w:r>
        <w:t>Supplementary Note 1: (e)SRRF and its artifacts</w:t>
      </w:r>
    </w:p>
    <w:p w14:paraId="3DA1DD36" w14:textId="5AF6784C" w:rsidR="00F91E20" w:rsidRDefault="00723A26">
      <w:r>
        <w:t>The presence of artifacts in the SRRF reconstruction have been observed previously</w:t>
      </w:r>
      <w:hyperlink r:id="rId9">
        <w:r>
          <w:rPr>
            <w:vertAlign w:val="superscript"/>
          </w:rPr>
          <w:t>1</w:t>
        </w:r>
      </w:hyperlink>
      <w:r>
        <w:t>. Here, we highlight an instance where they appear quite clearly (Supplementary Figure 3). We generated a simulated dataset where the underlying fluorophore arrangement follows a fan configuration. Supplementary Figure 3 shows the reconstructions obtained from SRRF and eSRRF, as well as quantitative measures of image quality based on our SQUIRREL method</w:t>
      </w:r>
      <w:hyperlink r:id="rId10">
        <w:r>
          <w:rPr>
            <w:vertAlign w:val="superscript"/>
          </w:rPr>
          <w:t>2</w:t>
        </w:r>
      </w:hyperlink>
      <w:r>
        <w:t>. We observe a clear visual and quantitative improvement of the method. Both resolution-scaled Pearson coefficient (RSP) and resolution-scaled error (RSE) show values associated with improved quality.</w:t>
      </w:r>
    </w:p>
    <w:p w14:paraId="05B04314" w14:textId="77777777" w:rsidR="00F91E20" w:rsidRDefault="00723A26">
      <w:pPr>
        <w:pStyle w:val="Heading2"/>
      </w:pPr>
      <w:bookmarkStart w:id="6" w:name="_wix1iepklmzc" w:colFirst="0" w:colLast="0"/>
      <w:bookmarkEnd w:id="6"/>
      <w:r>
        <w:t>Supplementary Note 2: eSRRF processing and analysis concepts</w:t>
      </w:r>
    </w:p>
    <w:p w14:paraId="5609FD4D" w14:textId="77777777" w:rsidR="00F91E20" w:rsidRDefault="00723A26">
      <w:r>
        <w:t>The eSRRF approach reconsiders the concepts presented in SRRF and uses knowledge of the PSF and the imaging set up to enhance the reconstruction. The method consists in a 2-step process (see Figure 1): a spatial analysis performed on each image of the temporal stack, creating the Radial Gradient Convergence (RGC) stack followed by a temporal analysis on the RGC stack.</w:t>
      </w:r>
    </w:p>
    <w:p w14:paraId="5847652A" w14:textId="77777777" w:rsidR="00F91E20" w:rsidRDefault="00723A26">
      <w:pPr>
        <w:pStyle w:val="Heading3"/>
      </w:pPr>
      <w:bookmarkStart w:id="7" w:name="_6c1sscx2tg7z" w:colFirst="0" w:colLast="0"/>
      <w:bookmarkEnd w:id="7"/>
      <w:r>
        <w:t>Supplementary Note 2.1: Spatial transformation: the Radial Gradient Convergence transform</w:t>
      </w:r>
    </w:p>
    <w:p w14:paraId="4600CF34" w14:textId="77777777" w:rsidR="00F91E20" w:rsidRDefault="00723A26">
      <w:r>
        <w:t>The SRRF concept exploits the radial symmetry of the signal in the image obtained from a discrete number of emitters in the image. This analysis requires the calculation of image gradients in every single pixel of the image</w:t>
      </w:r>
      <w:hyperlink r:id="rId11">
        <w:r>
          <w:rPr>
            <w:vertAlign w:val="superscript"/>
          </w:rPr>
          <w:t>3</w:t>
        </w:r>
      </w:hyperlink>
      <w:r>
        <w:t xml:space="preserve">. Additionally, the super-resolved image needs to be reconstructed on a finer pixel grid than the acquisition. Therefore, the first step that we take in the spatial reconstruction is to spatially interpolate the raw image by a factor set by the user-set </w:t>
      </w:r>
      <w:r>
        <w:rPr>
          <w:i/>
        </w:rPr>
        <w:t>magnification</w:t>
      </w:r>
      <w:r>
        <w:t xml:space="preserve"> parameter. This is done using Fourier Interpolation via Fast Hartley Transform using JTransforms 3.1, </w:t>
      </w:r>
      <w:hyperlink r:id="rId12">
        <w:r>
          <w:rPr>
            <w:color w:val="1155CC"/>
            <w:u w:val="single"/>
          </w:rPr>
          <w:t>https://github.com/wendykierp/JTransforms</w:t>
        </w:r>
      </w:hyperlink>
      <w:r>
        <w:t>. The data is mirror-padded to represent a 2</w:t>
      </w:r>
      <w:r>
        <w:rPr>
          <w:vertAlign w:val="superscript"/>
        </w:rPr>
        <w:t>n</w:t>
      </w:r>
      <w:r>
        <w:t>x2</w:t>
      </w:r>
      <w:r>
        <w:rPr>
          <w:vertAlign w:val="superscript"/>
        </w:rPr>
        <w:t>n</w:t>
      </w:r>
      <w:r>
        <w:t xml:space="preserve"> 2D data block prior to the FHT and the interpolated image is cropped back down to the original image width and height after the interpolation. We have shown that FHT interpolation at an early step of the analysis reduces the occurrence of macro-pixel patterning (Supplementary Figure 1). A set of interpolated frames are sent to the GPU defined automatically by the reconstruction settings. Subsequent calculations are performed on GPU.</w:t>
      </w:r>
    </w:p>
    <w:p w14:paraId="2819DAA7" w14:textId="77777777" w:rsidR="00F91E20" w:rsidRDefault="00F91E20"/>
    <w:p w14:paraId="02E60D91" w14:textId="77777777" w:rsidR="00F91E20" w:rsidRDefault="00723A26">
      <w:r>
        <w:t>The vertical and horizontal image intensity gradients are then calculated from the interpolated images using the Roberts cross method</w:t>
      </w:r>
      <w:hyperlink r:id="rId13">
        <w:r>
          <w:rPr>
            <w:vertAlign w:val="superscript"/>
          </w:rPr>
          <w:t>4</w:t>
        </w:r>
      </w:hyperlink>
      <w:r>
        <w:t>.</w:t>
      </w:r>
    </w:p>
    <w:p w14:paraId="4EA31F6F" w14:textId="77777777" w:rsidR="00F91E20" w:rsidRDefault="00CF54A6">
      <w:pPr>
        <w:jc w:val="center"/>
      </w:pPr>
      <m:oMathPara>
        <m:oMath>
          <m:sSub>
            <m:sSubPr>
              <m:ctrlPr>
                <w:rPr>
                  <w:rFonts w:ascii="Cambria Math" w:hAnsi="Cambria Math"/>
                </w:rPr>
              </m:ctrlPr>
            </m:sSubPr>
            <m:e>
              <m:r>
                <w:rPr>
                  <w:rFonts w:ascii="Cambria Math" w:hAnsi="Cambria Math"/>
                </w:rPr>
                <m:t>G</m:t>
              </m:r>
            </m:e>
            <m:sub>
              <m:r>
                <w:rPr>
                  <w:rFonts w:ascii="Cambria Math" w:hAnsi="Cambria Math"/>
                </w:rPr>
                <m:t>a</m:t>
              </m:r>
            </m:sub>
          </m:sSub>
          <m:d>
            <m:dPr>
              <m:ctrlPr>
                <w:rPr>
                  <w:rFonts w:ascii="Cambria Math" w:hAnsi="Cambria Math"/>
                </w:rPr>
              </m:ctrlPr>
            </m:dPr>
            <m:e>
              <m:r>
                <w:rPr>
                  <w:rFonts w:ascii="Cambria Math" w:hAnsi="Cambria Math"/>
                </w:rPr>
                <m:t>i+0.5,j+0.5</m:t>
              </m:r>
            </m:e>
          </m:d>
          <m:r>
            <w:rPr>
              <w:rFonts w:ascii="Cambria Math" w:hAnsi="Cambria Math"/>
            </w:rPr>
            <m:t>=I</m:t>
          </m:r>
          <m:d>
            <m:dPr>
              <m:ctrlPr>
                <w:rPr>
                  <w:rFonts w:ascii="Cambria Math" w:hAnsi="Cambria Math"/>
                </w:rPr>
              </m:ctrlPr>
            </m:dPr>
            <m:e>
              <m:r>
                <w:rPr>
                  <w:rFonts w:ascii="Cambria Math" w:hAnsi="Cambria Math"/>
                </w:rPr>
                <m:t>i,j</m:t>
              </m:r>
            </m:e>
          </m:d>
          <m:r>
            <w:rPr>
              <w:rFonts w:ascii="Cambria Math" w:hAnsi="Cambria Math"/>
            </w:rPr>
            <m:t>-I</m:t>
          </m:r>
          <m:d>
            <m:dPr>
              <m:ctrlPr>
                <w:rPr>
                  <w:rFonts w:ascii="Cambria Math" w:hAnsi="Cambria Math"/>
                </w:rPr>
              </m:ctrlPr>
            </m:dPr>
            <m:e>
              <m:r>
                <w:rPr>
                  <w:rFonts w:ascii="Cambria Math" w:hAnsi="Cambria Math"/>
                </w:rPr>
                <m:t>i+1,j+1</m:t>
              </m:r>
            </m:e>
          </m:d>
        </m:oMath>
      </m:oMathPara>
    </w:p>
    <w:p w14:paraId="62F9C229" w14:textId="77777777" w:rsidR="00F91E20" w:rsidRDefault="00CF54A6">
      <w:pPr>
        <w:jc w:val="center"/>
      </w:pPr>
      <m:oMathPara>
        <m:oMath>
          <m:sSub>
            <m:sSubPr>
              <m:ctrlPr>
                <w:rPr>
                  <w:rFonts w:ascii="Cambria Math" w:hAnsi="Cambria Math"/>
                </w:rPr>
              </m:ctrlPr>
            </m:sSubPr>
            <m:e>
              <m:r>
                <w:rPr>
                  <w:rFonts w:ascii="Cambria Math" w:hAnsi="Cambria Math"/>
                </w:rPr>
                <m:t>G</m:t>
              </m:r>
            </m:e>
            <m:sub>
              <m:r>
                <w:rPr>
                  <w:rFonts w:ascii="Cambria Math" w:hAnsi="Cambria Math"/>
                </w:rPr>
                <m:t>b</m:t>
              </m:r>
            </m:sub>
          </m:sSub>
          <m:d>
            <m:dPr>
              <m:ctrlPr>
                <w:rPr>
                  <w:rFonts w:ascii="Cambria Math" w:hAnsi="Cambria Math"/>
                </w:rPr>
              </m:ctrlPr>
            </m:dPr>
            <m:e>
              <m:r>
                <w:rPr>
                  <w:rFonts w:ascii="Cambria Math" w:hAnsi="Cambria Math"/>
                </w:rPr>
                <m:t>i+0.5,j+0.5</m:t>
              </m:r>
            </m:e>
          </m:d>
          <m:r>
            <w:rPr>
              <w:rFonts w:ascii="Cambria Math" w:hAnsi="Cambria Math"/>
            </w:rPr>
            <m:t>=I</m:t>
          </m:r>
          <m:d>
            <m:dPr>
              <m:ctrlPr>
                <w:rPr>
                  <w:rFonts w:ascii="Cambria Math" w:hAnsi="Cambria Math"/>
                </w:rPr>
              </m:ctrlPr>
            </m:dPr>
            <m:e>
              <m:r>
                <w:rPr>
                  <w:rFonts w:ascii="Cambria Math" w:hAnsi="Cambria Math"/>
                </w:rPr>
                <m:t>i,j+1</m:t>
              </m:r>
            </m:e>
          </m:d>
          <m:r>
            <w:rPr>
              <w:rFonts w:ascii="Cambria Math" w:hAnsi="Cambria Math"/>
            </w:rPr>
            <m:t>-I</m:t>
          </m:r>
          <m:d>
            <m:dPr>
              <m:ctrlPr>
                <w:rPr>
                  <w:rFonts w:ascii="Cambria Math" w:hAnsi="Cambria Math"/>
                </w:rPr>
              </m:ctrlPr>
            </m:dPr>
            <m:e>
              <m:r>
                <w:rPr>
                  <w:rFonts w:ascii="Cambria Math" w:hAnsi="Cambria Math"/>
                </w:rPr>
                <m:t>i+1,j</m:t>
              </m:r>
            </m:e>
          </m:d>
        </m:oMath>
      </m:oMathPara>
    </w:p>
    <w:p w14:paraId="229A91C3" w14:textId="77777777" w:rsidR="00F91E20" w:rsidRDefault="00F91E20"/>
    <w:p w14:paraId="1ED6AAC7" w14:textId="4F751D6B" w:rsidR="00F91E20" w:rsidRDefault="00723A26">
      <w:r>
        <w:t xml:space="preserve">Where </w:t>
      </w:r>
      <w:r>
        <w:rPr>
          <w:i/>
        </w:rPr>
        <w:t>G</w:t>
      </w:r>
      <w:r>
        <w:rPr>
          <w:i/>
          <w:vertAlign w:val="subscript"/>
        </w:rPr>
        <w:t>a</w:t>
      </w:r>
      <w:r>
        <w:t xml:space="preserve"> and </w:t>
      </w:r>
      <w:r>
        <w:rPr>
          <w:i/>
        </w:rPr>
        <w:t>G</w:t>
      </w:r>
      <w:r>
        <w:rPr>
          <w:i/>
          <w:vertAlign w:val="subscript"/>
        </w:rPr>
        <w:t>b</w:t>
      </w:r>
      <w:r>
        <w:t xml:space="preserve"> represent the 45</w:t>
      </w:r>
      <w:r w:rsidR="0063627E">
        <w:t>-</w:t>
      </w:r>
      <w:r>
        <w:t xml:space="preserve">degree angle intensity gradients in the interpolated image. By using Robert's cross, the gradients calculated correspond to those in the corner of each pixel in the original image. </w:t>
      </w:r>
    </w:p>
    <w:p w14:paraId="2C624BF7" w14:textId="77777777" w:rsidR="00F91E20" w:rsidRDefault="00723A26">
      <w:r>
        <w:lastRenderedPageBreak/>
        <w:t xml:space="preserve">The gradients are then rotated by 45 degrees again to be in line with the vertical and horizontal axes of the image using standard 45 degrees rotation matrix calculation, so as to obtain </w:t>
      </w:r>
      <w:r>
        <w:rPr>
          <w:i/>
        </w:rPr>
        <w:t>G</w:t>
      </w:r>
      <w:r>
        <w:rPr>
          <w:i/>
          <w:vertAlign w:val="subscript"/>
        </w:rPr>
        <w:t>x</w:t>
      </w:r>
      <w:r>
        <w:t xml:space="preserve"> and </w:t>
      </w:r>
      <w:r>
        <w:rPr>
          <w:i/>
        </w:rPr>
        <w:t>G</w:t>
      </w:r>
      <w:r>
        <w:rPr>
          <w:i/>
          <w:vertAlign w:val="subscript"/>
        </w:rPr>
        <w:t>y</w:t>
      </w:r>
      <w:r>
        <w:t xml:space="preserve">  in each pixel (</w:t>
      </w:r>
      <w:r>
        <w:rPr>
          <w:i/>
        </w:rPr>
        <w:t>i,j</w:t>
      </w:r>
      <w:r>
        <w:t>). We found that Robert’s cross allows for the estimation of the most local gradients compared to other approaches.</w:t>
      </w:r>
    </w:p>
    <w:p w14:paraId="52091AFF" w14:textId="77777777" w:rsidR="00F91E20" w:rsidRDefault="00F91E20"/>
    <w:p w14:paraId="425D816D" w14:textId="77777777" w:rsidR="00F91E20" w:rsidRDefault="00723A26">
      <w:r>
        <w:t xml:space="preserve">Then the RGC transform is calculated in every pixel of the image. The user-input </w:t>
      </w:r>
      <w:r>
        <w:rPr>
          <w:i/>
        </w:rPr>
        <w:t>Radius R</w:t>
      </w:r>
      <w:r>
        <w:t xml:space="preserve"> in pixels represents the FWHM of the expected PSF, thus, the PSF standard deviation can be estimated as follows:</w:t>
      </w:r>
    </w:p>
    <w:p w14:paraId="183B15CE" w14:textId="77777777" w:rsidR="00F91E20" w:rsidRDefault="00723A26">
      <w:pPr>
        <w:jc w:val="center"/>
      </w:pPr>
      <m:oMathPara>
        <m:oMath>
          <m:r>
            <w:rPr>
              <w:rFonts w:ascii="Cambria Math" w:hAnsi="Cambria Math"/>
            </w:rPr>
            <m:t>σ=</m:t>
          </m:r>
          <m:f>
            <m:fPr>
              <m:ctrlPr>
                <w:rPr>
                  <w:rFonts w:ascii="Cambria Math" w:hAnsi="Cambria Math"/>
                </w:rPr>
              </m:ctrlPr>
            </m:fPr>
            <m:num>
              <m:r>
                <w:rPr>
                  <w:rFonts w:ascii="Cambria Math" w:hAnsi="Cambria Math"/>
                </w:rPr>
                <m:t>Radius</m:t>
              </m:r>
            </m:num>
            <m:den>
              <m:r>
                <w:rPr>
                  <w:rFonts w:ascii="Cambria Math" w:hAnsi="Cambria Math"/>
                </w:rPr>
                <m:t>2.354</m:t>
              </m:r>
            </m:den>
          </m:f>
        </m:oMath>
      </m:oMathPara>
    </w:p>
    <w:p w14:paraId="2DC04632" w14:textId="77777777" w:rsidR="00F91E20" w:rsidRDefault="00723A26">
      <w:r>
        <w:rPr>
          <w:i/>
        </w:rPr>
        <w:t>σ</w:t>
      </w:r>
      <w:r>
        <w:t xml:space="preserve"> can be used to calculate the convergence weighting factor</w:t>
      </w:r>
      <w:r>
        <w:rPr>
          <w:i/>
        </w:rPr>
        <w:t xml:space="preserve"> W</w:t>
      </w:r>
      <w:r>
        <w:t xml:space="preserve"> as well as the size of the relevant local area over which to calculate the RGC. </w:t>
      </w:r>
    </w:p>
    <w:p w14:paraId="4451B525" w14:textId="77777777" w:rsidR="00F91E20" w:rsidRDefault="00723A26">
      <w:r>
        <w:t>For a particular pixel of interest the RGC is calculated by summing the weighted gradient convergence (</w:t>
      </w:r>
      <w:r>
        <w:rPr>
          <w:i/>
        </w:rPr>
        <w:t>D</w:t>
      </w:r>
      <w:r>
        <w:rPr>
          <w:i/>
          <w:vertAlign w:val="subscript"/>
        </w:rPr>
        <w:t>k</w:t>
      </w:r>
      <w:r>
        <w:t>) from all the surrounding pixels in a disk of radius 2σ+1, called Δ. This radius of calculation allows to speed up the process by only using the relevant local information to the pixel of interest and was determined empirically.</w:t>
      </w:r>
    </w:p>
    <w:p w14:paraId="0D9F2323" w14:textId="77777777" w:rsidR="00F91E20" w:rsidRDefault="00723A26">
      <w:r>
        <w:t>The RGC in the pixel (</w:t>
      </w:r>
      <w:r>
        <w:rPr>
          <w:i/>
        </w:rPr>
        <w:t>i</w:t>
      </w:r>
      <w:r>
        <w:rPr>
          <w:i/>
          <w:vertAlign w:val="subscript"/>
        </w:rPr>
        <w:t>0</w:t>
      </w:r>
      <w:r>
        <w:rPr>
          <w:i/>
        </w:rPr>
        <w:t>,j</w:t>
      </w:r>
      <w:r>
        <w:rPr>
          <w:i/>
          <w:vertAlign w:val="subscript"/>
        </w:rPr>
        <w:t>0</w:t>
      </w:r>
      <w:r>
        <w:t>) is computed as follows:</w:t>
      </w:r>
    </w:p>
    <w:p w14:paraId="2D13AF43" w14:textId="77777777" w:rsidR="00F91E20" w:rsidRDefault="00723A26">
      <w:pPr>
        <w:jc w:val="center"/>
      </w:pPr>
      <m:oMathPara>
        <m:oMath>
          <m:r>
            <w:rPr>
              <w:rFonts w:ascii="Cambria Math" w:hAnsi="Cambria Math"/>
            </w:rPr>
            <m:t>RGC(</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nary>
            <m:naryPr>
              <m:chr m:val="∑"/>
              <m:ctrlPr>
                <w:rPr>
                  <w:rFonts w:ascii="Cambria Math" w:hAnsi="Cambria Math"/>
                </w:rPr>
              </m:ctrlPr>
            </m:naryPr>
            <m:sub>
              <m:r>
                <w:rPr>
                  <w:rFonts w:ascii="Cambria Math" w:hAnsi="Cambria Math"/>
                </w:rPr>
                <m:t>i,j</m:t>
              </m:r>
            </m:sub>
            <m:sup>
              <m:r>
                <w:rPr>
                  <w:rFonts w:ascii="Cambria Math" w:hAnsi="Cambria Math"/>
                </w:rPr>
                <m:t>Δ</m:t>
              </m:r>
            </m:sup>
            <m:e/>
          </m:nary>
          <m:r>
            <w:rPr>
              <w:rFonts w:ascii="Cambria Math" w:hAnsi="Cambria Math"/>
            </w:rPr>
            <m:t>W(</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,i,j)×</m:t>
          </m:r>
          <m:sSub>
            <m:sSubPr>
              <m:ctrlPr>
                <w:rPr>
                  <w:rFonts w:ascii="Cambria Math" w:hAnsi="Cambria Math"/>
                </w:rPr>
              </m:ctrlPr>
            </m:sSubPr>
            <m:e>
              <m:r>
                <w:rPr>
                  <w:rFonts w:ascii="Cambria Math" w:hAnsi="Cambria Math"/>
                </w:rPr>
                <m:t>D</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,i,j)</m:t>
          </m:r>
        </m:oMath>
      </m:oMathPara>
    </w:p>
    <w:p w14:paraId="673763FF" w14:textId="77777777" w:rsidR="00F91E20" w:rsidRDefault="00F91E20"/>
    <w:p w14:paraId="5304127D" w14:textId="77777777" w:rsidR="00F91E20" w:rsidRDefault="00723A26">
      <w:r>
        <w:t xml:space="preserve">For each pixel in Δ, the distance </w:t>
      </w:r>
      <w:r>
        <w:rPr>
          <w:i/>
        </w:rPr>
        <w:t>d</w:t>
      </w:r>
      <w:r>
        <w:t xml:space="preserve"> to the pixel of interest is computed and used to calculate the weighting factor </w:t>
      </w:r>
      <w:r>
        <w:rPr>
          <w:i/>
        </w:rPr>
        <w:t>W</w:t>
      </w:r>
      <w:r>
        <w:t>:</w:t>
      </w:r>
    </w:p>
    <w:p w14:paraId="5E4631FB" w14:textId="77777777" w:rsidR="00F91E20" w:rsidRDefault="00723A26">
      <w:pPr>
        <w:jc w:val="center"/>
      </w:pPr>
      <m:oMathPara>
        <m:oMath>
          <m:r>
            <w:rPr>
              <w:rFonts w:ascii="Cambria Math" w:hAnsi="Cambria Math"/>
            </w:rPr>
            <m:t>d=</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0</m:t>
                          </m:r>
                        </m:sub>
                      </m:sSub>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j-</m:t>
                      </m:r>
                      <m:sSub>
                        <m:sSubPr>
                          <m:ctrlPr>
                            <w:rPr>
                              <w:rFonts w:ascii="Cambria Math" w:hAnsi="Cambria Math"/>
                            </w:rPr>
                          </m:ctrlPr>
                        </m:sSubPr>
                        <m:e>
                          <m:r>
                            <w:rPr>
                              <w:rFonts w:ascii="Cambria Math" w:hAnsi="Cambria Math"/>
                            </w:rPr>
                            <m:t>j</m:t>
                          </m:r>
                        </m:e>
                        <m:sub>
                          <m:r>
                            <w:rPr>
                              <w:rFonts w:ascii="Cambria Math" w:hAnsi="Cambria Math"/>
                            </w:rPr>
                            <m:t>0</m:t>
                          </m:r>
                        </m:sub>
                      </m:sSub>
                    </m:e>
                  </m:d>
                </m:e>
                <m:sup>
                  <m:r>
                    <w:rPr>
                      <w:rFonts w:ascii="Cambria Math" w:hAnsi="Cambria Math"/>
                    </w:rPr>
                    <m:t>2</m:t>
                  </m:r>
                </m:sup>
              </m:sSup>
            </m:e>
          </m:rad>
        </m:oMath>
      </m:oMathPara>
    </w:p>
    <w:p w14:paraId="45F84B97" w14:textId="77777777" w:rsidR="00F91E20" w:rsidRDefault="00723A26">
      <w:pPr>
        <w:jc w:val="left"/>
      </w:pPr>
      <w:r>
        <w:t>and</w:t>
      </w:r>
    </w:p>
    <w:p w14:paraId="6178BECA" w14:textId="77777777" w:rsidR="00F91E20" w:rsidRDefault="00723A26">
      <w:pPr>
        <w:jc w:val="center"/>
      </w:pPr>
      <m:oMathPara>
        <m:oMath>
          <m:r>
            <w:rPr>
              <w:rFonts w:ascii="Cambria Math" w:hAnsi="Cambria Math"/>
            </w:rPr>
            <m:t>W(</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,i,j)=W(d)=</m:t>
          </m:r>
          <m:sSup>
            <m:sSupPr>
              <m:ctrlPr>
                <w:rPr>
                  <w:rFonts w:ascii="Cambria Math" w:hAnsi="Cambria Math"/>
                </w:rPr>
              </m:ctrlPr>
            </m:sSupPr>
            <m:e>
              <m:d>
                <m:dPr>
                  <m:begChr m:val="["/>
                  <m:endChr m:val="]"/>
                  <m:ctrlPr>
                    <w:rPr>
                      <w:rFonts w:ascii="Cambria Math" w:hAnsi="Cambria Math"/>
                    </w:rPr>
                  </m:ctrlPr>
                </m:dPr>
                <m:e>
                  <m:r>
                    <w:rPr>
                      <w:rFonts w:ascii="Cambria Math" w:hAnsi="Cambria Math"/>
                    </w:rPr>
                    <m:t>d</m:t>
                  </m:r>
                  <m:sSup>
                    <m:sSupPr>
                      <m:ctrlPr>
                        <w:rPr>
                          <w:rFonts w:ascii="Cambria Math" w:hAnsi="Cambria Math"/>
                        </w:rPr>
                      </m:ctrlPr>
                    </m:sSupPr>
                    <m:e>
                      <m:r>
                        <w:rPr>
                          <w:rFonts w:ascii="Cambria Math" w:hAnsi="Cambria Math"/>
                        </w:rPr>
                        <m:t>×e</m:t>
                      </m:r>
                    </m:e>
                    <m:sup>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m:t>
                          </m:r>
                          <m:sSup>
                            <m:sSupPr>
                              <m:ctrlPr>
                                <w:rPr>
                                  <w:rFonts w:ascii="Cambria Math" w:hAnsi="Cambria Math"/>
                                </w:rPr>
                              </m:ctrlPr>
                            </m:sSupPr>
                            <m:e>
                              <m:r>
                                <w:rPr>
                                  <w:rFonts w:ascii="Cambria Math" w:hAnsi="Cambria Math"/>
                                </w:rPr>
                                <m:t>σ</m:t>
                              </m:r>
                            </m:e>
                            <m:sup>
                              <m:r>
                                <w:rPr>
                                  <w:rFonts w:ascii="Cambria Math" w:hAnsi="Cambria Math"/>
                                </w:rPr>
                                <m:t>2</m:t>
                              </m:r>
                            </m:sup>
                          </m:sSup>
                        </m:den>
                      </m:f>
                    </m:sup>
                  </m:sSup>
                </m:e>
              </m:d>
            </m:e>
            <m:sup>
              <m:r>
                <w:rPr>
                  <w:rFonts w:ascii="Cambria Math" w:hAnsi="Cambria Math"/>
                </w:rPr>
                <m:t>4</m:t>
              </m:r>
            </m:sup>
          </m:sSup>
        </m:oMath>
      </m:oMathPara>
    </w:p>
    <w:p w14:paraId="703C2A8A" w14:textId="77777777" w:rsidR="00F91E20" w:rsidRDefault="00F91E20"/>
    <w:p w14:paraId="4F38E432" w14:textId="77777777" w:rsidR="00F91E20" w:rsidRDefault="00723A26">
      <w:r>
        <w:t>Which is based on the 4-th power of the derivative of a Gaussian pattern. Using the derivative of the Gaussian pattern allows us to weigh more highly the pixels where a strong gradient would be expected if a molecule was present in the pixel of interest. The 4-th power was empirically derived to provide the best local gradient sensitivity.</w:t>
      </w:r>
    </w:p>
    <w:p w14:paraId="549739F0" w14:textId="77777777" w:rsidR="00F91E20" w:rsidRDefault="00F91E20"/>
    <w:p w14:paraId="48969BFB" w14:textId="77777777" w:rsidR="00F91E20" w:rsidRDefault="00723A26">
      <w:r>
        <w:t xml:space="preserve">The dot product of the gradient vector in the adjacent pixel and the distance vector between the adjacent and pixel of interest is computed to know the orientation of the gradient vector with respect to the pixel of interest. If the gradient vector is pointing towards the pixel of interest, then the cross product of the distance vector and the gradient vectors is computed to calculate the distance of the tangent, similar to what was previously done with SRRF. This is used to calculate the gradient convergence for a particular location pair: </w:t>
      </w:r>
    </w:p>
    <w:p w14:paraId="54EAC652" w14:textId="77777777" w:rsidR="00F91E20" w:rsidRDefault="00F91E20"/>
    <w:p w14:paraId="4DC72555" w14:textId="77777777" w:rsidR="00F91E20" w:rsidRDefault="00CF54A6">
      <w:pPr>
        <w:jc w:val="center"/>
      </w:pPr>
      <m:oMathPara>
        <m:oMath>
          <m:sSub>
            <m:sSubPr>
              <m:ctrlPr>
                <w:rPr>
                  <w:rFonts w:ascii="Cambria Math" w:hAnsi="Cambria Math"/>
                </w:rPr>
              </m:ctrlPr>
            </m:sSubPr>
            <m:e>
              <m:r>
                <w:rPr>
                  <w:rFonts w:ascii="Cambria Math" w:hAnsi="Cambria Math"/>
                </w:rPr>
                <m:t>D</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,i,j)=1-</m:t>
          </m:r>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r>
                        <w:rPr>
                          <w:rFonts w:ascii="Cambria Math" w:hAnsi="Cambria Math"/>
                        </w:rPr>
                        <m:t>G</m:t>
                      </m:r>
                    </m:e>
                    <m:sub>
                      <m:r>
                        <w:rPr>
                          <w:rFonts w:ascii="Cambria Math" w:hAnsi="Cambria Math"/>
                        </w:rPr>
                        <m:t>y</m:t>
                      </m:r>
                    </m:sub>
                  </m:sSub>
                  <m:r>
                    <w:rPr>
                      <w:rFonts w:ascii="Cambria Math" w:hAnsi="Cambria Math"/>
                    </w:rPr>
                    <m:t>(i,j)×(i-</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x</m:t>
                      </m:r>
                    </m:sub>
                  </m:sSub>
                  <m:r>
                    <w:rPr>
                      <w:rFonts w:ascii="Cambria Math" w:hAnsi="Cambria Math"/>
                    </w:rPr>
                    <m:t>(i,j)×(j-</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e>
              </m:d>
            </m:num>
            <m:den>
              <m:r>
                <w:rPr>
                  <w:rFonts w:ascii="Cambria Math" w:hAnsi="Cambria Math"/>
                </w:rPr>
                <m:t>d</m:t>
              </m:r>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G</m:t>
                          </m:r>
                        </m:e>
                        <m:sub>
                          <m:r>
                            <w:rPr>
                              <w:rFonts w:ascii="Cambria Math" w:hAnsi="Cambria Math"/>
                            </w:rPr>
                            <m:t>x</m:t>
                          </m:r>
                        </m:sub>
                      </m:sSub>
                      <m:r>
                        <w:rPr>
                          <w:rFonts w:ascii="Cambria Math" w:hAnsi="Cambria Math"/>
                        </w:rPr>
                        <m:t>(i,j)</m:t>
                      </m:r>
                    </m:e>
                    <m:sup>
                      <m:r>
                        <w:rPr>
                          <w:rFonts w:ascii="Cambria Math" w:hAnsi="Cambria Math"/>
                        </w:rPr>
                        <m:t>2</m:t>
                      </m:r>
                    </m:sup>
                  </m:sSup>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G</m:t>
                          </m:r>
                        </m:e>
                        <m:sub>
                          <m:r>
                            <w:rPr>
                              <w:rFonts w:ascii="Cambria Math" w:hAnsi="Cambria Math"/>
                            </w:rPr>
                            <m:t>y</m:t>
                          </m:r>
                        </m:sub>
                      </m:sSub>
                      <m:r>
                        <w:rPr>
                          <w:rFonts w:ascii="Cambria Math" w:hAnsi="Cambria Math"/>
                        </w:rPr>
                        <m:t>(i,j)</m:t>
                      </m:r>
                    </m:e>
                    <m:sup>
                      <m:r>
                        <w:rPr>
                          <w:rFonts w:ascii="Cambria Math" w:hAnsi="Cambria Math"/>
                        </w:rPr>
                        <m:t>2</m:t>
                      </m:r>
                    </m:sup>
                  </m:sSup>
                </m:e>
              </m:rad>
            </m:den>
          </m:f>
        </m:oMath>
      </m:oMathPara>
    </w:p>
    <w:p w14:paraId="6BF01D25" w14:textId="77777777" w:rsidR="00F91E20" w:rsidRDefault="00F91E20">
      <w:pPr>
        <w:jc w:val="left"/>
      </w:pPr>
    </w:p>
    <w:p w14:paraId="759B0A87" w14:textId="77777777" w:rsidR="00F91E20" w:rsidRDefault="00723A26">
      <w:r>
        <w:lastRenderedPageBreak/>
        <w:t>This essentially computes the smallest distance between the gradient vector in (</w:t>
      </w:r>
      <w:r>
        <w:rPr>
          <w:i/>
        </w:rPr>
        <w:t>i,j</w:t>
      </w:r>
      <w:r>
        <w:t>) and the point of interest (</w:t>
      </w:r>
      <w:r>
        <w:rPr>
          <w:i/>
        </w:rPr>
        <w:t>i</w:t>
      </w:r>
      <w:r>
        <w:rPr>
          <w:i/>
          <w:vertAlign w:val="subscript"/>
        </w:rPr>
        <w:t>0</w:t>
      </w:r>
      <w:r>
        <w:rPr>
          <w:i/>
        </w:rPr>
        <w:t>,j</w:t>
      </w:r>
      <w:r>
        <w:rPr>
          <w:i/>
          <w:vertAlign w:val="subscript"/>
        </w:rPr>
        <w:t>0</w:t>
      </w:r>
      <w:r>
        <w:t xml:space="preserve">), normalized by the distance between these 2 points. </w:t>
      </w:r>
      <w:r>
        <w:rPr>
          <w:i/>
        </w:rPr>
        <w:t>D</w:t>
      </w:r>
      <w:r>
        <w:rPr>
          <w:i/>
          <w:vertAlign w:val="subscript"/>
        </w:rPr>
        <w:t>k</w:t>
      </w:r>
      <w:r>
        <w:t xml:space="preserve"> then becomes 1 if the gradient points exactly at (</w:t>
      </w:r>
      <w:r>
        <w:rPr>
          <w:i/>
        </w:rPr>
        <w:t>i</w:t>
      </w:r>
      <w:r>
        <w:rPr>
          <w:i/>
          <w:vertAlign w:val="subscript"/>
        </w:rPr>
        <w:t>0</w:t>
      </w:r>
      <w:r>
        <w:rPr>
          <w:i/>
        </w:rPr>
        <w:t>,j</w:t>
      </w:r>
      <w:r>
        <w:rPr>
          <w:i/>
          <w:vertAlign w:val="subscript"/>
        </w:rPr>
        <w:t>0</w:t>
      </w:r>
      <w:r>
        <w:t>), and decreases as the vector points further and further away.</w:t>
      </w:r>
      <w:r>
        <w:br/>
      </w:r>
    </w:p>
    <w:p w14:paraId="57EFC112" w14:textId="77777777" w:rsidR="00F91E20" w:rsidRDefault="00723A26">
      <w:r>
        <w:t xml:space="preserve">NB: the RGC grid and the gradient grid are effectively on the same sized grid but the gradients are computed on the corner of the pixels whereas the RGC (and interpolated intensities) are computed on the centre of the pixels. </w:t>
      </w:r>
    </w:p>
    <w:p w14:paraId="23CEBC43" w14:textId="77777777" w:rsidR="00F91E20" w:rsidRDefault="00723A26">
      <w:pPr>
        <w:pStyle w:val="Heading3"/>
      </w:pPr>
      <w:bookmarkStart w:id="8" w:name="_lrbmo5oexfwi" w:colFirst="0" w:colLast="0"/>
      <w:bookmarkEnd w:id="8"/>
      <w:r>
        <w:t xml:space="preserve">Supplementary Note 2.2: Temporal transformation: temporal cross-correlation analysis </w:t>
      </w:r>
    </w:p>
    <w:p w14:paraId="4D191F52" w14:textId="77777777" w:rsidR="00F91E20" w:rsidRDefault="00F91E20"/>
    <w:p w14:paraId="57D3637B" w14:textId="77777777" w:rsidR="00F91E20" w:rsidRDefault="00723A26">
      <w:r>
        <w:t>eSRRF provides three different temporal transformation strategies that each perform best in different emitter density and fluctuation regimes (see Supplementary Figure 5). A temporal average projection (</w:t>
      </w:r>
      <w:r>
        <w:rPr>
          <w:i/>
        </w:rPr>
        <w:t>AVG)</w:t>
      </w:r>
      <w:r>
        <w:t xml:space="preserve"> of the RGC map for each pixel (</w:t>
      </w:r>
      <w:r>
        <w:rPr>
          <w:i/>
        </w:rPr>
        <w:t>i</w:t>
      </w:r>
      <w:r>
        <w:rPr>
          <w:i/>
          <w:vertAlign w:val="subscript"/>
        </w:rPr>
        <w:t>0</w:t>
      </w:r>
      <w:r>
        <w:rPr>
          <w:i/>
        </w:rPr>
        <w:t>,j</w:t>
      </w:r>
      <w:r>
        <w:rPr>
          <w:i/>
          <w:vertAlign w:val="subscript"/>
        </w:rPr>
        <w:t>0</w:t>
      </w:r>
      <w:r>
        <w:t>) provides robust results with low sensitivity to noise, over a wide range of emitter densities.</w:t>
      </w:r>
    </w:p>
    <w:p w14:paraId="639C4597" w14:textId="77777777" w:rsidR="00F91E20" w:rsidRDefault="00723A26">
      <w:pPr>
        <w:ind w:left="720"/>
        <w:jc w:val="center"/>
      </w:pPr>
      <m:oMathPara>
        <m:oMath>
          <m:r>
            <w:rPr>
              <w:rFonts w:ascii="Cambria Math" w:hAnsi="Cambria Math"/>
            </w:rPr>
            <m:t>AVG (</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 =〈</m:t>
          </m:r>
          <m:sSub>
            <m:sSubPr>
              <m:ctrlPr>
                <w:rPr>
                  <w:rFonts w:ascii="Cambria Math" w:hAnsi="Cambria Math"/>
                </w:rPr>
              </m:ctrlPr>
            </m:sSubPr>
            <m:e>
              <m:r>
                <w:rPr>
                  <w:rFonts w:ascii="Cambria Math" w:hAnsi="Cambria Math"/>
                </w:rPr>
                <m:t xml:space="preserve"> RG</m:t>
              </m:r>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e>
            <m:sub/>
          </m:sSub>
          <m:r>
            <w:rPr>
              <w:rFonts w:ascii="Cambria Math" w:hAnsi="Cambria Math"/>
            </w:rPr>
            <m:t>〉,</m:t>
          </m:r>
        </m:oMath>
      </m:oMathPara>
    </w:p>
    <w:p w14:paraId="7D269EDF" w14:textId="77777777" w:rsidR="00F91E20" w:rsidRDefault="00723A26">
      <m:oMath>
        <m:r>
          <w:rPr>
            <w:rFonts w:ascii="Cambria Math" w:hAnsi="Cambria Math"/>
          </w:rPr>
          <m:t>⟨...⟩</m:t>
        </m:r>
      </m:oMath>
      <w:r>
        <w:t xml:space="preserve"> indicates the average over time. However, an additional resolution improvement can only be achieved by higher-order temporal correlations. The temporal variance projection (</w:t>
      </w:r>
      <w:r>
        <w:rPr>
          <w:i/>
        </w:rPr>
        <w:t>VAR</w:t>
      </w:r>
      <w:r>
        <w:t>) which corresponds to cross-cumulant of 1</w:t>
      </w:r>
      <w:r>
        <w:rPr>
          <w:vertAlign w:val="superscript"/>
        </w:rPr>
        <w:t>st</w:t>
      </w:r>
      <w:r>
        <w:t xml:space="preserve"> order without temporal offset and the  2</w:t>
      </w:r>
      <w:r>
        <w:rPr>
          <w:vertAlign w:val="superscript"/>
        </w:rPr>
        <w:t>nd</w:t>
      </w:r>
      <w:r>
        <w:t xml:space="preserve"> order temporal auto-cumulant (</w:t>
      </w:r>
      <w:r>
        <w:rPr>
          <w:i/>
        </w:rPr>
        <w:t>TAC2</w:t>
      </w:r>
      <w:r>
        <w:t>) which corresponds to the cross-cumulant of 1st order with offset of 1 frame</w:t>
      </w:r>
      <w:hyperlink r:id="rId14">
        <w:r>
          <w:rPr>
            <w:vertAlign w:val="superscript"/>
          </w:rPr>
          <w:t>5</w:t>
        </w:r>
      </w:hyperlink>
      <w:r>
        <w:t xml:space="preserve"> provide an additional resolution gain with significant improvements in fidelity and contrast by analyzing the temporal fluctuations:</w:t>
      </w:r>
    </w:p>
    <w:p w14:paraId="4DA9DC3A" w14:textId="77777777" w:rsidR="00F91E20" w:rsidRDefault="00723A26">
      <w:pPr>
        <w:ind w:left="720"/>
        <w:jc w:val="center"/>
      </w:pPr>
      <m:oMathPara>
        <m:oMath>
          <m:r>
            <w:rPr>
              <w:rFonts w:ascii="Cambria Math" w:hAnsi="Cambria Math"/>
            </w:rPr>
            <m:t>VAR (</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o</m:t>
              </m:r>
            </m:sub>
          </m:sSub>
          <m:r>
            <w:rPr>
              <w:rFonts w:ascii="Cambria Math" w:hAnsi="Cambria Math"/>
            </w:rPr>
            <m:t>) =〈δ</m:t>
          </m:r>
          <m:sSub>
            <m:sSubPr>
              <m:ctrlPr>
                <w:rPr>
                  <w:rFonts w:ascii="Cambria Math" w:hAnsi="Cambria Math"/>
                </w:rPr>
              </m:ctrlPr>
            </m:sSubPr>
            <m:e>
              <m:r>
                <w:rPr>
                  <w:rFonts w:ascii="Cambria Math" w:hAnsi="Cambria Math"/>
                </w:rPr>
                <m:t>RG</m:t>
              </m:r>
              <m:sSub>
                <m:sSubPr>
                  <m:ctrlPr>
                    <w:rPr>
                      <w:rFonts w:ascii="Cambria Math" w:hAnsi="Cambria Math"/>
                    </w:rPr>
                  </m:ctrlPr>
                </m:sSubPr>
                <m:e>
                  <m:r>
                    <w:rPr>
                      <w:rFonts w:ascii="Cambria Math" w:hAnsi="Cambria Math"/>
                    </w:rPr>
                    <m:t>C</m:t>
                  </m:r>
                </m:e>
                <m:sub>
                  <m:r>
                    <w:rPr>
                      <w:rFonts w:ascii="Cambria Math" w:hAnsi="Cambria Math"/>
                    </w:rPr>
                    <m:t xml:space="preserve">t </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e>
            <m:sub/>
          </m:sSub>
          <m:r>
            <w:rPr>
              <w:rFonts w:ascii="Cambria Math" w:hAnsi="Cambria Math"/>
            </w:rPr>
            <m:t>∙ δ</m:t>
          </m:r>
          <m:sSub>
            <m:sSubPr>
              <m:ctrlPr>
                <w:rPr>
                  <w:rFonts w:ascii="Cambria Math" w:hAnsi="Cambria Math"/>
                </w:rPr>
              </m:ctrlPr>
            </m:sSubPr>
            <m:e>
              <m:r>
                <w:rPr>
                  <w:rFonts w:ascii="Cambria Math" w:hAnsi="Cambria Math"/>
                </w:rPr>
                <m:t>RG</m:t>
              </m:r>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e>
            <m:sub>
              <m:r>
                <w:rPr>
                  <w:rFonts w:ascii="Cambria Math" w:hAnsi="Cambria Math"/>
                </w:rPr>
                <m:t xml:space="preserve"> </m:t>
              </m:r>
            </m:sub>
          </m:sSub>
          <m:r>
            <w:rPr>
              <w:rFonts w:ascii="Cambria Math" w:hAnsi="Cambria Math"/>
            </w:rPr>
            <m:t>〉,</m:t>
          </m:r>
        </m:oMath>
      </m:oMathPara>
    </w:p>
    <w:p w14:paraId="087289CC" w14:textId="77777777" w:rsidR="00F91E20" w:rsidRDefault="00723A26">
      <w:pPr>
        <w:ind w:left="720"/>
        <w:jc w:val="center"/>
      </w:pPr>
      <m:oMathPara>
        <m:oMath>
          <m:r>
            <w:rPr>
              <w:rFonts w:ascii="Cambria Math" w:hAnsi="Cambria Math"/>
            </w:rPr>
            <m:t>TAC2 (</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 =〈δ</m:t>
          </m:r>
          <m:sSub>
            <m:sSubPr>
              <m:ctrlPr>
                <w:rPr>
                  <w:rFonts w:ascii="Cambria Math" w:hAnsi="Cambria Math"/>
                </w:rPr>
              </m:ctrlPr>
            </m:sSubPr>
            <m:e>
              <m:r>
                <w:rPr>
                  <w:rFonts w:ascii="Cambria Math" w:hAnsi="Cambria Math"/>
                </w:rPr>
                <m:t>RGC</m:t>
              </m:r>
            </m:e>
            <m:sub>
              <m:r>
                <w:rPr>
                  <w:rFonts w:ascii="Cambria Math" w:hAnsi="Cambria Math"/>
                </w:rPr>
                <m:t xml:space="preserve">t </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 δ</m:t>
          </m:r>
          <m:sSub>
            <m:sSubPr>
              <m:ctrlPr>
                <w:rPr>
                  <w:rFonts w:ascii="Cambria Math" w:hAnsi="Cambria Math"/>
                </w:rPr>
              </m:ctrlPr>
            </m:sSubPr>
            <m:e>
              <m:r>
                <w:rPr>
                  <w:rFonts w:ascii="Cambria Math" w:hAnsi="Cambria Math"/>
                </w:rPr>
                <m:t>RGC</m:t>
              </m:r>
            </m:e>
            <m:sub>
              <m:r>
                <w:rPr>
                  <w:rFonts w:ascii="Cambria Math" w:hAnsi="Cambria Math"/>
                </w:rPr>
                <m:t xml:space="preserve">t+δt </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oMath>
      </m:oMathPara>
    </w:p>
    <w:p w14:paraId="2D1CF9BA" w14:textId="77777777" w:rsidR="00F91E20" w:rsidRDefault="00723A26">
      <w:r>
        <w:t xml:space="preserve">with  </w:t>
      </w:r>
      <m:oMath>
        <m:r>
          <w:rPr>
            <w:rFonts w:ascii="Cambria Math" w:hAnsi="Cambria Math"/>
          </w:rPr>
          <m:t>δ</m:t>
        </m:r>
        <m:sSub>
          <m:sSubPr>
            <m:ctrlPr>
              <w:rPr>
                <w:rFonts w:ascii="Cambria Math" w:hAnsi="Cambria Math"/>
              </w:rPr>
            </m:ctrlPr>
          </m:sSubPr>
          <m:e>
            <m:r>
              <w:rPr>
                <w:rFonts w:ascii="Cambria Math" w:hAnsi="Cambria Math"/>
              </w:rPr>
              <m:t>RGC</m:t>
            </m:r>
          </m:e>
          <m:sub>
            <m:r>
              <w:rPr>
                <w:rFonts w:ascii="Cambria Math" w:hAnsi="Cambria Math"/>
              </w:rPr>
              <m:t xml:space="preserve">t </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 xml:space="preserve">) = </m:t>
        </m:r>
        <m:sSub>
          <m:sSubPr>
            <m:ctrlPr>
              <w:rPr>
                <w:rFonts w:ascii="Cambria Math" w:hAnsi="Cambria Math"/>
              </w:rPr>
            </m:ctrlPr>
          </m:sSubPr>
          <m:e>
            <m:r>
              <w:rPr>
                <w:rFonts w:ascii="Cambria Math" w:hAnsi="Cambria Math"/>
              </w:rPr>
              <m:t>RGC</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)-⟨RG</m:t>
        </m:r>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oMath>
      <w:r>
        <w:t xml:space="preserve">. </w:t>
      </w:r>
    </w:p>
    <w:p w14:paraId="4BA52B43" w14:textId="77777777" w:rsidR="00F91E20" w:rsidRDefault="00F91E20"/>
    <w:p w14:paraId="1A798940" w14:textId="77777777" w:rsidR="00F91E20" w:rsidRDefault="00F91E20"/>
    <w:p w14:paraId="439322E8" w14:textId="77777777" w:rsidR="00F91E20" w:rsidRDefault="00723A26">
      <w:r>
        <w:t>From an implementation point of view, the GPU calculates both the temporal average of the RGC maps and the temporal average of the square of the RGC maps. The final VAR is then computed on CPU as follows:</w:t>
      </w:r>
    </w:p>
    <w:p w14:paraId="7EAF0322" w14:textId="77777777" w:rsidR="00F91E20" w:rsidRDefault="00F91E20">
      <w:pPr>
        <w:jc w:val="left"/>
      </w:pPr>
    </w:p>
    <w:p w14:paraId="1B181BED" w14:textId="77777777" w:rsidR="00F91E20" w:rsidRDefault="00723A26">
      <w:pPr>
        <w:jc w:val="center"/>
      </w:pPr>
      <m:oMathPara>
        <m:oMath>
          <m:r>
            <w:rPr>
              <w:rFonts w:ascii="Cambria Math" w:hAnsi="Cambria Math"/>
            </w:rPr>
            <m:t>VAR</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rad>
            <m:radPr>
              <m:degHide m:val="1"/>
              <m:ctrlPr>
                <w:rPr>
                  <w:rFonts w:ascii="Cambria Math" w:hAnsi="Cambria Math"/>
                </w:rPr>
              </m:ctrlPr>
            </m:radPr>
            <m:deg/>
            <m:e>
              <m:r>
                <w:rPr>
                  <w:rFonts w:ascii="Cambria Math" w:hAnsi="Cambria Math"/>
                </w:rPr>
                <m:t>〈</m:t>
              </m:r>
              <m:sSub>
                <m:sSubPr>
                  <m:ctrlPr>
                    <w:rPr>
                      <w:rFonts w:ascii="Cambria Math" w:hAnsi="Cambria Math"/>
                    </w:rPr>
                  </m:ctrlPr>
                </m:sSubPr>
                <m:e>
                  <m:r>
                    <w:rPr>
                      <w:rFonts w:ascii="Cambria Math" w:hAnsi="Cambria Math"/>
                    </w:rPr>
                    <m:t xml:space="preserve"> </m:t>
                  </m:r>
                  <m:sSub>
                    <m:sSubPr>
                      <m:ctrlPr>
                        <w:rPr>
                          <w:rFonts w:ascii="Cambria Math" w:hAnsi="Cambria Math"/>
                        </w:rPr>
                      </m:ctrlPr>
                    </m:sSubPr>
                    <m:e>
                      <m:sSup>
                        <m:sSupPr>
                          <m:ctrlPr>
                            <w:rPr>
                              <w:rFonts w:ascii="Cambria Math" w:hAnsi="Cambria Math"/>
                            </w:rPr>
                          </m:ctrlPr>
                        </m:sSupPr>
                        <m:e>
                          <m:r>
                            <w:rPr>
                              <w:rFonts w:ascii="Cambria Math" w:hAnsi="Cambria Math"/>
                            </w:rPr>
                            <m:t>RGC</m:t>
                          </m:r>
                        </m:e>
                        <m:sup>
                          <m:r>
                            <w:rPr>
                              <w:rFonts w:ascii="Cambria Math" w:hAnsi="Cambria Math"/>
                            </w:rPr>
                            <m:t>2</m:t>
                          </m:r>
                        </m:sup>
                      </m:sSup>
                    </m:e>
                    <m:sub>
                      <m:r>
                        <w:rPr>
                          <w:rFonts w:ascii="Cambria Math" w:hAnsi="Cambria Math"/>
                        </w:rPr>
                        <m:t>t</m:t>
                      </m:r>
                    </m:sub>
                  </m:sSub>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e>
                <m:sub/>
              </m:sSub>
              <m:r>
                <w:rPr>
                  <w:rFonts w:ascii="Cambria Math" w:hAnsi="Cambria Math"/>
                </w:rPr>
                <m:t>〉-</m:t>
              </m:r>
              <m:sSup>
                <m:sSupPr>
                  <m:ctrlPr>
                    <w:rPr>
                      <w:rFonts w:ascii="Cambria Math" w:hAnsi="Cambria Math"/>
                    </w:rPr>
                  </m:ctrlPr>
                </m:sSupPr>
                <m:e>
                  <m:r>
                    <w:rPr>
                      <w:rFonts w:ascii="Cambria Math" w:hAnsi="Cambria Math"/>
                    </w:rPr>
                    <m:t>〈</m:t>
                  </m:r>
                  <m:sSub>
                    <m:sSubPr>
                      <m:ctrlPr>
                        <w:rPr>
                          <w:rFonts w:ascii="Cambria Math" w:hAnsi="Cambria Math"/>
                        </w:rPr>
                      </m:ctrlPr>
                    </m:sSubPr>
                    <m:e>
                      <m:r>
                        <w:rPr>
                          <w:rFonts w:ascii="Cambria Math" w:hAnsi="Cambria Math"/>
                        </w:rPr>
                        <m:t xml:space="preserve"> RG</m:t>
                      </m:r>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0</m:t>
                          </m:r>
                        </m:sub>
                      </m:sSub>
                      <m:r>
                        <w:rPr>
                          <w:rFonts w:ascii="Cambria Math" w:hAnsi="Cambria Math"/>
                        </w:rPr>
                        <m:t>)</m:t>
                      </m:r>
                    </m:e>
                    <m:sub/>
                  </m:sSub>
                  <m:r>
                    <w:rPr>
                      <w:rFonts w:ascii="Cambria Math" w:hAnsi="Cambria Math"/>
                    </w:rPr>
                    <m:t>〉</m:t>
                  </m:r>
                </m:e>
                <m:sup>
                  <m:r>
                    <w:rPr>
                      <w:rFonts w:ascii="Cambria Math" w:hAnsi="Cambria Math"/>
                    </w:rPr>
                    <m:t>2</m:t>
                  </m:r>
                </m:sup>
              </m:sSup>
            </m:e>
          </m:rad>
        </m:oMath>
      </m:oMathPara>
    </w:p>
    <w:p w14:paraId="06F40E38" w14:textId="77777777" w:rsidR="00F91E20" w:rsidRDefault="00723A26">
      <w:pPr>
        <w:jc w:val="left"/>
        <w:sectPr w:rsidR="00F91E20">
          <w:footerReference w:type="default" r:id="rId15"/>
          <w:pgSz w:w="12240" w:h="15840"/>
          <w:pgMar w:top="1440" w:right="1440" w:bottom="1440" w:left="1440" w:header="720" w:footer="720" w:gutter="0"/>
          <w:pgNumType w:start="1"/>
          <w:cols w:space="720"/>
        </w:sectPr>
      </w:pPr>
      <w:r>
        <w:t xml:space="preserve">A similar approach is taken for </w:t>
      </w:r>
      <w:r>
        <w:rPr>
          <w:i/>
        </w:rPr>
        <w:t>TAC2</w:t>
      </w:r>
      <w:r>
        <w:t>.</w:t>
      </w:r>
    </w:p>
    <w:p w14:paraId="5BD239E2" w14:textId="77777777" w:rsidR="00F91E20" w:rsidRDefault="00723A26">
      <w:pPr>
        <w:pStyle w:val="Heading1"/>
      </w:pPr>
      <w:bookmarkStart w:id="9" w:name="_9y6jyovazc33" w:colFirst="0" w:colLast="0"/>
      <w:bookmarkEnd w:id="9"/>
      <w:r>
        <w:lastRenderedPageBreak/>
        <w:t>Supplementary Tables</w:t>
      </w:r>
    </w:p>
    <w:p w14:paraId="2B036E24" w14:textId="77777777" w:rsidR="00F91E20" w:rsidRDefault="00F91E20"/>
    <w:tbl>
      <w:tblPr>
        <w:tblStyle w:val="a"/>
        <w:tblW w:w="13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20"/>
        <w:gridCol w:w="1275"/>
        <w:gridCol w:w="2265"/>
        <w:gridCol w:w="1905"/>
        <w:gridCol w:w="1620"/>
        <w:gridCol w:w="2085"/>
        <w:gridCol w:w="1425"/>
        <w:gridCol w:w="1215"/>
      </w:tblGrid>
      <w:tr w:rsidR="00F91E20" w14:paraId="6F9AAFB8" w14:textId="77777777" w:rsidTr="0063627E">
        <w:trPr>
          <w:trHeight w:val="525"/>
        </w:trPr>
        <w:tc>
          <w:tcPr>
            <w:tcW w:w="1320" w:type="dxa"/>
            <w:tcMar>
              <w:top w:w="40" w:type="dxa"/>
              <w:left w:w="40" w:type="dxa"/>
              <w:bottom w:w="40" w:type="dxa"/>
              <w:right w:w="40" w:type="dxa"/>
            </w:tcMar>
            <w:vAlign w:val="bottom"/>
          </w:tcPr>
          <w:p w14:paraId="3DA52927" w14:textId="77777777" w:rsidR="00F91E20" w:rsidRDefault="00723A26">
            <w:pPr>
              <w:widowControl w:val="0"/>
              <w:jc w:val="center"/>
              <w:rPr>
                <w:sz w:val="20"/>
                <w:szCs w:val="20"/>
              </w:rPr>
            </w:pPr>
            <w:r>
              <w:rPr>
                <w:b/>
                <w:sz w:val="20"/>
                <w:szCs w:val="20"/>
              </w:rPr>
              <w:t>Method</w:t>
            </w:r>
          </w:p>
        </w:tc>
        <w:tc>
          <w:tcPr>
            <w:tcW w:w="1275" w:type="dxa"/>
            <w:tcMar>
              <w:top w:w="40" w:type="dxa"/>
              <w:left w:w="40" w:type="dxa"/>
              <w:bottom w:w="40" w:type="dxa"/>
              <w:right w:w="40" w:type="dxa"/>
            </w:tcMar>
            <w:vAlign w:val="bottom"/>
          </w:tcPr>
          <w:p w14:paraId="0428A15A" w14:textId="77777777" w:rsidR="00F91E20" w:rsidRDefault="00723A26">
            <w:pPr>
              <w:widowControl w:val="0"/>
              <w:jc w:val="center"/>
              <w:rPr>
                <w:sz w:val="20"/>
                <w:szCs w:val="20"/>
              </w:rPr>
            </w:pPr>
            <w:r>
              <w:rPr>
                <w:b/>
                <w:sz w:val="20"/>
                <w:szCs w:val="20"/>
              </w:rPr>
              <w:t>Reference</w:t>
            </w:r>
          </w:p>
        </w:tc>
        <w:tc>
          <w:tcPr>
            <w:tcW w:w="2265" w:type="dxa"/>
            <w:tcMar>
              <w:top w:w="40" w:type="dxa"/>
              <w:left w:w="40" w:type="dxa"/>
              <w:bottom w:w="40" w:type="dxa"/>
              <w:right w:w="40" w:type="dxa"/>
            </w:tcMar>
            <w:vAlign w:val="bottom"/>
          </w:tcPr>
          <w:p w14:paraId="25C2A78E" w14:textId="77777777" w:rsidR="00F91E20" w:rsidRDefault="00723A26">
            <w:pPr>
              <w:widowControl w:val="0"/>
              <w:jc w:val="center"/>
              <w:rPr>
                <w:sz w:val="20"/>
                <w:szCs w:val="20"/>
              </w:rPr>
            </w:pPr>
            <w:r>
              <w:rPr>
                <w:b/>
                <w:sz w:val="20"/>
                <w:szCs w:val="20"/>
              </w:rPr>
              <w:t>Basic principles</w:t>
            </w:r>
          </w:p>
        </w:tc>
        <w:tc>
          <w:tcPr>
            <w:tcW w:w="1905" w:type="dxa"/>
            <w:tcMar>
              <w:top w:w="40" w:type="dxa"/>
              <w:left w:w="40" w:type="dxa"/>
              <w:bottom w:w="40" w:type="dxa"/>
              <w:right w:w="40" w:type="dxa"/>
            </w:tcMar>
            <w:vAlign w:val="bottom"/>
          </w:tcPr>
          <w:p w14:paraId="37A2AC5B" w14:textId="77777777" w:rsidR="00F91E20" w:rsidRDefault="00723A26">
            <w:pPr>
              <w:widowControl w:val="0"/>
              <w:jc w:val="center"/>
              <w:rPr>
                <w:sz w:val="20"/>
                <w:szCs w:val="20"/>
              </w:rPr>
            </w:pPr>
            <w:r>
              <w:rPr>
                <w:b/>
                <w:sz w:val="20"/>
                <w:szCs w:val="20"/>
              </w:rPr>
              <w:t>Implementation</w:t>
            </w:r>
          </w:p>
        </w:tc>
        <w:tc>
          <w:tcPr>
            <w:tcW w:w="1620" w:type="dxa"/>
            <w:tcMar>
              <w:top w:w="40" w:type="dxa"/>
              <w:left w:w="40" w:type="dxa"/>
              <w:bottom w:w="40" w:type="dxa"/>
              <w:right w:w="40" w:type="dxa"/>
            </w:tcMar>
            <w:vAlign w:val="bottom"/>
          </w:tcPr>
          <w:p w14:paraId="76BAFA9E" w14:textId="77777777" w:rsidR="00F91E20" w:rsidRDefault="00723A26">
            <w:pPr>
              <w:widowControl w:val="0"/>
              <w:jc w:val="center"/>
              <w:rPr>
                <w:sz w:val="20"/>
                <w:szCs w:val="20"/>
              </w:rPr>
            </w:pPr>
            <w:r>
              <w:rPr>
                <w:b/>
                <w:sz w:val="20"/>
                <w:szCs w:val="20"/>
              </w:rPr>
              <w:t>GPU acceleration</w:t>
            </w:r>
          </w:p>
        </w:tc>
        <w:tc>
          <w:tcPr>
            <w:tcW w:w="2085" w:type="dxa"/>
            <w:tcMar>
              <w:top w:w="40" w:type="dxa"/>
              <w:left w:w="40" w:type="dxa"/>
              <w:bottom w:w="40" w:type="dxa"/>
              <w:right w:w="40" w:type="dxa"/>
            </w:tcMar>
            <w:vAlign w:val="bottom"/>
          </w:tcPr>
          <w:p w14:paraId="7E2D7E40" w14:textId="77777777" w:rsidR="00F91E20" w:rsidRDefault="00723A26">
            <w:pPr>
              <w:widowControl w:val="0"/>
              <w:jc w:val="center"/>
              <w:rPr>
                <w:sz w:val="20"/>
                <w:szCs w:val="20"/>
              </w:rPr>
            </w:pPr>
            <w:r>
              <w:rPr>
                <w:b/>
                <w:sz w:val="20"/>
                <w:szCs w:val="20"/>
              </w:rPr>
              <w:t>Image fidelity validated</w:t>
            </w:r>
          </w:p>
        </w:tc>
        <w:tc>
          <w:tcPr>
            <w:tcW w:w="1425" w:type="dxa"/>
            <w:tcMar>
              <w:top w:w="40" w:type="dxa"/>
              <w:left w:w="40" w:type="dxa"/>
              <w:bottom w:w="40" w:type="dxa"/>
              <w:right w:w="40" w:type="dxa"/>
            </w:tcMar>
            <w:vAlign w:val="bottom"/>
          </w:tcPr>
          <w:p w14:paraId="32514B05" w14:textId="77777777" w:rsidR="00F91E20" w:rsidRDefault="00723A26">
            <w:pPr>
              <w:widowControl w:val="0"/>
              <w:jc w:val="center"/>
              <w:rPr>
                <w:sz w:val="20"/>
                <w:szCs w:val="20"/>
              </w:rPr>
            </w:pPr>
            <w:r>
              <w:rPr>
                <w:b/>
                <w:sz w:val="20"/>
                <w:szCs w:val="20"/>
              </w:rPr>
              <w:t>3D</w:t>
            </w:r>
          </w:p>
        </w:tc>
        <w:tc>
          <w:tcPr>
            <w:tcW w:w="1215" w:type="dxa"/>
            <w:tcMar>
              <w:top w:w="40" w:type="dxa"/>
              <w:left w:w="40" w:type="dxa"/>
              <w:bottom w:w="40" w:type="dxa"/>
              <w:right w:w="40" w:type="dxa"/>
            </w:tcMar>
            <w:vAlign w:val="bottom"/>
          </w:tcPr>
          <w:p w14:paraId="73B7DCB3" w14:textId="77777777" w:rsidR="00F91E20" w:rsidRDefault="00723A26">
            <w:pPr>
              <w:widowControl w:val="0"/>
              <w:jc w:val="center"/>
              <w:rPr>
                <w:sz w:val="20"/>
                <w:szCs w:val="20"/>
              </w:rPr>
            </w:pPr>
            <w:r>
              <w:rPr>
                <w:b/>
                <w:sz w:val="20"/>
                <w:szCs w:val="20"/>
              </w:rPr>
              <w:t>In depth</w:t>
            </w:r>
          </w:p>
        </w:tc>
      </w:tr>
      <w:tr w:rsidR="00F91E20" w14:paraId="21571300" w14:textId="77777777" w:rsidTr="0063627E">
        <w:trPr>
          <w:trHeight w:val="315"/>
        </w:trPr>
        <w:tc>
          <w:tcPr>
            <w:tcW w:w="1320" w:type="dxa"/>
            <w:tcMar>
              <w:top w:w="40" w:type="dxa"/>
              <w:left w:w="40" w:type="dxa"/>
              <w:bottom w:w="40" w:type="dxa"/>
              <w:right w:w="40" w:type="dxa"/>
            </w:tcMar>
            <w:vAlign w:val="bottom"/>
          </w:tcPr>
          <w:p w14:paraId="1C5406E1" w14:textId="77777777" w:rsidR="00F91E20" w:rsidRDefault="00723A26">
            <w:pPr>
              <w:widowControl w:val="0"/>
              <w:jc w:val="center"/>
              <w:rPr>
                <w:sz w:val="20"/>
                <w:szCs w:val="20"/>
              </w:rPr>
            </w:pPr>
            <w:r>
              <w:rPr>
                <w:sz w:val="20"/>
                <w:szCs w:val="20"/>
              </w:rPr>
              <w:t>eSRRF</w:t>
            </w:r>
          </w:p>
        </w:tc>
        <w:tc>
          <w:tcPr>
            <w:tcW w:w="1275" w:type="dxa"/>
            <w:tcMar>
              <w:top w:w="40" w:type="dxa"/>
              <w:left w:w="40" w:type="dxa"/>
              <w:bottom w:w="40" w:type="dxa"/>
              <w:right w:w="40" w:type="dxa"/>
            </w:tcMar>
            <w:vAlign w:val="bottom"/>
          </w:tcPr>
          <w:p w14:paraId="5E98A1E7" w14:textId="77777777" w:rsidR="00F91E20" w:rsidRDefault="00723A26">
            <w:pPr>
              <w:widowControl w:val="0"/>
              <w:jc w:val="center"/>
              <w:rPr>
                <w:sz w:val="20"/>
                <w:szCs w:val="20"/>
              </w:rPr>
            </w:pPr>
            <w:r>
              <w:rPr>
                <w:sz w:val="20"/>
                <w:szCs w:val="20"/>
              </w:rPr>
              <w:t>this paper</w:t>
            </w:r>
          </w:p>
        </w:tc>
        <w:tc>
          <w:tcPr>
            <w:tcW w:w="2265" w:type="dxa"/>
            <w:tcMar>
              <w:top w:w="40" w:type="dxa"/>
              <w:left w:w="40" w:type="dxa"/>
              <w:bottom w:w="40" w:type="dxa"/>
              <w:right w:w="40" w:type="dxa"/>
            </w:tcMar>
            <w:vAlign w:val="bottom"/>
          </w:tcPr>
          <w:p w14:paraId="208815A7" w14:textId="77777777" w:rsidR="00F91E20" w:rsidRDefault="00723A26">
            <w:pPr>
              <w:widowControl w:val="0"/>
              <w:jc w:val="center"/>
              <w:rPr>
                <w:sz w:val="20"/>
                <w:szCs w:val="20"/>
              </w:rPr>
            </w:pPr>
            <w:r>
              <w:rPr>
                <w:sz w:val="20"/>
                <w:szCs w:val="20"/>
              </w:rPr>
              <w:t>Radiality and temporal cross-correlation</w:t>
            </w:r>
          </w:p>
        </w:tc>
        <w:tc>
          <w:tcPr>
            <w:tcW w:w="1905" w:type="dxa"/>
            <w:tcMar>
              <w:top w:w="40" w:type="dxa"/>
              <w:left w:w="40" w:type="dxa"/>
              <w:bottom w:w="40" w:type="dxa"/>
              <w:right w:w="40" w:type="dxa"/>
            </w:tcMar>
            <w:vAlign w:val="bottom"/>
          </w:tcPr>
          <w:p w14:paraId="1FB36F60" w14:textId="77777777" w:rsidR="00F91E20" w:rsidRDefault="00723A26">
            <w:pPr>
              <w:widowControl w:val="0"/>
              <w:jc w:val="center"/>
              <w:rPr>
                <w:sz w:val="20"/>
                <w:szCs w:val="20"/>
              </w:rPr>
            </w:pPr>
            <w:r>
              <w:rPr>
                <w:sz w:val="20"/>
                <w:szCs w:val="20"/>
              </w:rPr>
              <w:t>Fiji</w:t>
            </w:r>
          </w:p>
        </w:tc>
        <w:tc>
          <w:tcPr>
            <w:tcW w:w="1620" w:type="dxa"/>
            <w:tcMar>
              <w:top w:w="40" w:type="dxa"/>
              <w:left w:w="40" w:type="dxa"/>
              <w:bottom w:w="40" w:type="dxa"/>
              <w:right w:w="40" w:type="dxa"/>
            </w:tcMar>
            <w:vAlign w:val="bottom"/>
          </w:tcPr>
          <w:p w14:paraId="41C48932" w14:textId="77777777" w:rsidR="00F91E20" w:rsidRDefault="00723A26">
            <w:pPr>
              <w:widowControl w:val="0"/>
              <w:jc w:val="center"/>
              <w:rPr>
                <w:sz w:val="20"/>
                <w:szCs w:val="20"/>
              </w:rPr>
            </w:pPr>
            <w:r>
              <w:rPr>
                <w:sz w:val="20"/>
                <w:szCs w:val="20"/>
              </w:rPr>
              <w:t>Yes</w:t>
            </w:r>
          </w:p>
        </w:tc>
        <w:tc>
          <w:tcPr>
            <w:tcW w:w="2085" w:type="dxa"/>
            <w:tcMar>
              <w:top w:w="40" w:type="dxa"/>
              <w:left w:w="40" w:type="dxa"/>
              <w:bottom w:w="40" w:type="dxa"/>
              <w:right w:w="40" w:type="dxa"/>
            </w:tcMar>
            <w:vAlign w:val="bottom"/>
          </w:tcPr>
          <w:p w14:paraId="2BD01C68" w14:textId="77777777" w:rsidR="00F91E20" w:rsidRDefault="00723A26">
            <w:pPr>
              <w:widowControl w:val="0"/>
              <w:jc w:val="center"/>
              <w:rPr>
                <w:sz w:val="20"/>
                <w:szCs w:val="20"/>
              </w:rPr>
            </w:pPr>
            <w:r>
              <w:rPr>
                <w:sz w:val="20"/>
                <w:szCs w:val="20"/>
              </w:rPr>
              <w:t>Yes</w:t>
            </w:r>
          </w:p>
        </w:tc>
        <w:tc>
          <w:tcPr>
            <w:tcW w:w="1425" w:type="dxa"/>
            <w:tcMar>
              <w:top w:w="40" w:type="dxa"/>
              <w:left w:w="40" w:type="dxa"/>
              <w:bottom w:w="40" w:type="dxa"/>
              <w:right w:w="40" w:type="dxa"/>
            </w:tcMar>
            <w:vAlign w:val="bottom"/>
          </w:tcPr>
          <w:p w14:paraId="69DE8211" w14:textId="77777777" w:rsidR="00F91E20" w:rsidRDefault="00723A26">
            <w:pPr>
              <w:widowControl w:val="0"/>
              <w:jc w:val="center"/>
              <w:rPr>
                <w:sz w:val="20"/>
                <w:szCs w:val="20"/>
              </w:rPr>
            </w:pPr>
            <w:r>
              <w:rPr>
                <w:sz w:val="20"/>
                <w:szCs w:val="20"/>
              </w:rPr>
              <w:t>Yes</w:t>
            </w:r>
          </w:p>
        </w:tc>
        <w:tc>
          <w:tcPr>
            <w:tcW w:w="1215" w:type="dxa"/>
            <w:tcMar>
              <w:top w:w="40" w:type="dxa"/>
              <w:left w:w="40" w:type="dxa"/>
              <w:bottom w:w="40" w:type="dxa"/>
              <w:right w:w="40" w:type="dxa"/>
            </w:tcMar>
            <w:vAlign w:val="bottom"/>
          </w:tcPr>
          <w:p w14:paraId="1830C089" w14:textId="77777777" w:rsidR="00F91E20" w:rsidRDefault="00723A26">
            <w:pPr>
              <w:widowControl w:val="0"/>
              <w:jc w:val="center"/>
              <w:rPr>
                <w:sz w:val="20"/>
                <w:szCs w:val="20"/>
              </w:rPr>
            </w:pPr>
            <w:r>
              <w:rPr>
                <w:sz w:val="20"/>
                <w:szCs w:val="20"/>
              </w:rPr>
              <w:t>Yes</w:t>
            </w:r>
          </w:p>
        </w:tc>
      </w:tr>
      <w:tr w:rsidR="00F91E20" w14:paraId="0C4BE00D" w14:textId="77777777" w:rsidTr="0063627E">
        <w:trPr>
          <w:trHeight w:val="315"/>
        </w:trPr>
        <w:tc>
          <w:tcPr>
            <w:tcW w:w="1320" w:type="dxa"/>
            <w:tcMar>
              <w:top w:w="40" w:type="dxa"/>
              <w:left w:w="40" w:type="dxa"/>
              <w:bottom w:w="40" w:type="dxa"/>
              <w:right w:w="40" w:type="dxa"/>
            </w:tcMar>
            <w:vAlign w:val="bottom"/>
          </w:tcPr>
          <w:p w14:paraId="2480A890" w14:textId="77777777" w:rsidR="00F91E20" w:rsidRDefault="00723A26">
            <w:pPr>
              <w:widowControl w:val="0"/>
              <w:jc w:val="center"/>
              <w:rPr>
                <w:sz w:val="20"/>
                <w:szCs w:val="20"/>
              </w:rPr>
            </w:pPr>
            <w:r>
              <w:rPr>
                <w:sz w:val="20"/>
                <w:szCs w:val="20"/>
              </w:rPr>
              <w:t>SRRF</w:t>
            </w:r>
          </w:p>
        </w:tc>
        <w:tc>
          <w:tcPr>
            <w:tcW w:w="1275" w:type="dxa"/>
            <w:tcMar>
              <w:top w:w="40" w:type="dxa"/>
              <w:left w:w="40" w:type="dxa"/>
              <w:bottom w:w="40" w:type="dxa"/>
              <w:right w:w="40" w:type="dxa"/>
            </w:tcMar>
            <w:vAlign w:val="bottom"/>
          </w:tcPr>
          <w:p w14:paraId="76CF73AD" w14:textId="77777777" w:rsidR="00F91E20" w:rsidRDefault="00723A26">
            <w:pPr>
              <w:widowControl w:val="0"/>
              <w:jc w:val="center"/>
              <w:rPr>
                <w:sz w:val="20"/>
                <w:szCs w:val="20"/>
              </w:rPr>
            </w:pPr>
            <w:r>
              <w:rPr>
                <w:sz w:val="20"/>
                <w:szCs w:val="20"/>
              </w:rPr>
              <w:t xml:space="preserve">Gustafsson </w:t>
            </w:r>
            <w:r>
              <w:rPr>
                <w:i/>
                <w:sz w:val="20"/>
                <w:szCs w:val="20"/>
              </w:rPr>
              <w:t xml:space="preserve">et al., 2016 </w:t>
            </w:r>
            <w:hyperlink r:id="rId16">
              <w:r>
                <w:rPr>
                  <w:sz w:val="20"/>
                  <w:szCs w:val="20"/>
                  <w:vertAlign w:val="superscript"/>
                </w:rPr>
                <w:t>6</w:t>
              </w:r>
            </w:hyperlink>
          </w:p>
        </w:tc>
        <w:tc>
          <w:tcPr>
            <w:tcW w:w="2265" w:type="dxa"/>
            <w:tcMar>
              <w:top w:w="40" w:type="dxa"/>
              <w:left w:w="40" w:type="dxa"/>
              <w:bottom w:w="40" w:type="dxa"/>
              <w:right w:w="40" w:type="dxa"/>
            </w:tcMar>
            <w:vAlign w:val="bottom"/>
          </w:tcPr>
          <w:p w14:paraId="0F95AC1C" w14:textId="77777777" w:rsidR="00F91E20" w:rsidRDefault="00723A26">
            <w:pPr>
              <w:widowControl w:val="0"/>
              <w:jc w:val="center"/>
              <w:rPr>
                <w:sz w:val="20"/>
                <w:szCs w:val="20"/>
              </w:rPr>
            </w:pPr>
            <w:r>
              <w:rPr>
                <w:sz w:val="20"/>
                <w:szCs w:val="20"/>
              </w:rPr>
              <w:t>Radiality and temporal cross-correlation</w:t>
            </w:r>
          </w:p>
        </w:tc>
        <w:tc>
          <w:tcPr>
            <w:tcW w:w="1905" w:type="dxa"/>
            <w:tcMar>
              <w:top w:w="40" w:type="dxa"/>
              <w:left w:w="40" w:type="dxa"/>
              <w:bottom w:w="40" w:type="dxa"/>
              <w:right w:w="40" w:type="dxa"/>
            </w:tcMar>
            <w:vAlign w:val="bottom"/>
          </w:tcPr>
          <w:p w14:paraId="7BF8762D" w14:textId="77777777" w:rsidR="00F91E20" w:rsidRDefault="00723A26">
            <w:pPr>
              <w:widowControl w:val="0"/>
              <w:jc w:val="center"/>
              <w:rPr>
                <w:sz w:val="20"/>
                <w:szCs w:val="20"/>
              </w:rPr>
            </w:pPr>
            <w:r>
              <w:rPr>
                <w:sz w:val="20"/>
                <w:szCs w:val="20"/>
              </w:rPr>
              <w:t>Fiji</w:t>
            </w:r>
          </w:p>
        </w:tc>
        <w:tc>
          <w:tcPr>
            <w:tcW w:w="1620" w:type="dxa"/>
            <w:shd w:val="clear" w:color="auto" w:fill="auto"/>
            <w:tcMar>
              <w:top w:w="40" w:type="dxa"/>
              <w:left w:w="40" w:type="dxa"/>
              <w:bottom w:w="40" w:type="dxa"/>
              <w:right w:w="40" w:type="dxa"/>
            </w:tcMar>
            <w:vAlign w:val="bottom"/>
          </w:tcPr>
          <w:p w14:paraId="05DA8B8C" w14:textId="77777777" w:rsidR="00F91E20" w:rsidRDefault="00723A26">
            <w:pPr>
              <w:widowControl w:val="0"/>
              <w:jc w:val="center"/>
              <w:rPr>
                <w:sz w:val="20"/>
                <w:szCs w:val="20"/>
              </w:rPr>
            </w:pPr>
            <w:r>
              <w:rPr>
                <w:sz w:val="20"/>
                <w:szCs w:val="20"/>
              </w:rPr>
              <w:t>Yes</w:t>
            </w:r>
          </w:p>
        </w:tc>
        <w:tc>
          <w:tcPr>
            <w:tcW w:w="2085" w:type="dxa"/>
            <w:tcMar>
              <w:top w:w="40" w:type="dxa"/>
              <w:left w:w="40" w:type="dxa"/>
              <w:bottom w:w="40" w:type="dxa"/>
              <w:right w:w="40" w:type="dxa"/>
            </w:tcMar>
            <w:vAlign w:val="bottom"/>
          </w:tcPr>
          <w:p w14:paraId="2C281C41" w14:textId="77777777" w:rsidR="00F91E20" w:rsidRDefault="00723A26">
            <w:pPr>
              <w:widowControl w:val="0"/>
              <w:jc w:val="center"/>
              <w:rPr>
                <w:sz w:val="20"/>
                <w:szCs w:val="20"/>
              </w:rPr>
            </w:pPr>
            <w:r>
              <w:rPr>
                <w:sz w:val="20"/>
                <w:szCs w:val="20"/>
              </w:rPr>
              <w:t>No</w:t>
            </w:r>
          </w:p>
        </w:tc>
        <w:tc>
          <w:tcPr>
            <w:tcW w:w="1425" w:type="dxa"/>
            <w:tcMar>
              <w:top w:w="40" w:type="dxa"/>
              <w:left w:w="40" w:type="dxa"/>
              <w:bottom w:w="40" w:type="dxa"/>
              <w:right w:w="40" w:type="dxa"/>
            </w:tcMar>
            <w:vAlign w:val="bottom"/>
          </w:tcPr>
          <w:p w14:paraId="19D0AB67" w14:textId="77777777" w:rsidR="00F91E20" w:rsidRDefault="00723A26">
            <w:pPr>
              <w:widowControl w:val="0"/>
              <w:jc w:val="center"/>
              <w:rPr>
                <w:sz w:val="20"/>
                <w:szCs w:val="20"/>
              </w:rPr>
            </w:pPr>
            <w:r>
              <w:rPr>
                <w:sz w:val="20"/>
                <w:szCs w:val="20"/>
              </w:rPr>
              <w:t>No</w:t>
            </w:r>
          </w:p>
        </w:tc>
        <w:tc>
          <w:tcPr>
            <w:tcW w:w="1215" w:type="dxa"/>
            <w:tcMar>
              <w:top w:w="40" w:type="dxa"/>
              <w:left w:w="40" w:type="dxa"/>
              <w:bottom w:w="40" w:type="dxa"/>
              <w:right w:w="40" w:type="dxa"/>
            </w:tcMar>
            <w:vAlign w:val="bottom"/>
          </w:tcPr>
          <w:p w14:paraId="754C5453" w14:textId="77777777" w:rsidR="00F91E20" w:rsidRDefault="00723A26">
            <w:pPr>
              <w:widowControl w:val="0"/>
              <w:jc w:val="center"/>
              <w:rPr>
                <w:sz w:val="20"/>
                <w:szCs w:val="20"/>
              </w:rPr>
            </w:pPr>
            <w:r>
              <w:rPr>
                <w:sz w:val="20"/>
                <w:szCs w:val="20"/>
              </w:rPr>
              <w:t>Yes</w:t>
            </w:r>
          </w:p>
        </w:tc>
      </w:tr>
      <w:tr w:rsidR="00F91E20" w14:paraId="222C7B2F" w14:textId="77777777" w:rsidTr="0063627E">
        <w:trPr>
          <w:trHeight w:val="315"/>
        </w:trPr>
        <w:tc>
          <w:tcPr>
            <w:tcW w:w="1320" w:type="dxa"/>
            <w:tcMar>
              <w:top w:w="40" w:type="dxa"/>
              <w:left w:w="40" w:type="dxa"/>
              <w:bottom w:w="40" w:type="dxa"/>
              <w:right w:w="40" w:type="dxa"/>
            </w:tcMar>
            <w:vAlign w:val="bottom"/>
          </w:tcPr>
          <w:p w14:paraId="55DF1BC7" w14:textId="77777777" w:rsidR="00F91E20" w:rsidRDefault="00723A26">
            <w:pPr>
              <w:widowControl w:val="0"/>
              <w:jc w:val="center"/>
              <w:rPr>
                <w:sz w:val="20"/>
                <w:szCs w:val="20"/>
              </w:rPr>
            </w:pPr>
            <w:r>
              <w:rPr>
                <w:sz w:val="20"/>
                <w:szCs w:val="20"/>
              </w:rPr>
              <w:t>MUSICAL</w:t>
            </w:r>
          </w:p>
        </w:tc>
        <w:tc>
          <w:tcPr>
            <w:tcW w:w="1275" w:type="dxa"/>
            <w:shd w:val="clear" w:color="auto" w:fill="auto"/>
            <w:tcMar>
              <w:top w:w="40" w:type="dxa"/>
              <w:left w:w="40" w:type="dxa"/>
              <w:bottom w:w="40" w:type="dxa"/>
              <w:right w:w="40" w:type="dxa"/>
            </w:tcMar>
            <w:vAlign w:val="bottom"/>
          </w:tcPr>
          <w:p w14:paraId="6B397EF3" w14:textId="77777777" w:rsidR="00F91E20" w:rsidRDefault="00723A26">
            <w:pPr>
              <w:widowControl w:val="0"/>
              <w:jc w:val="center"/>
              <w:rPr>
                <w:sz w:val="20"/>
                <w:szCs w:val="20"/>
              </w:rPr>
            </w:pPr>
            <w:r>
              <w:rPr>
                <w:sz w:val="20"/>
                <w:szCs w:val="20"/>
              </w:rPr>
              <w:t xml:space="preserve">Agarwal </w:t>
            </w:r>
            <w:r>
              <w:rPr>
                <w:i/>
                <w:sz w:val="20"/>
                <w:szCs w:val="20"/>
              </w:rPr>
              <w:t>et al., 2016</w:t>
            </w:r>
            <w:hyperlink r:id="rId17">
              <w:r>
                <w:rPr>
                  <w:sz w:val="20"/>
                  <w:szCs w:val="20"/>
                  <w:vertAlign w:val="superscript"/>
                </w:rPr>
                <w:t>7</w:t>
              </w:r>
            </w:hyperlink>
          </w:p>
        </w:tc>
        <w:tc>
          <w:tcPr>
            <w:tcW w:w="2265" w:type="dxa"/>
            <w:shd w:val="clear" w:color="auto" w:fill="auto"/>
            <w:tcMar>
              <w:top w:w="40" w:type="dxa"/>
              <w:left w:w="40" w:type="dxa"/>
              <w:bottom w:w="40" w:type="dxa"/>
              <w:right w:w="40" w:type="dxa"/>
            </w:tcMar>
            <w:vAlign w:val="bottom"/>
          </w:tcPr>
          <w:p w14:paraId="17C8326E" w14:textId="77777777" w:rsidR="00F91E20" w:rsidRDefault="00723A26">
            <w:pPr>
              <w:widowControl w:val="0"/>
              <w:jc w:val="center"/>
              <w:rPr>
                <w:sz w:val="20"/>
                <w:szCs w:val="20"/>
              </w:rPr>
            </w:pPr>
            <w:r>
              <w:rPr>
                <w:sz w:val="20"/>
                <w:szCs w:val="20"/>
              </w:rPr>
              <w:t>Multiple signal classification</w:t>
            </w:r>
          </w:p>
        </w:tc>
        <w:tc>
          <w:tcPr>
            <w:tcW w:w="1905" w:type="dxa"/>
            <w:tcMar>
              <w:top w:w="40" w:type="dxa"/>
              <w:left w:w="40" w:type="dxa"/>
              <w:bottom w:w="40" w:type="dxa"/>
              <w:right w:w="40" w:type="dxa"/>
            </w:tcMar>
            <w:vAlign w:val="bottom"/>
          </w:tcPr>
          <w:p w14:paraId="76436D11" w14:textId="77777777" w:rsidR="00F91E20" w:rsidRDefault="00723A26">
            <w:pPr>
              <w:widowControl w:val="0"/>
              <w:jc w:val="center"/>
              <w:rPr>
                <w:sz w:val="20"/>
                <w:szCs w:val="20"/>
              </w:rPr>
            </w:pPr>
            <w:r>
              <w:rPr>
                <w:sz w:val="20"/>
                <w:szCs w:val="20"/>
              </w:rPr>
              <w:t>Fiji</w:t>
            </w:r>
          </w:p>
        </w:tc>
        <w:tc>
          <w:tcPr>
            <w:tcW w:w="1620" w:type="dxa"/>
            <w:tcMar>
              <w:top w:w="40" w:type="dxa"/>
              <w:left w:w="40" w:type="dxa"/>
              <w:bottom w:w="40" w:type="dxa"/>
              <w:right w:w="40" w:type="dxa"/>
            </w:tcMar>
            <w:vAlign w:val="bottom"/>
          </w:tcPr>
          <w:p w14:paraId="13BC0D7B" w14:textId="77777777" w:rsidR="00F91E20" w:rsidRDefault="00723A26">
            <w:pPr>
              <w:widowControl w:val="0"/>
              <w:jc w:val="center"/>
              <w:rPr>
                <w:sz w:val="20"/>
                <w:szCs w:val="20"/>
              </w:rPr>
            </w:pPr>
            <w:r>
              <w:rPr>
                <w:sz w:val="20"/>
                <w:szCs w:val="20"/>
              </w:rPr>
              <w:t>Yes</w:t>
            </w:r>
          </w:p>
        </w:tc>
        <w:tc>
          <w:tcPr>
            <w:tcW w:w="2085" w:type="dxa"/>
            <w:tcMar>
              <w:top w:w="40" w:type="dxa"/>
              <w:left w:w="40" w:type="dxa"/>
              <w:bottom w:w="40" w:type="dxa"/>
              <w:right w:w="40" w:type="dxa"/>
            </w:tcMar>
            <w:vAlign w:val="bottom"/>
          </w:tcPr>
          <w:p w14:paraId="305DD52B" w14:textId="77777777" w:rsidR="00F91E20" w:rsidRDefault="00723A26">
            <w:pPr>
              <w:widowControl w:val="0"/>
              <w:jc w:val="center"/>
              <w:rPr>
                <w:sz w:val="20"/>
                <w:szCs w:val="20"/>
              </w:rPr>
            </w:pPr>
            <w:r>
              <w:rPr>
                <w:sz w:val="20"/>
                <w:szCs w:val="20"/>
              </w:rPr>
              <w:t>No</w:t>
            </w:r>
          </w:p>
        </w:tc>
        <w:tc>
          <w:tcPr>
            <w:tcW w:w="1425" w:type="dxa"/>
            <w:tcMar>
              <w:top w:w="40" w:type="dxa"/>
              <w:left w:w="40" w:type="dxa"/>
              <w:bottom w:w="40" w:type="dxa"/>
              <w:right w:w="40" w:type="dxa"/>
            </w:tcMar>
            <w:vAlign w:val="bottom"/>
          </w:tcPr>
          <w:p w14:paraId="1AC78FEA" w14:textId="77777777" w:rsidR="00F91E20" w:rsidRDefault="00723A26">
            <w:pPr>
              <w:widowControl w:val="0"/>
              <w:jc w:val="center"/>
              <w:rPr>
                <w:sz w:val="20"/>
                <w:szCs w:val="20"/>
              </w:rPr>
            </w:pPr>
            <w:r>
              <w:rPr>
                <w:sz w:val="20"/>
                <w:szCs w:val="20"/>
              </w:rPr>
              <w:t>No</w:t>
            </w:r>
          </w:p>
        </w:tc>
        <w:tc>
          <w:tcPr>
            <w:tcW w:w="1215" w:type="dxa"/>
            <w:tcMar>
              <w:top w:w="40" w:type="dxa"/>
              <w:left w:w="40" w:type="dxa"/>
              <w:bottom w:w="40" w:type="dxa"/>
              <w:right w:w="40" w:type="dxa"/>
            </w:tcMar>
            <w:vAlign w:val="bottom"/>
          </w:tcPr>
          <w:p w14:paraId="74E8CDCF" w14:textId="77777777" w:rsidR="00F91E20" w:rsidRDefault="00723A26">
            <w:pPr>
              <w:widowControl w:val="0"/>
              <w:jc w:val="center"/>
              <w:rPr>
                <w:sz w:val="20"/>
                <w:szCs w:val="20"/>
              </w:rPr>
            </w:pPr>
            <w:r>
              <w:rPr>
                <w:sz w:val="20"/>
                <w:szCs w:val="20"/>
              </w:rPr>
              <w:t>Yes</w:t>
            </w:r>
          </w:p>
        </w:tc>
      </w:tr>
      <w:tr w:rsidR="00F91E20" w14:paraId="70F32CCD" w14:textId="77777777" w:rsidTr="0063627E">
        <w:trPr>
          <w:trHeight w:val="315"/>
        </w:trPr>
        <w:tc>
          <w:tcPr>
            <w:tcW w:w="1320" w:type="dxa"/>
            <w:tcMar>
              <w:top w:w="40" w:type="dxa"/>
              <w:left w:w="40" w:type="dxa"/>
              <w:bottom w:w="40" w:type="dxa"/>
              <w:right w:w="40" w:type="dxa"/>
            </w:tcMar>
            <w:vAlign w:val="bottom"/>
          </w:tcPr>
          <w:p w14:paraId="1F7E6CA7" w14:textId="77777777" w:rsidR="00F91E20" w:rsidRDefault="00723A26">
            <w:pPr>
              <w:widowControl w:val="0"/>
              <w:jc w:val="center"/>
              <w:rPr>
                <w:sz w:val="20"/>
                <w:szCs w:val="20"/>
              </w:rPr>
            </w:pPr>
            <w:r>
              <w:rPr>
                <w:sz w:val="20"/>
                <w:szCs w:val="20"/>
              </w:rPr>
              <w:t>SOFI</w:t>
            </w:r>
          </w:p>
        </w:tc>
        <w:tc>
          <w:tcPr>
            <w:tcW w:w="1275" w:type="dxa"/>
            <w:tcMar>
              <w:top w:w="40" w:type="dxa"/>
              <w:left w:w="40" w:type="dxa"/>
              <w:bottom w:w="40" w:type="dxa"/>
              <w:right w:w="40" w:type="dxa"/>
            </w:tcMar>
            <w:vAlign w:val="bottom"/>
          </w:tcPr>
          <w:p w14:paraId="501B0D72" w14:textId="77777777" w:rsidR="00F91E20" w:rsidRDefault="00723A26">
            <w:pPr>
              <w:widowControl w:val="0"/>
              <w:jc w:val="center"/>
              <w:rPr>
                <w:sz w:val="20"/>
                <w:szCs w:val="20"/>
              </w:rPr>
            </w:pPr>
            <w:r>
              <w:rPr>
                <w:sz w:val="20"/>
                <w:szCs w:val="20"/>
              </w:rPr>
              <w:t xml:space="preserve">Dertinger </w:t>
            </w:r>
            <w:r>
              <w:rPr>
                <w:i/>
                <w:sz w:val="20"/>
                <w:szCs w:val="20"/>
              </w:rPr>
              <w:t>et al., 2009</w:t>
            </w:r>
            <w:hyperlink r:id="rId18">
              <w:r>
                <w:rPr>
                  <w:sz w:val="20"/>
                  <w:szCs w:val="20"/>
                  <w:vertAlign w:val="superscript"/>
                </w:rPr>
                <w:t>8</w:t>
              </w:r>
            </w:hyperlink>
          </w:p>
        </w:tc>
        <w:tc>
          <w:tcPr>
            <w:tcW w:w="2265" w:type="dxa"/>
            <w:tcMar>
              <w:top w:w="40" w:type="dxa"/>
              <w:left w:w="40" w:type="dxa"/>
              <w:bottom w:w="40" w:type="dxa"/>
              <w:right w:w="40" w:type="dxa"/>
            </w:tcMar>
            <w:vAlign w:val="bottom"/>
          </w:tcPr>
          <w:p w14:paraId="38DFB2E5" w14:textId="77777777" w:rsidR="00F91E20" w:rsidRDefault="00723A26">
            <w:pPr>
              <w:widowControl w:val="0"/>
              <w:jc w:val="center"/>
              <w:rPr>
                <w:sz w:val="20"/>
                <w:szCs w:val="20"/>
              </w:rPr>
            </w:pPr>
            <w:r>
              <w:rPr>
                <w:sz w:val="20"/>
                <w:szCs w:val="20"/>
              </w:rPr>
              <w:t>Temporal cross-correlation</w:t>
            </w:r>
          </w:p>
        </w:tc>
        <w:tc>
          <w:tcPr>
            <w:tcW w:w="1905" w:type="dxa"/>
            <w:tcMar>
              <w:top w:w="40" w:type="dxa"/>
              <w:left w:w="40" w:type="dxa"/>
              <w:bottom w:w="40" w:type="dxa"/>
              <w:right w:w="40" w:type="dxa"/>
            </w:tcMar>
            <w:vAlign w:val="bottom"/>
          </w:tcPr>
          <w:p w14:paraId="78DEC4EB" w14:textId="77777777" w:rsidR="00F91E20" w:rsidRDefault="00723A26">
            <w:pPr>
              <w:widowControl w:val="0"/>
              <w:jc w:val="center"/>
              <w:rPr>
                <w:sz w:val="20"/>
                <w:szCs w:val="20"/>
              </w:rPr>
            </w:pPr>
            <w:r>
              <w:rPr>
                <w:sz w:val="20"/>
                <w:szCs w:val="20"/>
              </w:rPr>
              <w:t>MATLAB</w:t>
            </w:r>
          </w:p>
        </w:tc>
        <w:tc>
          <w:tcPr>
            <w:tcW w:w="1620" w:type="dxa"/>
            <w:tcMar>
              <w:top w:w="40" w:type="dxa"/>
              <w:left w:w="40" w:type="dxa"/>
              <w:bottom w:w="40" w:type="dxa"/>
              <w:right w:w="40" w:type="dxa"/>
            </w:tcMar>
            <w:vAlign w:val="bottom"/>
          </w:tcPr>
          <w:p w14:paraId="15356163" w14:textId="77777777" w:rsidR="00F91E20" w:rsidRDefault="00723A26">
            <w:pPr>
              <w:widowControl w:val="0"/>
              <w:jc w:val="center"/>
              <w:rPr>
                <w:sz w:val="20"/>
                <w:szCs w:val="20"/>
              </w:rPr>
            </w:pPr>
            <w:r>
              <w:rPr>
                <w:sz w:val="20"/>
                <w:szCs w:val="20"/>
              </w:rPr>
              <w:t>No</w:t>
            </w:r>
          </w:p>
        </w:tc>
        <w:tc>
          <w:tcPr>
            <w:tcW w:w="2085" w:type="dxa"/>
            <w:tcMar>
              <w:top w:w="40" w:type="dxa"/>
              <w:left w:w="40" w:type="dxa"/>
              <w:bottom w:w="40" w:type="dxa"/>
              <w:right w:w="40" w:type="dxa"/>
            </w:tcMar>
            <w:vAlign w:val="bottom"/>
          </w:tcPr>
          <w:p w14:paraId="3BE5C9BD" w14:textId="77777777" w:rsidR="00F91E20" w:rsidRDefault="00723A26">
            <w:pPr>
              <w:widowControl w:val="0"/>
              <w:jc w:val="center"/>
              <w:rPr>
                <w:sz w:val="20"/>
                <w:szCs w:val="20"/>
              </w:rPr>
            </w:pPr>
            <w:r>
              <w:rPr>
                <w:sz w:val="20"/>
                <w:szCs w:val="20"/>
              </w:rPr>
              <w:t>No</w:t>
            </w:r>
          </w:p>
        </w:tc>
        <w:tc>
          <w:tcPr>
            <w:tcW w:w="1425" w:type="dxa"/>
            <w:tcMar>
              <w:top w:w="40" w:type="dxa"/>
              <w:left w:w="40" w:type="dxa"/>
              <w:bottom w:w="40" w:type="dxa"/>
              <w:right w:w="40" w:type="dxa"/>
            </w:tcMar>
            <w:vAlign w:val="bottom"/>
          </w:tcPr>
          <w:p w14:paraId="79792907" w14:textId="77777777" w:rsidR="00F91E20" w:rsidRDefault="00723A26">
            <w:pPr>
              <w:widowControl w:val="0"/>
              <w:jc w:val="center"/>
              <w:rPr>
                <w:sz w:val="20"/>
                <w:szCs w:val="20"/>
              </w:rPr>
            </w:pPr>
            <w:r>
              <w:rPr>
                <w:sz w:val="20"/>
                <w:szCs w:val="20"/>
              </w:rPr>
              <w:t>Yes</w:t>
            </w:r>
          </w:p>
        </w:tc>
        <w:tc>
          <w:tcPr>
            <w:tcW w:w="1215" w:type="dxa"/>
            <w:tcMar>
              <w:top w:w="40" w:type="dxa"/>
              <w:left w:w="40" w:type="dxa"/>
              <w:bottom w:w="40" w:type="dxa"/>
              <w:right w:w="40" w:type="dxa"/>
            </w:tcMar>
            <w:vAlign w:val="bottom"/>
          </w:tcPr>
          <w:p w14:paraId="3827FBC9" w14:textId="77777777" w:rsidR="00F91E20" w:rsidRDefault="00723A26">
            <w:pPr>
              <w:widowControl w:val="0"/>
              <w:jc w:val="center"/>
              <w:rPr>
                <w:sz w:val="20"/>
                <w:szCs w:val="20"/>
              </w:rPr>
            </w:pPr>
            <w:r>
              <w:rPr>
                <w:sz w:val="20"/>
                <w:szCs w:val="20"/>
              </w:rPr>
              <w:t>Yes</w:t>
            </w:r>
          </w:p>
        </w:tc>
      </w:tr>
      <w:tr w:rsidR="00F91E20" w14:paraId="5CB11138" w14:textId="77777777" w:rsidTr="0063627E">
        <w:trPr>
          <w:trHeight w:val="315"/>
        </w:trPr>
        <w:tc>
          <w:tcPr>
            <w:tcW w:w="1320" w:type="dxa"/>
            <w:tcMar>
              <w:top w:w="40" w:type="dxa"/>
              <w:left w:w="40" w:type="dxa"/>
              <w:bottom w:w="40" w:type="dxa"/>
              <w:right w:w="40" w:type="dxa"/>
            </w:tcMar>
            <w:vAlign w:val="bottom"/>
          </w:tcPr>
          <w:p w14:paraId="3C0AAC0F" w14:textId="77777777" w:rsidR="00F91E20" w:rsidRDefault="00723A26">
            <w:pPr>
              <w:widowControl w:val="0"/>
              <w:jc w:val="center"/>
              <w:rPr>
                <w:sz w:val="20"/>
                <w:szCs w:val="20"/>
              </w:rPr>
            </w:pPr>
            <w:r>
              <w:rPr>
                <w:sz w:val="20"/>
                <w:szCs w:val="20"/>
              </w:rPr>
              <w:t>SACD</w:t>
            </w:r>
          </w:p>
        </w:tc>
        <w:tc>
          <w:tcPr>
            <w:tcW w:w="1275" w:type="dxa"/>
            <w:shd w:val="clear" w:color="auto" w:fill="auto"/>
            <w:tcMar>
              <w:top w:w="40" w:type="dxa"/>
              <w:left w:w="40" w:type="dxa"/>
              <w:bottom w:w="40" w:type="dxa"/>
              <w:right w:w="40" w:type="dxa"/>
            </w:tcMar>
            <w:vAlign w:val="bottom"/>
          </w:tcPr>
          <w:p w14:paraId="00779165" w14:textId="77777777" w:rsidR="00F91E20" w:rsidRDefault="00723A26">
            <w:pPr>
              <w:widowControl w:val="0"/>
              <w:jc w:val="center"/>
              <w:rPr>
                <w:b/>
                <w:sz w:val="20"/>
                <w:szCs w:val="20"/>
              </w:rPr>
            </w:pPr>
            <w:r>
              <w:rPr>
                <w:sz w:val="20"/>
                <w:szCs w:val="20"/>
              </w:rPr>
              <w:t xml:space="preserve">Zhao </w:t>
            </w:r>
            <w:r>
              <w:rPr>
                <w:i/>
                <w:sz w:val="20"/>
                <w:szCs w:val="20"/>
              </w:rPr>
              <w:t>et al., 2020</w:t>
            </w:r>
            <w:hyperlink r:id="rId19">
              <w:r>
                <w:rPr>
                  <w:sz w:val="20"/>
                  <w:szCs w:val="20"/>
                  <w:vertAlign w:val="superscript"/>
                </w:rPr>
                <w:t>9</w:t>
              </w:r>
            </w:hyperlink>
          </w:p>
        </w:tc>
        <w:tc>
          <w:tcPr>
            <w:tcW w:w="2265" w:type="dxa"/>
            <w:shd w:val="clear" w:color="auto" w:fill="auto"/>
            <w:tcMar>
              <w:top w:w="40" w:type="dxa"/>
              <w:left w:w="40" w:type="dxa"/>
              <w:bottom w:w="40" w:type="dxa"/>
              <w:right w:w="40" w:type="dxa"/>
            </w:tcMar>
            <w:vAlign w:val="bottom"/>
          </w:tcPr>
          <w:p w14:paraId="06119049" w14:textId="77777777" w:rsidR="00F91E20" w:rsidRDefault="00723A26">
            <w:pPr>
              <w:widowControl w:val="0"/>
              <w:jc w:val="center"/>
              <w:rPr>
                <w:sz w:val="20"/>
                <w:szCs w:val="20"/>
              </w:rPr>
            </w:pPr>
            <w:r>
              <w:rPr>
                <w:sz w:val="20"/>
                <w:szCs w:val="20"/>
              </w:rPr>
              <w:t>Deconvolution, temporal cross-correlation</w:t>
            </w:r>
          </w:p>
        </w:tc>
        <w:tc>
          <w:tcPr>
            <w:tcW w:w="1905" w:type="dxa"/>
            <w:shd w:val="clear" w:color="auto" w:fill="auto"/>
            <w:tcMar>
              <w:top w:w="40" w:type="dxa"/>
              <w:left w:w="40" w:type="dxa"/>
              <w:bottom w:w="40" w:type="dxa"/>
              <w:right w:w="40" w:type="dxa"/>
            </w:tcMar>
            <w:vAlign w:val="bottom"/>
          </w:tcPr>
          <w:p w14:paraId="6AD8E3A9" w14:textId="77777777" w:rsidR="00F91E20" w:rsidRDefault="00723A26">
            <w:pPr>
              <w:widowControl w:val="0"/>
              <w:jc w:val="center"/>
              <w:rPr>
                <w:sz w:val="20"/>
                <w:szCs w:val="20"/>
              </w:rPr>
            </w:pPr>
            <w:r>
              <w:rPr>
                <w:sz w:val="20"/>
                <w:szCs w:val="20"/>
              </w:rPr>
              <w:t>MATLAB</w:t>
            </w:r>
          </w:p>
        </w:tc>
        <w:tc>
          <w:tcPr>
            <w:tcW w:w="1620" w:type="dxa"/>
            <w:shd w:val="clear" w:color="auto" w:fill="auto"/>
            <w:tcMar>
              <w:top w:w="40" w:type="dxa"/>
              <w:left w:w="40" w:type="dxa"/>
              <w:bottom w:w="40" w:type="dxa"/>
              <w:right w:w="40" w:type="dxa"/>
            </w:tcMar>
            <w:vAlign w:val="bottom"/>
          </w:tcPr>
          <w:p w14:paraId="1DA2B700" w14:textId="77777777" w:rsidR="00F91E20" w:rsidRDefault="00723A26">
            <w:pPr>
              <w:widowControl w:val="0"/>
              <w:jc w:val="center"/>
              <w:rPr>
                <w:sz w:val="20"/>
                <w:szCs w:val="20"/>
              </w:rPr>
            </w:pPr>
            <w:r>
              <w:rPr>
                <w:sz w:val="20"/>
                <w:szCs w:val="20"/>
              </w:rPr>
              <w:t>No</w:t>
            </w:r>
          </w:p>
        </w:tc>
        <w:tc>
          <w:tcPr>
            <w:tcW w:w="2085" w:type="dxa"/>
            <w:shd w:val="clear" w:color="auto" w:fill="auto"/>
            <w:tcMar>
              <w:top w:w="40" w:type="dxa"/>
              <w:left w:w="40" w:type="dxa"/>
              <w:bottom w:w="40" w:type="dxa"/>
              <w:right w:w="40" w:type="dxa"/>
            </w:tcMar>
            <w:vAlign w:val="bottom"/>
          </w:tcPr>
          <w:p w14:paraId="0653451C" w14:textId="77777777" w:rsidR="00F91E20" w:rsidRDefault="00723A26">
            <w:pPr>
              <w:widowControl w:val="0"/>
              <w:jc w:val="center"/>
              <w:rPr>
                <w:sz w:val="20"/>
                <w:szCs w:val="20"/>
              </w:rPr>
            </w:pPr>
            <w:r>
              <w:rPr>
                <w:sz w:val="20"/>
                <w:szCs w:val="20"/>
              </w:rPr>
              <w:t>No</w:t>
            </w:r>
          </w:p>
        </w:tc>
        <w:tc>
          <w:tcPr>
            <w:tcW w:w="1425" w:type="dxa"/>
            <w:shd w:val="clear" w:color="auto" w:fill="auto"/>
            <w:tcMar>
              <w:top w:w="40" w:type="dxa"/>
              <w:left w:w="40" w:type="dxa"/>
              <w:bottom w:w="40" w:type="dxa"/>
              <w:right w:w="40" w:type="dxa"/>
            </w:tcMar>
            <w:vAlign w:val="bottom"/>
          </w:tcPr>
          <w:p w14:paraId="438EE8F0" w14:textId="77777777" w:rsidR="00F91E20" w:rsidRDefault="00723A26">
            <w:pPr>
              <w:widowControl w:val="0"/>
              <w:jc w:val="center"/>
              <w:rPr>
                <w:sz w:val="20"/>
                <w:szCs w:val="20"/>
              </w:rPr>
            </w:pPr>
            <w:r>
              <w:rPr>
                <w:sz w:val="20"/>
                <w:szCs w:val="20"/>
              </w:rPr>
              <w:t>No</w:t>
            </w:r>
          </w:p>
        </w:tc>
        <w:tc>
          <w:tcPr>
            <w:tcW w:w="1215" w:type="dxa"/>
            <w:shd w:val="clear" w:color="auto" w:fill="auto"/>
            <w:tcMar>
              <w:top w:w="40" w:type="dxa"/>
              <w:left w:w="40" w:type="dxa"/>
              <w:bottom w:w="40" w:type="dxa"/>
              <w:right w:w="40" w:type="dxa"/>
            </w:tcMar>
            <w:vAlign w:val="bottom"/>
          </w:tcPr>
          <w:p w14:paraId="5C8B07A4" w14:textId="77777777" w:rsidR="00F91E20" w:rsidRDefault="00723A26">
            <w:pPr>
              <w:widowControl w:val="0"/>
              <w:jc w:val="center"/>
              <w:rPr>
                <w:sz w:val="20"/>
                <w:szCs w:val="20"/>
              </w:rPr>
            </w:pPr>
            <w:r>
              <w:rPr>
                <w:sz w:val="20"/>
                <w:szCs w:val="20"/>
              </w:rPr>
              <w:t>?</w:t>
            </w:r>
          </w:p>
        </w:tc>
      </w:tr>
    </w:tbl>
    <w:p w14:paraId="0FEE67BD" w14:textId="77777777" w:rsidR="00F91E20" w:rsidRDefault="00F91E20"/>
    <w:p w14:paraId="480E81B2" w14:textId="77777777" w:rsidR="00F91E20" w:rsidRDefault="00723A26">
      <w:pPr>
        <w:sectPr w:rsidR="00F91E20">
          <w:pgSz w:w="15840" w:h="12240" w:orient="landscape"/>
          <w:pgMar w:top="1440" w:right="1440" w:bottom="1440" w:left="1440" w:header="720" w:footer="720" w:gutter="0"/>
          <w:cols w:space="720"/>
        </w:sectPr>
      </w:pPr>
      <w:r>
        <w:rPr>
          <w:b/>
        </w:rPr>
        <w:t>Supplementary Table 1:</w:t>
      </w:r>
      <w:r>
        <w:t xml:space="preserve"> Comparison of fluctuation-based super-resolution microscopy methods.</w:t>
      </w:r>
    </w:p>
    <w:p w14:paraId="6F9260CE" w14:textId="77777777" w:rsidR="00F91E20" w:rsidRDefault="00F91E20">
      <w:pPr>
        <w:pStyle w:val="Heading1"/>
      </w:pPr>
      <w:bookmarkStart w:id="10" w:name="_u8p5yxkaebs6" w:colFirst="0" w:colLast="0"/>
      <w:bookmarkEnd w:id="10"/>
    </w:p>
    <w:tbl>
      <w:tblPr>
        <w:tblStyle w:val="a0"/>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4680"/>
        <w:gridCol w:w="4680"/>
      </w:tblGrid>
      <w:tr w:rsidR="00F91E20" w14:paraId="7A636D8F" w14:textId="77777777" w:rsidTr="0063627E">
        <w:tc>
          <w:tcPr>
            <w:tcW w:w="4680" w:type="dxa"/>
            <w:shd w:val="clear" w:color="auto" w:fill="auto"/>
            <w:tcMar>
              <w:top w:w="100" w:type="dxa"/>
              <w:left w:w="100" w:type="dxa"/>
              <w:bottom w:w="100" w:type="dxa"/>
              <w:right w:w="100" w:type="dxa"/>
            </w:tcMar>
          </w:tcPr>
          <w:p w14:paraId="5D98A230" w14:textId="77777777" w:rsidR="00F91E20" w:rsidRDefault="00723A26">
            <w:pPr>
              <w:widowControl w:val="0"/>
              <w:pBdr>
                <w:top w:val="nil"/>
                <w:left w:val="nil"/>
                <w:bottom w:val="nil"/>
                <w:right w:val="nil"/>
                <w:between w:val="nil"/>
              </w:pBdr>
              <w:spacing w:line="240" w:lineRule="auto"/>
              <w:jc w:val="left"/>
              <w:rPr>
                <w:b/>
                <w:sz w:val="20"/>
                <w:szCs w:val="20"/>
              </w:rPr>
            </w:pPr>
            <w:r>
              <w:rPr>
                <w:b/>
                <w:sz w:val="20"/>
                <w:szCs w:val="20"/>
              </w:rPr>
              <w:t>Parameter</w:t>
            </w:r>
          </w:p>
        </w:tc>
        <w:tc>
          <w:tcPr>
            <w:tcW w:w="4680" w:type="dxa"/>
            <w:shd w:val="clear" w:color="auto" w:fill="auto"/>
            <w:tcMar>
              <w:top w:w="100" w:type="dxa"/>
              <w:left w:w="100" w:type="dxa"/>
              <w:bottom w:w="100" w:type="dxa"/>
              <w:right w:w="100" w:type="dxa"/>
            </w:tcMar>
          </w:tcPr>
          <w:p w14:paraId="4393063F" w14:textId="77777777" w:rsidR="00F91E20" w:rsidRDefault="00723A26">
            <w:pPr>
              <w:widowControl w:val="0"/>
              <w:pBdr>
                <w:top w:val="nil"/>
                <w:left w:val="nil"/>
                <w:bottom w:val="nil"/>
                <w:right w:val="nil"/>
                <w:between w:val="nil"/>
              </w:pBdr>
              <w:spacing w:line="240" w:lineRule="auto"/>
              <w:jc w:val="left"/>
              <w:rPr>
                <w:b/>
                <w:sz w:val="20"/>
                <w:szCs w:val="20"/>
              </w:rPr>
            </w:pPr>
            <w:r>
              <w:rPr>
                <w:b/>
                <w:sz w:val="20"/>
                <w:szCs w:val="20"/>
              </w:rPr>
              <w:t>Description</w:t>
            </w:r>
          </w:p>
        </w:tc>
      </w:tr>
      <w:tr w:rsidR="00F91E20" w14:paraId="3E5618E4" w14:textId="77777777" w:rsidTr="0063627E">
        <w:tc>
          <w:tcPr>
            <w:tcW w:w="4680" w:type="dxa"/>
            <w:shd w:val="clear" w:color="auto" w:fill="auto"/>
            <w:tcMar>
              <w:top w:w="100" w:type="dxa"/>
              <w:left w:w="100" w:type="dxa"/>
              <w:bottom w:w="100" w:type="dxa"/>
              <w:right w:w="100" w:type="dxa"/>
            </w:tcMar>
          </w:tcPr>
          <w:p w14:paraId="536EFC83" w14:textId="77777777" w:rsidR="00F91E20" w:rsidRDefault="00723A26">
            <w:pPr>
              <w:widowControl w:val="0"/>
              <w:pBdr>
                <w:top w:val="nil"/>
                <w:left w:val="nil"/>
                <w:bottom w:val="nil"/>
                <w:right w:val="nil"/>
                <w:between w:val="nil"/>
              </w:pBdr>
              <w:spacing w:line="240" w:lineRule="auto"/>
              <w:jc w:val="left"/>
              <w:rPr>
                <w:i/>
                <w:sz w:val="20"/>
                <w:szCs w:val="20"/>
              </w:rPr>
            </w:pPr>
            <w:r>
              <w:rPr>
                <w:sz w:val="20"/>
                <w:szCs w:val="20"/>
              </w:rPr>
              <w:t xml:space="preserve">Magnification </w:t>
            </w:r>
            <w:r>
              <w:rPr>
                <w:i/>
                <w:sz w:val="20"/>
                <w:szCs w:val="20"/>
              </w:rPr>
              <w:t>M</w:t>
            </w:r>
          </w:p>
        </w:tc>
        <w:tc>
          <w:tcPr>
            <w:tcW w:w="4680" w:type="dxa"/>
            <w:shd w:val="clear" w:color="auto" w:fill="auto"/>
            <w:tcMar>
              <w:top w:w="100" w:type="dxa"/>
              <w:left w:w="100" w:type="dxa"/>
              <w:bottom w:w="100" w:type="dxa"/>
              <w:right w:w="100" w:type="dxa"/>
            </w:tcMar>
          </w:tcPr>
          <w:p w14:paraId="63DA0747" w14:textId="77777777" w:rsidR="00F91E20" w:rsidRDefault="00723A26">
            <w:pPr>
              <w:widowControl w:val="0"/>
              <w:pBdr>
                <w:top w:val="nil"/>
                <w:left w:val="nil"/>
                <w:bottom w:val="nil"/>
                <w:right w:val="nil"/>
                <w:between w:val="nil"/>
              </w:pBdr>
              <w:spacing w:line="240" w:lineRule="auto"/>
              <w:jc w:val="left"/>
              <w:rPr>
                <w:sz w:val="18"/>
                <w:szCs w:val="18"/>
              </w:rPr>
            </w:pPr>
            <w:r>
              <w:rPr>
                <w:sz w:val="20"/>
                <w:szCs w:val="20"/>
              </w:rPr>
              <w:t>Define how the camera pixels are split into sub-pixels for the RGC estimation.</w:t>
            </w:r>
          </w:p>
        </w:tc>
      </w:tr>
      <w:tr w:rsidR="00F91E20" w14:paraId="45CFF2C4" w14:textId="77777777" w:rsidTr="0063627E">
        <w:tc>
          <w:tcPr>
            <w:tcW w:w="4680" w:type="dxa"/>
            <w:shd w:val="clear" w:color="auto" w:fill="auto"/>
            <w:tcMar>
              <w:top w:w="100" w:type="dxa"/>
              <w:left w:w="100" w:type="dxa"/>
              <w:bottom w:w="100" w:type="dxa"/>
              <w:right w:w="100" w:type="dxa"/>
            </w:tcMar>
          </w:tcPr>
          <w:p w14:paraId="0805C477" w14:textId="77777777" w:rsidR="00F91E20" w:rsidRDefault="00723A26">
            <w:pPr>
              <w:widowControl w:val="0"/>
              <w:pBdr>
                <w:top w:val="nil"/>
                <w:left w:val="nil"/>
                <w:bottom w:val="nil"/>
                <w:right w:val="nil"/>
                <w:between w:val="nil"/>
              </w:pBdr>
              <w:spacing w:line="240" w:lineRule="auto"/>
              <w:jc w:val="left"/>
              <w:rPr>
                <w:i/>
                <w:sz w:val="20"/>
                <w:szCs w:val="20"/>
              </w:rPr>
            </w:pPr>
            <w:r>
              <w:rPr>
                <w:sz w:val="20"/>
                <w:szCs w:val="20"/>
              </w:rPr>
              <w:t xml:space="preserve">Radius </w:t>
            </w:r>
            <w:r>
              <w:rPr>
                <w:i/>
                <w:sz w:val="20"/>
                <w:szCs w:val="20"/>
              </w:rPr>
              <w:t>R</w:t>
            </w:r>
          </w:p>
        </w:tc>
        <w:tc>
          <w:tcPr>
            <w:tcW w:w="4680" w:type="dxa"/>
            <w:shd w:val="clear" w:color="auto" w:fill="auto"/>
            <w:tcMar>
              <w:top w:w="100" w:type="dxa"/>
              <w:left w:w="100" w:type="dxa"/>
              <w:bottom w:w="100" w:type="dxa"/>
              <w:right w:w="100" w:type="dxa"/>
            </w:tcMar>
          </w:tcPr>
          <w:p w14:paraId="604EB057"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 xml:space="preserve">Define the receptive field size that is used to calculate the RGC, the size should represent the FWHM of the expected PSF. </w:t>
            </w:r>
          </w:p>
        </w:tc>
      </w:tr>
      <w:tr w:rsidR="00F91E20" w14:paraId="11FE6196" w14:textId="77777777" w:rsidTr="0063627E">
        <w:tc>
          <w:tcPr>
            <w:tcW w:w="4680" w:type="dxa"/>
            <w:shd w:val="clear" w:color="auto" w:fill="auto"/>
            <w:tcMar>
              <w:top w:w="100" w:type="dxa"/>
              <w:left w:w="100" w:type="dxa"/>
              <w:bottom w:w="100" w:type="dxa"/>
              <w:right w:w="100" w:type="dxa"/>
            </w:tcMar>
          </w:tcPr>
          <w:p w14:paraId="55A11807" w14:textId="77777777" w:rsidR="00F91E20" w:rsidRDefault="00723A26">
            <w:pPr>
              <w:widowControl w:val="0"/>
              <w:pBdr>
                <w:top w:val="nil"/>
                <w:left w:val="nil"/>
                <w:bottom w:val="nil"/>
                <w:right w:val="nil"/>
                <w:between w:val="nil"/>
              </w:pBdr>
              <w:spacing w:line="240" w:lineRule="auto"/>
              <w:jc w:val="left"/>
              <w:rPr>
                <w:i/>
                <w:sz w:val="20"/>
                <w:szCs w:val="20"/>
              </w:rPr>
            </w:pPr>
            <w:r>
              <w:rPr>
                <w:sz w:val="20"/>
                <w:szCs w:val="20"/>
              </w:rPr>
              <w:t xml:space="preserve">Sensitivity </w:t>
            </w:r>
            <w:r>
              <w:rPr>
                <w:i/>
                <w:sz w:val="20"/>
                <w:szCs w:val="20"/>
              </w:rPr>
              <w:t>S</w:t>
            </w:r>
          </w:p>
        </w:tc>
        <w:tc>
          <w:tcPr>
            <w:tcW w:w="4680" w:type="dxa"/>
            <w:shd w:val="clear" w:color="auto" w:fill="auto"/>
            <w:tcMar>
              <w:top w:w="100" w:type="dxa"/>
              <w:left w:w="100" w:type="dxa"/>
              <w:bottom w:w="100" w:type="dxa"/>
              <w:right w:w="100" w:type="dxa"/>
            </w:tcMar>
          </w:tcPr>
          <w:p w14:paraId="2023A1AE"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Define the sensitivity factor to fine-tune the PSF sharpening power applied by the RGC.</w:t>
            </w:r>
          </w:p>
        </w:tc>
      </w:tr>
      <w:tr w:rsidR="00F91E20" w14:paraId="03070EF2" w14:textId="77777777" w:rsidTr="0063627E">
        <w:tc>
          <w:tcPr>
            <w:tcW w:w="4680" w:type="dxa"/>
            <w:shd w:val="clear" w:color="auto" w:fill="auto"/>
            <w:tcMar>
              <w:top w:w="100" w:type="dxa"/>
              <w:left w:w="100" w:type="dxa"/>
              <w:bottom w:w="100" w:type="dxa"/>
              <w:right w:w="100" w:type="dxa"/>
            </w:tcMar>
          </w:tcPr>
          <w:p w14:paraId="66F27502"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Number of frames for eSRRF</w:t>
            </w:r>
          </w:p>
        </w:tc>
        <w:tc>
          <w:tcPr>
            <w:tcW w:w="4680" w:type="dxa"/>
            <w:shd w:val="clear" w:color="auto" w:fill="auto"/>
            <w:tcMar>
              <w:top w:w="100" w:type="dxa"/>
              <w:left w:w="100" w:type="dxa"/>
              <w:bottom w:w="100" w:type="dxa"/>
              <w:right w:w="100" w:type="dxa"/>
            </w:tcMar>
          </w:tcPr>
          <w:p w14:paraId="7E7FAC6F"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Define the size of the frame window for the temporal analysis.</w:t>
            </w:r>
          </w:p>
        </w:tc>
      </w:tr>
      <w:tr w:rsidR="00F91E20" w14:paraId="32B4A2F5" w14:textId="77777777" w:rsidTr="0063627E">
        <w:tc>
          <w:tcPr>
            <w:tcW w:w="4680" w:type="dxa"/>
            <w:shd w:val="clear" w:color="auto" w:fill="auto"/>
            <w:tcMar>
              <w:top w:w="100" w:type="dxa"/>
              <w:left w:w="100" w:type="dxa"/>
              <w:bottom w:w="100" w:type="dxa"/>
              <w:right w:w="100" w:type="dxa"/>
            </w:tcMar>
          </w:tcPr>
          <w:p w14:paraId="40D50DB1"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 xml:space="preserve">Vibration correction </w:t>
            </w:r>
          </w:p>
        </w:tc>
        <w:tc>
          <w:tcPr>
            <w:tcW w:w="4680" w:type="dxa"/>
            <w:shd w:val="clear" w:color="auto" w:fill="auto"/>
            <w:tcMar>
              <w:top w:w="100" w:type="dxa"/>
              <w:left w:w="100" w:type="dxa"/>
              <w:bottom w:w="100" w:type="dxa"/>
              <w:right w:w="100" w:type="dxa"/>
            </w:tcMar>
          </w:tcPr>
          <w:p w14:paraId="487B067C"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 xml:space="preserve">Activate vibration correction based on cross correlation. </w:t>
            </w:r>
          </w:p>
        </w:tc>
      </w:tr>
      <w:tr w:rsidR="00F91E20" w14:paraId="6C840475" w14:textId="77777777" w:rsidTr="0063627E">
        <w:tc>
          <w:tcPr>
            <w:tcW w:w="4680" w:type="dxa"/>
            <w:shd w:val="clear" w:color="auto" w:fill="auto"/>
            <w:tcMar>
              <w:top w:w="100" w:type="dxa"/>
              <w:left w:w="100" w:type="dxa"/>
              <w:bottom w:w="100" w:type="dxa"/>
              <w:right w:w="100" w:type="dxa"/>
            </w:tcMar>
          </w:tcPr>
          <w:p w14:paraId="56DC57A9"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Temporal analysis method</w:t>
            </w:r>
          </w:p>
        </w:tc>
        <w:tc>
          <w:tcPr>
            <w:tcW w:w="4680" w:type="dxa"/>
            <w:shd w:val="clear" w:color="auto" w:fill="auto"/>
            <w:tcMar>
              <w:top w:w="100" w:type="dxa"/>
              <w:left w:w="100" w:type="dxa"/>
              <w:bottom w:w="100" w:type="dxa"/>
              <w:right w:w="100" w:type="dxa"/>
            </w:tcMar>
          </w:tcPr>
          <w:p w14:paraId="5E1BD33F"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Select AVG, VAR and/or TAC2 as a temporal analysis method.</w:t>
            </w:r>
          </w:p>
        </w:tc>
      </w:tr>
      <w:tr w:rsidR="00F91E20" w14:paraId="366E96ED" w14:textId="77777777" w:rsidTr="0063627E">
        <w:tc>
          <w:tcPr>
            <w:tcW w:w="4680" w:type="dxa"/>
            <w:shd w:val="clear" w:color="auto" w:fill="auto"/>
            <w:tcMar>
              <w:top w:w="100" w:type="dxa"/>
              <w:left w:w="100" w:type="dxa"/>
              <w:bottom w:w="100" w:type="dxa"/>
              <w:right w:w="100" w:type="dxa"/>
            </w:tcMar>
          </w:tcPr>
          <w:p w14:paraId="1FABDDEA"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Rolling analysis</w:t>
            </w:r>
          </w:p>
        </w:tc>
        <w:tc>
          <w:tcPr>
            <w:tcW w:w="4680" w:type="dxa"/>
            <w:shd w:val="clear" w:color="auto" w:fill="auto"/>
            <w:tcMar>
              <w:top w:w="100" w:type="dxa"/>
              <w:left w:w="100" w:type="dxa"/>
              <w:bottom w:w="100" w:type="dxa"/>
              <w:right w:w="100" w:type="dxa"/>
            </w:tcMar>
          </w:tcPr>
          <w:p w14:paraId="1F6D1295"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Activate rolling analysis and define frame gap size.</w:t>
            </w:r>
          </w:p>
        </w:tc>
      </w:tr>
      <w:tr w:rsidR="00F91E20" w14:paraId="79026A05" w14:textId="77777777" w:rsidTr="0063627E">
        <w:tc>
          <w:tcPr>
            <w:tcW w:w="4680" w:type="dxa"/>
            <w:shd w:val="clear" w:color="auto" w:fill="auto"/>
            <w:tcMar>
              <w:top w:w="100" w:type="dxa"/>
              <w:left w:w="100" w:type="dxa"/>
              <w:bottom w:w="100" w:type="dxa"/>
              <w:right w:w="100" w:type="dxa"/>
            </w:tcMar>
          </w:tcPr>
          <w:p w14:paraId="4BA0CFCC"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3D eSRRF</w:t>
            </w:r>
          </w:p>
        </w:tc>
        <w:tc>
          <w:tcPr>
            <w:tcW w:w="4680" w:type="dxa"/>
            <w:shd w:val="clear" w:color="auto" w:fill="auto"/>
            <w:tcMar>
              <w:top w:w="100" w:type="dxa"/>
              <w:left w:w="100" w:type="dxa"/>
              <w:bottom w:w="100" w:type="dxa"/>
              <w:right w:w="100" w:type="dxa"/>
            </w:tcMar>
          </w:tcPr>
          <w:p w14:paraId="7350ACCF" w14:textId="77777777" w:rsidR="00F91E20" w:rsidRDefault="00723A26">
            <w:pPr>
              <w:widowControl w:val="0"/>
              <w:pBdr>
                <w:top w:val="nil"/>
                <w:left w:val="nil"/>
                <w:bottom w:val="nil"/>
                <w:right w:val="nil"/>
                <w:between w:val="nil"/>
              </w:pBdr>
              <w:spacing w:line="240" w:lineRule="auto"/>
              <w:jc w:val="left"/>
              <w:rPr>
                <w:sz w:val="20"/>
                <w:szCs w:val="20"/>
              </w:rPr>
            </w:pPr>
            <w:r>
              <w:rPr>
                <w:sz w:val="20"/>
                <w:szCs w:val="20"/>
              </w:rPr>
              <w:t xml:space="preserve">Activate 3D eSRRF analysis and define offset between axial planes in nm. </w:t>
            </w:r>
          </w:p>
        </w:tc>
      </w:tr>
    </w:tbl>
    <w:p w14:paraId="6CAA4683" w14:textId="77777777" w:rsidR="00F91E20" w:rsidRDefault="00723A26">
      <w:pPr>
        <w:sectPr w:rsidR="00F91E20">
          <w:pgSz w:w="12240" w:h="15840"/>
          <w:pgMar w:top="1440" w:right="1440" w:bottom="1440" w:left="1440" w:header="720" w:footer="720" w:gutter="0"/>
          <w:cols w:space="720"/>
        </w:sectPr>
      </w:pPr>
      <w:r>
        <w:rPr>
          <w:b/>
        </w:rPr>
        <w:t>Supplementary Table 2:</w:t>
      </w:r>
      <w:r>
        <w:t xml:space="preserve"> eSRRF parameters</w:t>
      </w:r>
    </w:p>
    <w:p w14:paraId="5B6003CD" w14:textId="77777777" w:rsidR="00F91E20" w:rsidRDefault="00F91E20"/>
    <w:tbl>
      <w:tblPr>
        <w:tblStyle w:val="a1"/>
        <w:tblW w:w="1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1950"/>
        <w:gridCol w:w="2310"/>
        <w:gridCol w:w="4050"/>
      </w:tblGrid>
      <w:tr w:rsidR="00F91E20" w14:paraId="0E94AE48" w14:textId="77777777">
        <w:tc>
          <w:tcPr>
            <w:tcW w:w="4905" w:type="dxa"/>
            <w:shd w:val="clear" w:color="auto" w:fill="auto"/>
            <w:tcMar>
              <w:top w:w="100" w:type="dxa"/>
              <w:left w:w="100" w:type="dxa"/>
              <w:bottom w:w="100" w:type="dxa"/>
              <w:right w:w="100" w:type="dxa"/>
            </w:tcMar>
          </w:tcPr>
          <w:p w14:paraId="0D7EC530" w14:textId="77777777" w:rsidR="00F91E20" w:rsidRDefault="00723A26">
            <w:pPr>
              <w:widowControl w:val="0"/>
              <w:pBdr>
                <w:top w:val="nil"/>
                <w:left w:val="nil"/>
                <w:bottom w:val="nil"/>
                <w:right w:val="nil"/>
                <w:between w:val="nil"/>
              </w:pBdr>
              <w:spacing w:line="240" w:lineRule="auto"/>
              <w:jc w:val="left"/>
              <w:rPr>
                <w:b/>
              </w:rPr>
            </w:pPr>
            <w:r>
              <w:rPr>
                <w:b/>
              </w:rPr>
              <w:t>Dataset</w:t>
            </w:r>
          </w:p>
        </w:tc>
        <w:tc>
          <w:tcPr>
            <w:tcW w:w="1950" w:type="dxa"/>
            <w:shd w:val="clear" w:color="auto" w:fill="auto"/>
            <w:tcMar>
              <w:top w:w="100" w:type="dxa"/>
              <w:left w:w="100" w:type="dxa"/>
              <w:bottom w:w="100" w:type="dxa"/>
              <w:right w:w="100" w:type="dxa"/>
            </w:tcMar>
          </w:tcPr>
          <w:p w14:paraId="535F83A0" w14:textId="77777777" w:rsidR="00F91E20" w:rsidRDefault="00723A26">
            <w:pPr>
              <w:widowControl w:val="0"/>
              <w:pBdr>
                <w:top w:val="nil"/>
                <w:left w:val="nil"/>
                <w:bottom w:val="nil"/>
                <w:right w:val="nil"/>
                <w:between w:val="nil"/>
              </w:pBdr>
              <w:spacing w:line="240" w:lineRule="auto"/>
              <w:jc w:val="left"/>
              <w:rPr>
                <w:b/>
              </w:rPr>
            </w:pPr>
            <w:r>
              <w:rPr>
                <w:b/>
              </w:rPr>
              <w:t>Laser intensity</w:t>
            </w:r>
          </w:p>
        </w:tc>
        <w:tc>
          <w:tcPr>
            <w:tcW w:w="2310" w:type="dxa"/>
            <w:shd w:val="clear" w:color="auto" w:fill="auto"/>
            <w:tcMar>
              <w:top w:w="100" w:type="dxa"/>
              <w:left w:w="100" w:type="dxa"/>
              <w:bottom w:w="100" w:type="dxa"/>
              <w:right w:w="100" w:type="dxa"/>
            </w:tcMar>
          </w:tcPr>
          <w:p w14:paraId="12496C04" w14:textId="77777777" w:rsidR="00F91E20" w:rsidRDefault="00723A26">
            <w:pPr>
              <w:widowControl w:val="0"/>
              <w:pBdr>
                <w:top w:val="nil"/>
                <w:left w:val="nil"/>
                <w:bottom w:val="nil"/>
                <w:right w:val="nil"/>
                <w:between w:val="nil"/>
              </w:pBdr>
              <w:spacing w:line="240" w:lineRule="auto"/>
              <w:jc w:val="left"/>
              <w:rPr>
                <w:b/>
              </w:rPr>
            </w:pPr>
            <w:r>
              <w:rPr>
                <w:b/>
              </w:rPr>
              <w:t>Imaging speed/time</w:t>
            </w:r>
          </w:p>
        </w:tc>
        <w:tc>
          <w:tcPr>
            <w:tcW w:w="4050" w:type="dxa"/>
            <w:shd w:val="clear" w:color="auto" w:fill="auto"/>
            <w:tcMar>
              <w:top w:w="100" w:type="dxa"/>
              <w:left w:w="100" w:type="dxa"/>
              <w:bottom w:w="100" w:type="dxa"/>
              <w:right w:w="100" w:type="dxa"/>
            </w:tcMar>
          </w:tcPr>
          <w:p w14:paraId="25C19598" w14:textId="77777777" w:rsidR="00F91E20" w:rsidRDefault="00723A26">
            <w:pPr>
              <w:widowControl w:val="0"/>
              <w:pBdr>
                <w:top w:val="nil"/>
                <w:left w:val="nil"/>
                <w:bottom w:val="nil"/>
                <w:right w:val="nil"/>
                <w:between w:val="nil"/>
              </w:pBdr>
              <w:spacing w:line="240" w:lineRule="auto"/>
              <w:jc w:val="left"/>
              <w:rPr>
                <w:b/>
              </w:rPr>
            </w:pPr>
            <w:r>
              <w:rPr>
                <w:b/>
              </w:rPr>
              <w:t>eSRRF parameters</w:t>
            </w:r>
          </w:p>
        </w:tc>
      </w:tr>
      <w:tr w:rsidR="00F91E20" w14:paraId="159CEB5B" w14:textId="77777777">
        <w:tc>
          <w:tcPr>
            <w:tcW w:w="4905" w:type="dxa"/>
            <w:shd w:val="clear" w:color="auto" w:fill="auto"/>
            <w:tcMar>
              <w:top w:w="100" w:type="dxa"/>
              <w:left w:w="100" w:type="dxa"/>
              <w:bottom w:w="100" w:type="dxa"/>
              <w:right w:w="100" w:type="dxa"/>
            </w:tcMar>
          </w:tcPr>
          <w:p w14:paraId="78EEAD43" w14:textId="77777777" w:rsidR="00F91E20" w:rsidRDefault="00723A26">
            <w:pPr>
              <w:widowControl w:val="0"/>
              <w:pBdr>
                <w:top w:val="nil"/>
                <w:left w:val="nil"/>
                <w:bottom w:val="nil"/>
                <w:right w:val="nil"/>
                <w:between w:val="nil"/>
              </w:pBdr>
              <w:spacing w:line="240" w:lineRule="auto"/>
              <w:jc w:val="left"/>
            </w:pPr>
            <w:r>
              <w:t>DNA-PAINT of fixed COS-7 cells, indirect immunolabeling of microtubules, Atto655 imager strand</w:t>
            </w:r>
          </w:p>
        </w:tc>
        <w:tc>
          <w:tcPr>
            <w:tcW w:w="1950" w:type="dxa"/>
            <w:shd w:val="clear" w:color="auto" w:fill="auto"/>
            <w:tcMar>
              <w:top w:w="100" w:type="dxa"/>
              <w:left w:w="100" w:type="dxa"/>
              <w:bottom w:w="100" w:type="dxa"/>
              <w:right w:w="100" w:type="dxa"/>
            </w:tcMar>
          </w:tcPr>
          <w:p w14:paraId="7779CA83" w14:textId="77777777" w:rsidR="00F91E20" w:rsidRDefault="00723A26">
            <w:pPr>
              <w:widowControl w:val="0"/>
              <w:pBdr>
                <w:top w:val="nil"/>
                <w:left w:val="nil"/>
                <w:bottom w:val="nil"/>
                <w:right w:val="nil"/>
                <w:between w:val="nil"/>
              </w:pBdr>
              <w:spacing w:line="240" w:lineRule="auto"/>
              <w:jc w:val="left"/>
              <w:rPr>
                <w:vertAlign w:val="superscript"/>
              </w:rPr>
            </w:pPr>
            <w:r>
              <w:t>1 kW/cm</w:t>
            </w:r>
            <w:r>
              <w:rPr>
                <w:vertAlign w:val="superscript"/>
              </w:rPr>
              <w:t>2</w:t>
            </w:r>
          </w:p>
        </w:tc>
        <w:tc>
          <w:tcPr>
            <w:tcW w:w="2310" w:type="dxa"/>
            <w:shd w:val="clear" w:color="auto" w:fill="auto"/>
            <w:tcMar>
              <w:top w:w="100" w:type="dxa"/>
              <w:left w:w="100" w:type="dxa"/>
              <w:bottom w:w="100" w:type="dxa"/>
              <w:right w:w="100" w:type="dxa"/>
            </w:tcMar>
          </w:tcPr>
          <w:p w14:paraId="165B0871" w14:textId="77777777" w:rsidR="00F91E20" w:rsidRDefault="00723A26">
            <w:pPr>
              <w:widowControl w:val="0"/>
              <w:pBdr>
                <w:top w:val="nil"/>
                <w:left w:val="nil"/>
                <w:bottom w:val="nil"/>
                <w:right w:val="nil"/>
                <w:between w:val="nil"/>
              </w:pBdr>
              <w:spacing w:line="240" w:lineRule="auto"/>
              <w:jc w:val="left"/>
            </w:pPr>
            <w:r>
              <w:t>33 Hz/25 min</w:t>
            </w:r>
          </w:p>
        </w:tc>
        <w:tc>
          <w:tcPr>
            <w:tcW w:w="4050" w:type="dxa"/>
            <w:shd w:val="clear" w:color="auto" w:fill="auto"/>
            <w:tcMar>
              <w:top w:w="100" w:type="dxa"/>
              <w:left w:w="100" w:type="dxa"/>
              <w:bottom w:w="100" w:type="dxa"/>
              <w:right w:w="100" w:type="dxa"/>
            </w:tcMar>
          </w:tcPr>
          <w:p w14:paraId="3D5F8C7A" w14:textId="77777777" w:rsidR="00F91E20" w:rsidRDefault="00723A26">
            <w:pPr>
              <w:widowControl w:val="0"/>
              <w:pBdr>
                <w:top w:val="nil"/>
                <w:left w:val="nil"/>
                <w:bottom w:val="nil"/>
                <w:right w:val="nil"/>
                <w:between w:val="nil"/>
              </w:pBdr>
              <w:spacing w:line="240" w:lineRule="auto"/>
              <w:jc w:val="left"/>
            </w:pPr>
            <w:r>
              <w:t>M=5, R=0.5, S=1, VAR, all frames</w:t>
            </w:r>
          </w:p>
        </w:tc>
      </w:tr>
      <w:tr w:rsidR="00F91E20" w:rsidRPr="00B05C44" w14:paraId="56F3C372" w14:textId="77777777">
        <w:tc>
          <w:tcPr>
            <w:tcW w:w="4905" w:type="dxa"/>
            <w:shd w:val="clear" w:color="auto" w:fill="auto"/>
            <w:tcMar>
              <w:top w:w="100" w:type="dxa"/>
              <w:left w:w="100" w:type="dxa"/>
              <w:bottom w:w="100" w:type="dxa"/>
              <w:right w:w="100" w:type="dxa"/>
            </w:tcMar>
          </w:tcPr>
          <w:p w14:paraId="3FFDBD07" w14:textId="77777777" w:rsidR="00F91E20" w:rsidRDefault="00723A26">
            <w:pPr>
              <w:widowControl w:val="0"/>
              <w:pBdr>
                <w:top w:val="nil"/>
                <w:left w:val="nil"/>
                <w:bottom w:val="nil"/>
                <w:right w:val="nil"/>
                <w:between w:val="nil"/>
              </w:pBdr>
              <w:spacing w:line="240" w:lineRule="auto"/>
              <w:jc w:val="left"/>
            </w:pPr>
            <w:r>
              <w:t>COS-7 cells expressing Lyn kinase – SkylanS</w:t>
            </w:r>
            <w:hyperlink r:id="rId20">
              <w:r>
                <w:rPr>
                  <w:vertAlign w:val="superscript"/>
                </w:rPr>
                <w:t>10</w:t>
              </w:r>
            </w:hyperlink>
            <w:r>
              <w:t xml:space="preserve"> </w:t>
            </w:r>
          </w:p>
        </w:tc>
        <w:tc>
          <w:tcPr>
            <w:tcW w:w="1950" w:type="dxa"/>
            <w:shd w:val="clear" w:color="auto" w:fill="auto"/>
            <w:tcMar>
              <w:top w:w="100" w:type="dxa"/>
              <w:left w:w="100" w:type="dxa"/>
              <w:bottom w:w="100" w:type="dxa"/>
              <w:right w:w="100" w:type="dxa"/>
            </w:tcMar>
          </w:tcPr>
          <w:p w14:paraId="04498D83" w14:textId="77777777" w:rsidR="00F91E20" w:rsidRDefault="00723A26">
            <w:pPr>
              <w:widowControl w:val="0"/>
              <w:pBdr>
                <w:top w:val="nil"/>
                <w:left w:val="nil"/>
                <w:bottom w:val="nil"/>
                <w:right w:val="nil"/>
                <w:between w:val="nil"/>
              </w:pBdr>
              <w:spacing w:line="240" w:lineRule="auto"/>
              <w:jc w:val="left"/>
            </w:pPr>
            <w:r>
              <w:t>39 W/cm</w:t>
            </w:r>
            <w:r>
              <w:rPr>
                <w:vertAlign w:val="superscript"/>
              </w:rPr>
              <w:t>2</w:t>
            </w:r>
          </w:p>
        </w:tc>
        <w:tc>
          <w:tcPr>
            <w:tcW w:w="2310" w:type="dxa"/>
            <w:shd w:val="clear" w:color="auto" w:fill="auto"/>
            <w:tcMar>
              <w:top w:w="100" w:type="dxa"/>
              <w:left w:w="100" w:type="dxa"/>
              <w:bottom w:w="100" w:type="dxa"/>
              <w:right w:w="100" w:type="dxa"/>
            </w:tcMar>
          </w:tcPr>
          <w:p w14:paraId="14C69782" w14:textId="77777777" w:rsidR="00F91E20" w:rsidRDefault="00723A26">
            <w:pPr>
              <w:widowControl w:val="0"/>
              <w:pBdr>
                <w:top w:val="nil"/>
                <w:left w:val="nil"/>
                <w:bottom w:val="nil"/>
                <w:right w:val="nil"/>
                <w:between w:val="nil"/>
              </w:pBdr>
              <w:spacing w:line="240" w:lineRule="auto"/>
              <w:jc w:val="left"/>
            </w:pPr>
            <w:r>
              <w:t>33 Hz/15s</w:t>
            </w:r>
          </w:p>
        </w:tc>
        <w:tc>
          <w:tcPr>
            <w:tcW w:w="4050" w:type="dxa"/>
            <w:shd w:val="clear" w:color="auto" w:fill="auto"/>
            <w:tcMar>
              <w:top w:w="100" w:type="dxa"/>
              <w:left w:w="100" w:type="dxa"/>
              <w:bottom w:w="100" w:type="dxa"/>
              <w:right w:w="100" w:type="dxa"/>
            </w:tcMar>
          </w:tcPr>
          <w:p w14:paraId="21AF238E" w14:textId="77777777" w:rsidR="00F91E20" w:rsidRPr="0063627E" w:rsidRDefault="00723A26">
            <w:pPr>
              <w:widowControl w:val="0"/>
              <w:pBdr>
                <w:top w:val="nil"/>
                <w:left w:val="nil"/>
                <w:bottom w:val="nil"/>
                <w:right w:val="nil"/>
                <w:between w:val="nil"/>
              </w:pBdr>
              <w:spacing w:line="240" w:lineRule="auto"/>
              <w:jc w:val="left"/>
              <w:rPr>
                <w:lang w:val="pt-BR"/>
              </w:rPr>
            </w:pPr>
            <w:r w:rsidRPr="0063627E">
              <w:rPr>
                <w:lang w:val="pt-BR"/>
              </w:rPr>
              <w:t>M=4, R=1.5, S=4, VAR, 200 frames</w:t>
            </w:r>
          </w:p>
        </w:tc>
      </w:tr>
      <w:tr w:rsidR="00F91E20" w14:paraId="776D6F96" w14:textId="77777777">
        <w:tc>
          <w:tcPr>
            <w:tcW w:w="4905" w:type="dxa"/>
            <w:shd w:val="clear" w:color="auto" w:fill="auto"/>
            <w:tcMar>
              <w:top w:w="100" w:type="dxa"/>
              <w:left w:w="100" w:type="dxa"/>
              <w:bottom w:w="100" w:type="dxa"/>
              <w:right w:w="100" w:type="dxa"/>
            </w:tcMar>
          </w:tcPr>
          <w:p w14:paraId="609DC37B" w14:textId="77777777" w:rsidR="00F91E20" w:rsidRDefault="00723A26">
            <w:pPr>
              <w:widowControl w:val="0"/>
              <w:pBdr>
                <w:top w:val="nil"/>
                <w:left w:val="nil"/>
                <w:bottom w:val="nil"/>
                <w:right w:val="nil"/>
                <w:between w:val="nil"/>
              </w:pBdr>
              <w:spacing w:line="240" w:lineRule="auto"/>
              <w:jc w:val="left"/>
            </w:pPr>
            <w:r>
              <w:t>Live-cell TIRF microscopy of MAP4 in HeLa cells</w:t>
            </w:r>
          </w:p>
        </w:tc>
        <w:tc>
          <w:tcPr>
            <w:tcW w:w="1950" w:type="dxa"/>
            <w:shd w:val="clear" w:color="auto" w:fill="auto"/>
            <w:tcMar>
              <w:top w:w="100" w:type="dxa"/>
              <w:left w:w="100" w:type="dxa"/>
              <w:bottom w:w="100" w:type="dxa"/>
              <w:right w:w="100" w:type="dxa"/>
            </w:tcMar>
          </w:tcPr>
          <w:p w14:paraId="1F612213" w14:textId="77777777" w:rsidR="00F91E20" w:rsidRDefault="00723A26">
            <w:pPr>
              <w:widowControl w:val="0"/>
              <w:pBdr>
                <w:top w:val="nil"/>
                <w:left w:val="nil"/>
                <w:bottom w:val="nil"/>
                <w:right w:val="nil"/>
                <w:between w:val="nil"/>
              </w:pBdr>
              <w:spacing w:line="240" w:lineRule="auto"/>
              <w:jc w:val="left"/>
              <w:rPr>
                <w:highlight w:val="yellow"/>
              </w:rPr>
            </w:pPr>
            <w:r>
              <w:t>0.65 kW/cm</w:t>
            </w:r>
            <w:r>
              <w:rPr>
                <w:vertAlign w:val="superscript"/>
              </w:rPr>
              <w:t>2</w:t>
            </w:r>
          </w:p>
        </w:tc>
        <w:tc>
          <w:tcPr>
            <w:tcW w:w="2310" w:type="dxa"/>
            <w:shd w:val="clear" w:color="auto" w:fill="auto"/>
            <w:tcMar>
              <w:top w:w="100" w:type="dxa"/>
              <w:left w:w="100" w:type="dxa"/>
              <w:bottom w:w="100" w:type="dxa"/>
              <w:right w:w="100" w:type="dxa"/>
            </w:tcMar>
          </w:tcPr>
          <w:p w14:paraId="6C64E4F4" w14:textId="77777777" w:rsidR="00F91E20" w:rsidRDefault="00723A26">
            <w:pPr>
              <w:widowControl w:val="0"/>
              <w:pBdr>
                <w:top w:val="nil"/>
                <w:left w:val="nil"/>
                <w:bottom w:val="nil"/>
                <w:right w:val="nil"/>
                <w:between w:val="nil"/>
              </w:pBdr>
              <w:spacing w:line="240" w:lineRule="auto"/>
              <w:jc w:val="left"/>
            </w:pPr>
            <w:r>
              <w:t>100 Hz/40 s</w:t>
            </w:r>
          </w:p>
        </w:tc>
        <w:tc>
          <w:tcPr>
            <w:tcW w:w="4050" w:type="dxa"/>
            <w:shd w:val="clear" w:color="auto" w:fill="auto"/>
            <w:tcMar>
              <w:top w:w="100" w:type="dxa"/>
              <w:left w:w="100" w:type="dxa"/>
              <w:bottom w:w="100" w:type="dxa"/>
              <w:right w:w="100" w:type="dxa"/>
            </w:tcMar>
          </w:tcPr>
          <w:p w14:paraId="75B04B5D" w14:textId="77777777" w:rsidR="00F91E20" w:rsidRDefault="00723A26">
            <w:pPr>
              <w:widowControl w:val="0"/>
              <w:pBdr>
                <w:top w:val="nil"/>
                <w:left w:val="nil"/>
                <w:bottom w:val="nil"/>
                <w:right w:val="nil"/>
                <w:between w:val="nil"/>
              </w:pBdr>
              <w:spacing w:line="240" w:lineRule="auto"/>
              <w:jc w:val="left"/>
            </w:pPr>
            <w:r>
              <w:t>M=4, R=2, S=4, AVG, 100 frames, rolling analysis gap=50 frames</w:t>
            </w:r>
          </w:p>
          <w:p w14:paraId="07483031" w14:textId="77777777" w:rsidR="00F91E20" w:rsidRDefault="00F91E20">
            <w:pPr>
              <w:widowControl w:val="0"/>
              <w:pBdr>
                <w:top w:val="nil"/>
                <w:left w:val="nil"/>
                <w:bottom w:val="nil"/>
                <w:right w:val="nil"/>
                <w:between w:val="nil"/>
              </w:pBdr>
              <w:spacing w:line="240" w:lineRule="auto"/>
              <w:jc w:val="left"/>
            </w:pPr>
          </w:p>
        </w:tc>
      </w:tr>
      <w:tr w:rsidR="00F91E20" w14:paraId="0DC914BD" w14:textId="77777777">
        <w:tc>
          <w:tcPr>
            <w:tcW w:w="4905" w:type="dxa"/>
            <w:shd w:val="clear" w:color="auto" w:fill="auto"/>
            <w:tcMar>
              <w:top w:w="100" w:type="dxa"/>
              <w:left w:w="100" w:type="dxa"/>
              <w:bottom w:w="100" w:type="dxa"/>
              <w:right w:w="100" w:type="dxa"/>
            </w:tcMar>
          </w:tcPr>
          <w:p w14:paraId="3C5EB8A4" w14:textId="77777777" w:rsidR="00F91E20" w:rsidRDefault="00723A26">
            <w:pPr>
              <w:widowControl w:val="0"/>
              <w:pBdr>
                <w:top w:val="nil"/>
                <w:left w:val="nil"/>
                <w:bottom w:val="nil"/>
                <w:right w:val="nil"/>
                <w:between w:val="nil"/>
              </w:pBdr>
              <w:spacing w:line="240" w:lineRule="auto"/>
              <w:jc w:val="left"/>
            </w:pPr>
            <w:r>
              <w:t>Live-cell HiLO-TIRF microscopy of ER in COS-7</w:t>
            </w:r>
          </w:p>
        </w:tc>
        <w:tc>
          <w:tcPr>
            <w:tcW w:w="1950" w:type="dxa"/>
            <w:shd w:val="clear" w:color="auto" w:fill="auto"/>
            <w:tcMar>
              <w:top w:w="100" w:type="dxa"/>
              <w:left w:w="100" w:type="dxa"/>
              <w:bottom w:w="100" w:type="dxa"/>
              <w:right w:w="100" w:type="dxa"/>
            </w:tcMar>
          </w:tcPr>
          <w:p w14:paraId="18DE3BD4" w14:textId="77777777" w:rsidR="00F91E20" w:rsidRDefault="00723A26">
            <w:pPr>
              <w:widowControl w:val="0"/>
              <w:pBdr>
                <w:top w:val="nil"/>
                <w:left w:val="nil"/>
                <w:bottom w:val="nil"/>
                <w:right w:val="nil"/>
                <w:between w:val="nil"/>
              </w:pBdr>
              <w:spacing w:line="240" w:lineRule="auto"/>
              <w:jc w:val="left"/>
              <w:rPr>
                <w:highlight w:val="yellow"/>
              </w:rPr>
            </w:pPr>
            <w:r>
              <w:t>123 mW/cm</w:t>
            </w:r>
            <w:r>
              <w:rPr>
                <w:vertAlign w:val="superscript"/>
              </w:rPr>
              <w:t>2</w:t>
            </w:r>
          </w:p>
        </w:tc>
        <w:tc>
          <w:tcPr>
            <w:tcW w:w="2310" w:type="dxa"/>
            <w:shd w:val="clear" w:color="auto" w:fill="auto"/>
            <w:tcMar>
              <w:top w:w="100" w:type="dxa"/>
              <w:left w:w="100" w:type="dxa"/>
              <w:bottom w:w="100" w:type="dxa"/>
              <w:right w:w="100" w:type="dxa"/>
            </w:tcMar>
          </w:tcPr>
          <w:p w14:paraId="20A9FC19" w14:textId="77777777" w:rsidR="00F91E20" w:rsidRDefault="00723A26">
            <w:pPr>
              <w:widowControl w:val="0"/>
              <w:pBdr>
                <w:top w:val="nil"/>
                <w:left w:val="nil"/>
                <w:bottom w:val="nil"/>
                <w:right w:val="nil"/>
                <w:between w:val="nil"/>
              </w:pBdr>
              <w:spacing w:line="240" w:lineRule="auto"/>
              <w:jc w:val="left"/>
            </w:pPr>
            <w:r>
              <w:t>95 Hz/60 s</w:t>
            </w:r>
          </w:p>
        </w:tc>
        <w:tc>
          <w:tcPr>
            <w:tcW w:w="4050" w:type="dxa"/>
            <w:shd w:val="clear" w:color="auto" w:fill="auto"/>
            <w:tcMar>
              <w:top w:w="100" w:type="dxa"/>
              <w:left w:w="100" w:type="dxa"/>
              <w:bottom w:w="100" w:type="dxa"/>
              <w:right w:w="100" w:type="dxa"/>
            </w:tcMar>
          </w:tcPr>
          <w:p w14:paraId="34391AE2" w14:textId="77777777" w:rsidR="00F91E20" w:rsidRDefault="00723A26">
            <w:pPr>
              <w:widowControl w:val="0"/>
              <w:pBdr>
                <w:top w:val="nil"/>
                <w:left w:val="nil"/>
                <w:bottom w:val="nil"/>
                <w:right w:val="nil"/>
                <w:between w:val="nil"/>
              </w:pBdr>
              <w:spacing w:line="240" w:lineRule="auto"/>
              <w:jc w:val="left"/>
            </w:pPr>
            <w:r>
              <w:t>M=5, R=2, S=1, AVG,100 fr, rolling analysis gap=10 frames</w:t>
            </w:r>
          </w:p>
        </w:tc>
      </w:tr>
      <w:tr w:rsidR="00F91E20" w:rsidRPr="00B05C44" w14:paraId="61B3A286" w14:textId="77777777">
        <w:tc>
          <w:tcPr>
            <w:tcW w:w="4905" w:type="dxa"/>
            <w:shd w:val="clear" w:color="auto" w:fill="auto"/>
            <w:tcMar>
              <w:top w:w="100" w:type="dxa"/>
              <w:left w:w="100" w:type="dxa"/>
              <w:bottom w:w="100" w:type="dxa"/>
              <w:right w:w="100" w:type="dxa"/>
            </w:tcMar>
          </w:tcPr>
          <w:p w14:paraId="762D58D2" w14:textId="77777777" w:rsidR="00F91E20" w:rsidRDefault="00723A26">
            <w:pPr>
              <w:widowControl w:val="0"/>
              <w:pBdr>
                <w:top w:val="nil"/>
                <w:left w:val="nil"/>
                <w:bottom w:val="nil"/>
                <w:right w:val="nil"/>
                <w:between w:val="nil"/>
              </w:pBdr>
              <w:spacing w:line="240" w:lineRule="auto"/>
              <w:jc w:val="left"/>
            </w:pPr>
            <w:r>
              <w:t xml:space="preserve">Live-cell LLS of the ER in Jurkat cells </w:t>
            </w:r>
          </w:p>
        </w:tc>
        <w:tc>
          <w:tcPr>
            <w:tcW w:w="1950" w:type="dxa"/>
            <w:shd w:val="clear" w:color="auto" w:fill="auto"/>
            <w:tcMar>
              <w:top w:w="100" w:type="dxa"/>
              <w:left w:w="100" w:type="dxa"/>
              <w:bottom w:w="100" w:type="dxa"/>
              <w:right w:w="100" w:type="dxa"/>
            </w:tcMar>
          </w:tcPr>
          <w:p w14:paraId="44B5590A" w14:textId="77777777" w:rsidR="00F91E20" w:rsidRDefault="00723A26">
            <w:pPr>
              <w:widowControl w:val="0"/>
              <w:pBdr>
                <w:top w:val="nil"/>
                <w:left w:val="nil"/>
                <w:bottom w:val="nil"/>
                <w:right w:val="nil"/>
                <w:between w:val="nil"/>
              </w:pBdr>
              <w:spacing w:line="240" w:lineRule="auto"/>
              <w:jc w:val="left"/>
            </w:pPr>
            <w:r>
              <w:t>n/a</w:t>
            </w:r>
          </w:p>
        </w:tc>
        <w:tc>
          <w:tcPr>
            <w:tcW w:w="2310" w:type="dxa"/>
            <w:shd w:val="clear" w:color="auto" w:fill="auto"/>
            <w:tcMar>
              <w:top w:w="100" w:type="dxa"/>
              <w:left w:w="100" w:type="dxa"/>
              <w:bottom w:w="100" w:type="dxa"/>
              <w:right w:w="100" w:type="dxa"/>
            </w:tcMar>
          </w:tcPr>
          <w:p w14:paraId="7C25AC12" w14:textId="77777777" w:rsidR="00F91E20" w:rsidRDefault="00723A26">
            <w:pPr>
              <w:widowControl w:val="0"/>
              <w:pBdr>
                <w:top w:val="nil"/>
                <w:left w:val="nil"/>
                <w:bottom w:val="nil"/>
                <w:right w:val="nil"/>
                <w:between w:val="nil"/>
              </w:pBdr>
              <w:spacing w:line="240" w:lineRule="auto"/>
              <w:jc w:val="left"/>
            </w:pPr>
            <w:r>
              <w:t>100 Hz/130 s</w:t>
            </w:r>
          </w:p>
        </w:tc>
        <w:tc>
          <w:tcPr>
            <w:tcW w:w="4050" w:type="dxa"/>
            <w:shd w:val="clear" w:color="auto" w:fill="auto"/>
            <w:tcMar>
              <w:top w:w="100" w:type="dxa"/>
              <w:left w:w="100" w:type="dxa"/>
              <w:bottom w:w="100" w:type="dxa"/>
              <w:right w:w="100" w:type="dxa"/>
            </w:tcMar>
          </w:tcPr>
          <w:p w14:paraId="4C472DC4" w14:textId="77777777" w:rsidR="00F91E20" w:rsidRPr="0063627E" w:rsidRDefault="00723A26">
            <w:pPr>
              <w:widowControl w:val="0"/>
              <w:spacing w:line="240" w:lineRule="auto"/>
              <w:jc w:val="left"/>
              <w:rPr>
                <w:lang w:val="pt-BR"/>
              </w:rPr>
            </w:pPr>
            <w:r w:rsidRPr="0063627E">
              <w:rPr>
                <w:lang w:val="pt-BR"/>
              </w:rPr>
              <w:t>M=5, R=3.5, S=2, AVG, 100 frames</w:t>
            </w:r>
          </w:p>
        </w:tc>
      </w:tr>
      <w:tr w:rsidR="00F91E20" w:rsidRPr="00B05C44" w14:paraId="7635BC9A" w14:textId="77777777">
        <w:tc>
          <w:tcPr>
            <w:tcW w:w="4905" w:type="dxa"/>
            <w:shd w:val="clear" w:color="auto" w:fill="auto"/>
            <w:tcMar>
              <w:top w:w="100" w:type="dxa"/>
              <w:left w:w="100" w:type="dxa"/>
              <w:bottom w:w="100" w:type="dxa"/>
              <w:right w:w="100" w:type="dxa"/>
            </w:tcMar>
          </w:tcPr>
          <w:p w14:paraId="436EE537" w14:textId="77777777" w:rsidR="00F91E20" w:rsidRDefault="00723A26">
            <w:pPr>
              <w:widowControl w:val="0"/>
              <w:pBdr>
                <w:top w:val="nil"/>
                <w:left w:val="nil"/>
                <w:bottom w:val="nil"/>
                <w:right w:val="nil"/>
                <w:between w:val="nil"/>
              </w:pBdr>
              <w:spacing w:line="240" w:lineRule="auto"/>
              <w:jc w:val="left"/>
            </w:pPr>
            <w:r>
              <w:t xml:space="preserve">Live-cell SDC of U2OS cells in PAM </w:t>
            </w:r>
          </w:p>
        </w:tc>
        <w:tc>
          <w:tcPr>
            <w:tcW w:w="1950" w:type="dxa"/>
            <w:shd w:val="clear" w:color="auto" w:fill="auto"/>
            <w:tcMar>
              <w:top w:w="100" w:type="dxa"/>
              <w:left w:w="100" w:type="dxa"/>
              <w:bottom w:w="100" w:type="dxa"/>
              <w:right w:w="100" w:type="dxa"/>
            </w:tcMar>
          </w:tcPr>
          <w:p w14:paraId="105C5676" w14:textId="77777777" w:rsidR="00F91E20" w:rsidRDefault="00723A26">
            <w:pPr>
              <w:widowControl w:val="0"/>
              <w:pBdr>
                <w:top w:val="nil"/>
                <w:left w:val="nil"/>
                <w:bottom w:val="nil"/>
                <w:right w:val="nil"/>
                <w:between w:val="nil"/>
              </w:pBdr>
              <w:spacing w:line="240" w:lineRule="auto"/>
              <w:jc w:val="left"/>
            </w:pPr>
            <w:r>
              <w:t>4.6 W/cm</w:t>
            </w:r>
            <w:r>
              <w:rPr>
                <w:vertAlign w:val="superscript"/>
              </w:rPr>
              <w:t>2</w:t>
            </w:r>
            <w:r>
              <w:t>*</w:t>
            </w:r>
          </w:p>
        </w:tc>
        <w:tc>
          <w:tcPr>
            <w:tcW w:w="2310" w:type="dxa"/>
            <w:shd w:val="clear" w:color="auto" w:fill="auto"/>
            <w:tcMar>
              <w:top w:w="100" w:type="dxa"/>
              <w:left w:w="100" w:type="dxa"/>
              <w:bottom w:w="100" w:type="dxa"/>
              <w:right w:w="100" w:type="dxa"/>
            </w:tcMar>
          </w:tcPr>
          <w:p w14:paraId="416D9A6D" w14:textId="77777777" w:rsidR="00F91E20" w:rsidRDefault="00723A26">
            <w:pPr>
              <w:widowControl w:val="0"/>
              <w:pBdr>
                <w:top w:val="nil"/>
                <w:left w:val="nil"/>
                <w:bottom w:val="nil"/>
                <w:right w:val="nil"/>
                <w:between w:val="nil"/>
              </w:pBdr>
              <w:spacing w:line="240" w:lineRule="auto"/>
              <w:jc w:val="left"/>
            </w:pPr>
            <w:r>
              <w:t>10 Hz/10s</w:t>
            </w:r>
          </w:p>
        </w:tc>
        <w:tc>
          <w:tcPr>
            <w:tcW w:w="4050" w:type="dxa"/>
            <w:shd w:val="clear" w:color="auto" w:fill="auto"/>
            <w:tcMar>
              <w:top w:w="100" w:type="dxa"/>
              <w:left w:w="100" w:type="dxa"/>
              <w:bottom w:w="100" w:type="dxa"/>
              <w:right w:w="100" w:type="dxa"/>
            </w:tcMar>
          </w:tcPr>
          <w:p w14:paraId="24CA0BDC" w14:textId="77777777" w:rsidR="00F91E20" w:rsidRPr="0063627E" w:rsidRDefault="00723A26">
            <w:pPr>
              <w:widowControl w:val="0"/>
              <w:pBdr>
                <w:top w:val="nil"/>
                <w:left w:val="nil"/>
                <w:bottom w:val="nil"/>
                <w:right w:val="nil"/>
                <w:between w:val="nil"/>
              </w:pBdr>
              <w:spacing w:line="240" w:lineRule="auto"/>
              <w:jc w:val="left"/>
              <w:rPr>
                <w:lang w:val="pt-BR"/>
              </w:rPr>
            </w:pPr>
            <w:r w:rsidRPr="0063627E">
              <w:rPr>
                <w:lang w:val="pt-BR"/>
              </w:rPr>
              <w:t>M=5, R=2, S=1, AVG, 100 frames</w:t>
            </w:r>
          </w:p>
        </w:tc>
      </w:tr>
      <w:tr w:rsidR="00F91E20" w:rsidRPr="00B05C44" w14:paraId="29DF6FFB" w14:textId="77777777">
        <w:tc>
          <w:tcPr>
            <w:tcW w:w="4905" w:type="dxa"/>
            <w:shd w:val="clear" w:color="auto" w:fill="auto"/>
            <w:tcMar>
              <w:top w:w="100" w:type="dxa"/>
              <w:left w:w="100" w:type="dxa"/>
              <w:bottom w:w="100" w:type="dxa"/>
              <w:right w:w="100" w:type="dxa"/>
            </w:tcMar>
          </w:tcPr>
          <w:p w14:paraId="06915D4E" w14:textId="77777777" w:rsidR="00F91E20" w:rsidRDefault="00723A26">
            <w:pPr>
              <w:widowControl w:val="0"/>
              <w:pBdr>
                <w:top w:val="nil"/>
                <w:left w:val="nil"/>
                <w:bottom w:val="nil"/>
                <w:right w:val="nil"/>
                <w:between w:val="nil"/>
              </w:pBdr>
              <w:spacing w:line="240" w:lineRule="auto"/>
              <w:jc w:val="left"/>
            </w:pPr>
            <w:r>
              <w:t>Two-color SDC of fixed spheroids (collagen I/lifeact)</w:t>
            </w:r>
          </w:p>
        </w:tc>
        <w:tc>
          <w:tcPr>
            <w:tcW w:w="1950" w:type="dxa"/>
            <w:shd w:val="clear" w:color="auto" w:fill="auto"/>
            <w:tcMar>
              <w:top w:w="100" w:type="dxa"/>
              <w:left w:w="100" w:type="dxa"/>
              <w:bottom w:w="100" w:type="dxa"/>
              <w:right w:w="100" w:type="dxa"/>
            </w:tcMar>
          </w:tcPr>
          <w:p w14:paraId="11B52878" w14:textId="77777777" w:rsidR="00F91E20" w:rsidRDefault="00723A26">
            <w:pPr>
              <w:widowControl w:val="0"/>
              <w:pBdr>
                <w:top w:val="nil"/>
                <w:left w:val="nil"/>
                <w:bottom w:val="nil"/>
                <w:right w:val="nil"/>
                <w:between w:val="nil"/>
              </w:pBdr>
              <w:spacing w:line="240" w:lineRule="auto"/>
              <w:jc w:val="left"/>
            </w:pPr>
            <w:r>
              <w:t>4.6/2.6 W/cm</w:t>
            </w:r>
            <w:r>
              <w:rPr>
                <w:vertAlign w:val="superscript"/>
              </w:rPr>
              <w:t>2</w:t>
            </w:r>
            <w:r>
              <w:t>*</w:t>
            </w:r>
          </w:p>
        </w:tc>
        <w:tc>
          <w:tcPr>
            <w:tcW w:w="2310" w:type="dxa"/>
            <w:shd w:val="clear" w:color="auto" w:fill="auto"/>
            <w:tcMar>
              <w:top w:w="100" w:type="dxa"/>
              <w:left w:w="100" w:type="dxa"/>
              <w:bottom w:w="100" w:type="dxa"/>
              <w:right w:w="100" w:type="dxa"/>
            </w:tcMar>
          </w:tcPr>
          <w:p w14:paraId="6DDE40BC" w14:textId="77777777" w:rsidR="00F91E20" w:rsidRDefault="00723A26">
            <w:pPr>
              <w:widowControl w:val="0"/>
              <w:pBdr>
                <w:top w:val="nil"/>
                <w:left w:val="nil"/>
                <w:bottom w:val="nil"/>
                <w:right w:val="nil"/>
                <w:between w:val="nil"/>
              </w:pBdr>
              <w:spacing w:line="240" w:lineRule="auto"/>
              <w:jc w:val="left"/>
            </w:pPr>
            <w:r>
              <w:t>10 Hz/10s</w:t>
            </w:r>
          </w:p>
        </w:tc>
        <w:tc>
          <w:tcPr>
            <w:tcW w:w="4050" w:type="dxa"/>
            <w:shd w:val="clear" w:color="auto" w:fill="auto"/>
            <w:tcMar>
              <w:top w:w="100" w:type="dxa"/>
              <w:left w:w="100" w:type="dxa"/>
              <w:bottom w:w="100" w:type="dxa"/>
              <w:right w:w="100" w:type="dxa"/>
            </w:tcMar>
          </w:tcPr>
          <w:p w14:paraId="02664E88" w14:textId="77777777" w:rsidR="00F91E20" w:rsidRPr="0063627E" w:rsidRDefault="00723A26">
            <w:pPr>
              <w:widowControl w:val="0"/>
              <w:pBdr>
                <w:top w:val="nil"/>
                <w:left w:val="nil"/>
                <w:bottom w:val="nil"/>
                <w:right w:val="nil"/>
                <w:between w:val="nil"/>
              </w:pBdr>
              <w:spacing w:line="240" w:lineRule="auto"/>
              <w:jc w:val="left"/>
              <w:rPr>
                <w:lang w:val="pt-BR"/>
              </w:rPr>
            </w:pPr>
            <w:r w:rsidRPr="0063627E">
              <w:rPr>
                <w:lang w:val="pt-BR"/>
              </w:rPr>
              <w:t>M=5, R= 2/3, S=1, AVG, 100 frames</w:t>
            </w:r>
          </w:p>
        </w:tc>
      </w:tr>
      <w:tr w:rsidR="00F91E20" w:rsidRPr="00B05C44" w14:paraId="6AF9D41E" w14:textId="77777777">
        <w:tc>
          <w:tcPr>
            <w:tcW w:w="4905" w:type="dxa"/>
            <w:shd w:val="clear" w:color="auto" w:fill="auto"/>
            <w:tcMar>
              <w:top w:w="100" w:type="dxa"/>
              <w:left w:w="100" w:type="dxa"/>
              <w:bottom w:w="100" w:type="dxa"/>
              <w:right w:w="100" w:type="dxa"/>
            </w:tcMar>
          </w:tcPr>
          <w:p w14:paraId="7BD7A8FA" w14:textId="77777777" w:rsidR="00F91E20" w:rsidRDefault="00723A26">
            <w:pPr>
              <w:widowControl w:val="0"/>
              <w:pBdr>
                <w:top w:val="nil"/>
                <w:left w:val="nil"/>
                <w:bottom w:val="nil"/>
                <w:right w:val="nil"/>
                <w:between w:val="nil"/>
              </w:pBdr>
              <w:spacing w:line="240" w:lineRule="auto"/>
              <w:jc w:val="left"/>
            </w:pPr>
            <w:r>
              <w:t>In-vivo SDC of zebrafish</w:t>
            </w:r>
          </w:p>
        </w:tc>
        <w:tc>
          <w:tcPr>
            <w:tcW w:w="1950" w:type="dxa"/>
            <w:shd w:val="clear" w:color="auto" w:fill="auto"/>
            <w:tcMar>
              <w:top w:w="100" w:type="dxa"/>
              <w:left w:w="100" w:type="dxa"/>
              <w:bottom w:w="100" w:type="dxa"/>
              <w:right w:w="100" w:type="dxa"/>
            </w:tcMar>
          </w:tcPr>
          <w:p w14:paraId="1B7A89E4" w14:textId="77777777" w:rsidR="00F91E20" w:rsidRDefault="00723A26">
            <w:pPr>
              <w:widowControl w:val="0"/>
              <w:pBdr>
                <w:top w:val="nil"/>
                <w:left w:val="nil"/>
                <w:bottom w:val="nil"/>
                <w:right w:val="nil"/>
                <w:between w:val="nil"/>
              </w:pBdr>
              <w:spacing w:line="240" w:lineRule="auto"/>
              <w:jc w:val="left"/>
            </w:pPr>
            <w:r>
              <w:t>2.6 W/cm</w:t>
            </w:r>
            <w:r>
              <w:rPr>
                <w:vertAlign w:val="superscript"/>
              </w:rPr>
              <w:t>2</w:t>
            </w:r>
            <w:r>
              <w:t>*</w:t>
            </w:r>
          </w:p>
        </w:tc>
        <w:tc>
          <w:tcPr>
            <w:tcW w:w="2310" w:type="dxa"/>
            <w:shd w:val="clear" w:color="auto" w:fill="auto"/>
            <w:tcMar>
              <w:top w:w="100" w:type="dxa"/>
              <w:left w:w="100" w:type="dxa"/>
              <w:bottom w:w="100" w:type="dxa"/>
              <w:right w:w="100" w:type="dxa"/>
            </w:tcMar>
          </w:tcPr>
          <w:p w14:paraId="4708A819" w14:textId="77777777" w:rsidR="00F91E20" w:rsidRDefault="00723A26">
            <w:pPr>
              <w:widowControl w:val="0"/>
              <w:pBdr>
                <w:top w:val="nil"/>
                <w:left w:val="nil"/>
                <w:bottom w:val="nil"/>
                <w:right w:val="nil"/>
                <w:between w:val="nil"/>
              </w:pBdr>
              <w:spacing w:line="240" w:lineRule="auto"/>
              <w:jc w:val="left"/>
            </w:pPr>
            <w:r>
              <w:t>10 Hz/10s</w:t>
            </w:r>
          </w:p>
        </w:tc>
        <w:tc>
          <w:tcPr>
            <w:tcW w:w="4050" w:type="dxa"/>
            <w:shd w:val="clear" w:color="auto" w:fill="auto"/>
            <w:tcMar>
              <w:top w:w="100" w:type="dxa"/>
              <w:left w:w="100" w:type="dxa"/>
              <w:bottom w:w="100" w:type="dxa"/>
              <w:right w:w="100" w:type="dxa"/>
            </w:tcMar>
          </w:tcPr>
          <w:p w14:paraId="3225B0BB" w14:textId="77777777" w:rsidR="00F91E20" w:rsidRPr="0063627E" w:rsidRDefault="00723A26">
            <w:pPr>
              <w:widowControl w:val="0"/>
              <w:pBdr>
                <w:top w:val="nil"/>
                <w:left w:val="nil"/>
                <w:bottom w:val="nil"/>
                <w:right w:val="nil"/>
                <w:between w:val="nil"/>
              </w:pBdr>
              <w:spacing w:line="240" w:lineRule="auto"/>
              <w:jc w:val="left"/>
              <w:rPr>
                <w:lang w:val="pt-BR"/>
              </w:rPr>
            </w:pPr>
            <w:r w:rsidRPr="0063627E">
              <w:rPr>
                <w:lang w:val="pt-BR"/>
              </w:rPr>
              <w:t>M=5, R= 2, S=1, AVG, 150 frames</w:t>
            </w:r>
          </w:p>
        </w:tc>
      </w:tr>
      <w:tr w:rsidR="00F91E20" w14:paraId="40F5DFE2" w14:textId="77777777">
        <w:tc>
          <w:tcPr>
            <w:tcW w:w="4905" w:type="dxa"/>
            <w:shd w:val="clear" w:color="auto" w:fill="auto"/>
            <w:tcMar>
              <w:top w:w="100" w:type="dxa"/>
              <w:left w:w="100" w:type="dxa"/>
              <w:bottom w:w="100" w:type="dxa"/>
              <w:right w:w="100" w:type="dxa"/>
            </w:tcMar>
          </w:tcPr>
          <w:p w14:paraId="0D4B691B" w14:textId="77777777" w:rsidR="00F91E20" w:rsidRDefault="00723A26">
            <w:pPr>
              <w:widowControl w:val="0"/>
              <w:pBdr>
                <w:top w:val="nil"/>
                <w:left w:val="nil"/>
                <w:bottom w:val="nil"/>
                <w:right w:val="nil"/>
                <w:between w:val="nil"/>
              </w:pBdr>
              <w:spacing w:line="240" w:lineRule="auto"/>
              <w:jc w:val="left"/>
            </w:pPr>
            <w:r>
              <w:t>Live-cell MFM of mitochondria network in HeLa cells</w:t>
            </w:r>
          </w:p>
        </w:tc>
        <w:tc>
          <w:tcPr>
            <w:tcW w:w="1950" w:type="dxa"/>
            <w:shd w:val="clear" w:color="auto" w:fill="auto"/>
            <w:tcMar>
              <w:top w:w="100" w:type="dxa"/>
              <w:left w:w="100" w:type="dxa"/>
              <w:bottom w:w="100" w:type="dxa"/>
              <w:right w:w="100" w:type="dxa"/>
            </w:tcMar>
          </w:tcPr>
          <w:p w14:paraId="210BDAFF" w14:textId="5A4DC8AD" w:rsidR="00F91E20" w:rsidRDefault="00B05C44">
            <w:pPr>
              <w:widowControl w:val="0"/>
              <w:pBdr>
                <w:top w:val="nil"/>
                <w:left w:val="nil"/>
                <w:bottom w:val="nil"/>
                <w:right w:val="nil"/>
                <w:between w:val="nil"/>
              </w:pBdr>
              <w:spacing w:line="240" w:lineRule="auto"/>
              <w:jc w:val="left"/>
            </w:pPr>
            <w:r>
              <w:t>21.4</w:t>
            </w:r>
            <w:r w:rsidR="00723A26">
              <w:t xml:space="preserve"> </w:t>
            </w:r>
            <w:r>
              <w:t>W/cm</w:t>
            </w:r>
            <w:r>
              <w:rPr>
                <w:vertAlign w:val="superscript"/>
              </w:rPr>
              <w:t>2</w:t>
            </w:r>
            <w:r w:rsidR="00723A26">
              <w:t>*</w:t>
            </w:r>
          </w:p>
        </w:tc>
        <w:tc>
          <w:tcPr>
            <w:tcW w:w="2310" w:type="dxa"/>
            <w:shd w:val="clear" w:color="auto" w:fill="auto"/>
            <w:tcMar>
              <w:top w:w="100" w:type="dxa"/>
              <w:left w:w="100" w:type="dxa"/>
              <w:bottom w:w="100" w:type="dxa"/>
              <w:right w:w="100" w:type="dxa"/>
            </w:tcMar>
          </w:tcPr>
          <w:p w14:paraId="5EDD263A" w14:textId="77777777" w:rsidR="00F91E20" w:rsidRDefault="00723A26">
            <w:pPr>
              <w:widowControl w:val="0"/>
              <w:pBdr>
                <w:top w:val="nil"/>
                <w:left w:val="nil"/>
                <w:bottom w:val="nil"/>
                <w:right w:val="nil"/>
                <w:between w:val="nil"/>
              </w:pBdr>
              <w:spacing w:line="240" w:lineRule="auto"/>
              <w:jc w:val="left"/>
            </w:pPr>
            <w:r>
              <w:t>50 Hz/20 s</w:t>
            </w:r>
          </w:p>
        </w:tc>
        <w:tc>
          <w:tcPr>
            <w:tcW w:w="4050" w:type="dxa"/>
            <w:shd w:val="clear" w:color="auto" w:fill="auto"/>
            <w:tcMar>
              <w:top w:w="100" w:type="dxa"/>
              <w:left w:w="100" w:type="dxa"/>
              <w:bottom w:w="100" w:type="dxa"/>
              <w:right w:w="100" w:type="dxa"/>
            </w:tcMar>
          </w:tcPr>
          <w:p w14:paraId="651064BF" w14:textId="77777777" w:rsidR="00F91E20" w:rsidRDefault="00723A26">
            <w:pPr>
              <w:widowControl w:val="0"/>
              <w:pBdr>
                <w:top w:val="nil"/>
                <w:left w:val="nil"/>
                <w:bottom w:val="nil"/>
                <w:right w:val="nil"/>
                <w:between w:val="nil"/>
              </w:pBdr>
              <w:spacing w:line="240" w:lineRule="auto"/>
              <w:jc w:val="left"/>
            </w:pPr>
            <w:r>
              <w:t>M=4, R=2, S=1, AVG, 100 frames, rolling analysis gap=25 frames</w:t>
            </w:r>
          </w:p>
        </w:tc>
      </w:tr>
    </w:tbl>
    <w:p w14:paraId="339ABB8B" w14:textId="77777777" w:rsidR="00F91E20" w:rsidRDefault="00723A26">
      <w:pPr>
        <w:sectPr w:rsidR="00F91E20">
          <w:pgSz w:w="15840" w:h="12240" w:orient="landscape"/>
          <w:pgMar w:top="1440" w:right="1440" w:bottom="1440" w:left="1440" w:header="720" w:footer="720" w:gutter="0"/>
          <w:cols w:space="720"/>
        </w:sectPr>
      </w:pPr>
      <w:r>
        <w:rPr>
          <w:b/>
        </w:rPr>
        <w:t>Supplementary Table 3:</w:t>
      </w:r>
      <w:r>
        <w:t xml:space="preserve"> Laser intensities, imaging speed, total imaging time and eSRRF parameters for the data sets included in this paper. *Intensity at the coverslip surface.</w:t>
      </w:r>
    </w:p>
    <w:p w14:paraId="52198030" w14:textId="77777777" w:rsidR="00F91E20" w:rsidRDefault="00723A26">
      <w:pPr>
        <w:pStyle w:val="Heading1"/>
      </w:pPr>
      <w:bookmarkStart w:id="11" w:name="_r4k5mkq9uvba" w:colFirst="0" w:colLast="0"/>
      <w:bookmarkEnd w:id="11"/>
      <w:r>
        <w:lastRenderedPageBreak/>
        <w:t>Supplementary Figures</w:t>
      </w:r>
    </w:p>
    <w:p w14:paraId="37579039" w14:textId="77777777" w:rsidR="00F91E20" w:rsidRDefault="00F91E20"/>
    <w:p w14:paraId="3544ABEE" w14:textId="77777777" w:rsidR="00F91E20" w:rsidRDefault="00723A26">
      <w:r>
        <w:rPr>
          <w:noProof/>
          <w:lang w:val="en-US" w:eastAsia="zh-CN"/>
        </w:rPr>
        <w:drawing>
          <wp:inline distT="114300" distB="114300" distL="114300" distR="114300" wp14:anchorId="6F9436D4" wp14:editId="240853DC">
            <wp:extent cx="5943600" cy="41275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t="93" b="93"/>
                    <a:stretch>
                      <a:fillRect/>
                    </a:stretch>
                  </pic:blipFill>
                  <pic:spPr>
                    <a:xfrm>
                      <a:off x="0" y="0"/>
                      <a:ext cx="5943600" cy="4127500"/>
                    </a:xfrm>
                    <a:prstGeom prst="rect">
                      <a:avLst/>
                    </a:prstGeom>
                    <a:ln/>
                  </pic:spPr>
                </pic:pic>
              </a:graphicData>
            </a:graphic>
          </wp:inline>
        </w:drawing>
      </w:r>
    </w:p>
    <w:p w14:paraId="26849F68" w14:textId="77777777" w:rsidR="00F91E20" w:rsidRDefault="00723A26">
      <w:r>
        <w:rPr>
          <w:b/>
        </w:rPr>
        <w:t>Supplementary Fig. 1: Comparison of interpolation methods in the reconstruction of SRRF images</w:t>
      </w:r>
      <w:r>
        <w:t>. The presence of macro-pixel artifacts is apparent in both the spatial (left column), and frequency domain (right column) and for AVG (upper row) and VAR temporal analysis reconstruction (lower row) for all interpolation methods apart from the FFT-based interpolation. Data shown corresponds to live COS-7 cells expressing PrSS-mEmerald-KDEL acquired using HiLO-TIRF. Scale bars 2 µm.</w:t>
      </w:r>
    </w:p>
    <w:p w14:paraId="48E4195F" w14:textId="77777777" w:rsidR="00F91E20" w:rsidRDefault="00F91E20"/>
    <w:p w14:paraId="71AE1B03" w14:textId="77777777" w:rsidR="00F91E20" w:rsidRDefault="00F91E20"/>
    <w:p w14:paraId="3F4F4990" w14:textId="77777777" w:rsidR="00F91E20" w:rsidRDefault="00723A26">
      <w:pPr>
        <w:jc w:val="center"/>
      </w:pPr>
      <w:r>
        <w:rPr>
          <w:noProof/>
          <w:lang w:val="en-US" w:eastAsia="zh-CN"/>
        </w:rPr>
        <w:lastRenderedPageBreak/>
        <w:drawing>
          <wp:inline distT="114300" distB="114300" distL="114300" distR="114300" wp14:anchorId="6E85E7AD" wp14:editId="2215C000">
            <wp:extent cx="2229992" cy="427838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t="11" b="11"/>
                    <a:stretch>
                      <a:fillRect/>
                    </a:stretch>
                  </pic:blipFill>
                  <pic:spPr>
                    <a:xfrm>
                      <a:off x="0" y="0"/>
                      <a:ext cx="2229992" cy="4278388"/>
                    </a:xfrm>
                    <a:prstGeom prst="rect">
                      <a:avLst/>
                    </a:prstGeom>
                    <a:ln/>
                  </pic:spPr>
                </pic:pic>
              </a:graphicData>
            </a:graphic>
          </wp:inline>
        </w:drawing>
      </w:r>
    </w:p>
    <w:p w14:paraId="5FC5DC5F" w14:textId="77777777" w:rsidR="00F91E20" w:rsidRDefault="00723A26">
      <w:r>
        <w:rPr>
          <w:b/>
        </w:rPr>
        <w:t>Supplementary Fig. 2: Resolution improvement of eSRRF vs. SRRF.</w:t>
      </w:r>
      <w:r>
        <w:t xml:space="preserve"> Image sections of the data set presented in Figure 1 after </w:t>
      </w:r>
      <w:r>
        <w:rPr>
          <w:b/>
        </w:rPr>
        <w:t>a</w:t>
      </w:r>
      <w:r>
        <w:t xml:space="preserve"> SMLM image reconstruction,</w:t>
      </w:r>
      <w:r>
        <w:rPr>
          <w:b/>
        </w:rPr>
        <w:t xml:space="preserve"> b</w:t>
      </w:r>
      <w:r>
        <w:t xml:space="preserve"> eSRRF processing, </w:t>
      </w:r>
      <w:r>
        <w:rPr>
          <w:b/>
        </w:rPr>
        <w:t>c</w:t>
      </w:r>
      <w:r>
        <w:t xml:space="preserve"> SRRF processing and as WF data. The white line indicates the position of the line profiles. </w:t>
      </w:r>
      <w:r>
        <w:rPr>
          <w:b/>
        </w:rPr>
        <w:t>e</w:t>
      </w:r>
      <w:r>
        <w:t xml:space="preserve"> Intensity profiles allow to distinguish two filaments in the SMLM reconstruction (dash-dotted line) which can also be resolved with eSRRF (solid line) but the presence of a second filament is unclear in the case of SRRF processing (dotted line) and for the WF data (dashed line). Scale bar: 500 nm.</w:t>
      </w:r>
    </w:p>
    <w:p w14:paraId="44A41828" w14:textId="77777777" w:rsidR="00F91E20" w:rsidRDefault="00F91E20"/>
    <w:p w14:paraId="663F82BB" w14:textId="77777777" w:rsidR="00F91E20" w:rsidRDefault="00F91E20"/>
    <w:p w14:paraId="2D8735B9" w14:textId="77777777" w:rsidR="00F91E20" w:rsidRDefault="00723A26">
      <w:pPr>
        <w:jc w:val="center"/>
      </w:pPr>
      <w:r>
        <w:rPr>
          <w:noProof/>
          <w:lang w:val="en-US" w:eastAsia="zh-CN"/>
        </w:rPr>
        <w:lastRenderedPageBreak/>
        <w:drawing>
          <wp:inline distT="114300" distB="114300" distL="114300" distR="114300" wp14:anchorId="3773860F" wp14:editId="65EAC0EB">
            <wp:extent cx="4514850" cy="3009900"/>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l="230" r="230"/>
                    <a:stretch>
                      <a:fillRect/>
                    </a:stretch>
                  </pic:blipFill>
                  <pic:spPr>
                    <a:xfrm>
                      <a:off x="0" y="0"/>
                      <a:ext cx="4514850" cy="3009900"/>
                    </a:xfrm>
                    <a:prstGeom prst="rect">
                      <a:avLst/>
                    </a:prstGeom>
                    <a:ln/>
                  </pic:spPr>
                </pic:pic>
              </a:graphicData>
            </a:graphic>
          </wp:inline>
        </w:drawing>
      </w:r>
    </w:p>
    <w:p w14:paraId="3724C25D" w14:textId="77777777" w:rsidR="00F91E20" w:rsidRDefault="00723A26">
      <w:r>
        <w:rPr>
          <w:b/>
        </w:rPr>
        <w:t>Supplementary Fig. 3: Performance improvement of eSRRF on simulated data.</w:t>
      </w:r>
      <w:r>
        <w:t xml:space="preserve"> </w:t>
      </w:r>
      <w:r>
        <w:rPr>
          <w:b/>
        </w:rPr>
        <w:t>a </w:t>
      </w:r>
      <w:r>
        <w:t xml:space="preserve">Simulated ground truth indicating the positions of individual molecules in the image. </w:t>
      </w:r>
      <w:r>
        <w:rPr>
          <w:b/>
        </w:rPr>
        <w:t>b</w:t>
      </w:r>
      <w:r>
        <w:t xml:space="preserve"> Interpolated wide-field image. </w:t>
      </w:r>
      <w:r>
        <w:rPr>
          <w:b/>
        </w:rPr>
        <w:t>c</w:t>
      </w:r>
      <w:r>
        <w:t xml:space="preserve">, Average of all simulated raw frames </w:t>
      </w:r>
      <w:r>
        <w:rPr>
          <w:b/>
        </w:rPr>
        <w:t>d</w:t>
      </w:r>
      <w:r>
        <w:t xml:space="preserve">, SRRF image </w:t>
      </w:r>
      <w:r>
        <w:rPr>
          <w:b/>
        </w:rPr>
        <w:t>e,</w:t>
      </w:r>
      <w:r>
        <w:t xml:space="preserve"> eSRRF image. </w:t>
      </w:r>
      <w:r>
        <w:rPr>
          <w:b/>
        </w:rPr>
        <w:t>f</w:t>
      </w:r>
      <w:r>
        <w:t xml:space="preserve"> Quantitative comparisons of SRRF and eSRRF based on RSP and Resolution Scaled Error (RSE) obtained from SQUIRREL. Artifacts like the linearity loss and and over sharpening as they are observed in </w:t>
      </w:r>
      <w:r>
        <w:rPr>
          <w:b/>
        </w:rPr>
        <w:t>d</w:t>
      </w:r>
      <w:r>
        <w:t xml:space="preserve"> are significantly reduced with </w:t>
      </w:r>
      <w:r>
        <w:rPr>
          <w:b/>
        </w:rPr>
        <w:t>e</w:t>
      </w:r>
      <w:r>
        <w:t>, eSRRF processing, Scale bar: 500 nm.</w:t>
      </w:r>
    </w:p>
    <w:p w14:paraId="1841408E" w14:textId="77777777" w:rsidR="00F91E20" w:rsidRDefault="00F91E20"/>
    <w:p w14:paraId="1A56481A" w14:textId="77777777" w:rsidR="00F91E20" w:rsidRDefault="00F91E20"/>
    <w:p w14:paraId="7B18CFFA" w14:textId="77777777" w:rsidR="00F91E20" w:rsidRDefault="00F91E20"/>
    <w:p w14:paraId="01EFB56A" w14:textId="77777777" w:rsidR="00F91E20" w:rsidRDefault="00F91E20"/>
    <w:p w14:paraId="640F6644" w14:textId="77777777" w:rsidR="00F91E20" w:rsidRDefault="00F91E20"/>
    <w:p w14:paraId="3DD338D7" w14:textId="77777777" w:rsidR="00F91E20" w:rsidRDefault="00F91E20"/>
    <w:p w14:paraId="6B385D6E" w14:textId="77777777" w:rsidR="00F91E20" w:rsidRDefault="00F91E20"/>
    <w:p w14:paraId="6C65302E" w14:textId="77777777" w:rsidR="00F91E20" w:rsidRDefault="00F91E20"/>
    <w:p w14:paraId="00F65238" w14:textId="77777777" w:rsidR="00F91E20" w:rsidRDefault="00723A26">
      <w:r>
        <w:rPr>
          <w:noProof/>
          <w:lang w:val="en-US" w:eastAsia="zh-CN"/>
        </w:rPr>
        <w:lastRenderedPageBreak/>
        <w:drawing>
          <wp:inline distT="114300" distB="114300" distL="114300" distR="114300" wp14:anchorId="79F7DE8B" wp14:editId="35217F45">
            <wp:extent cx="5943600" cy="306070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5943600" cy="3060700"/>
                    </a:xfrm>
                    <a:prstGeom prst="rect">
                      <a:avLst/>
                    </a:prstGeom>
                    <a:ln/>
                  </pic:spPr>
                </pic:pic>
              </a:graphicData>
            </a:graphic>
          </wp:inline>
        </w:drawing>
      </w:r>
    </w:p>
    <w:p w14:paraId="04BCEB6A" w14:textId="77777777" w:rsidR="00F91E20" w:rsidRDefault="00723A26">
      <w:r>
        <w:rPr>
          <w:b/>
        </w:rPr>
        <w:t>Supplementary Fig. 4: SQUIRREL comparison of SRRF and eSRRF.</w:t>
      </w:r>
      <w:r>
        <w:t xml:space="preserve"> eSRRF of the actin network (GFP-UtrCH expression, 100 frames at 33 frames/s) in live COS-7 cells shows an improved fidelity with a retained FRC resolution range. The dataset was published before in Culley et al.</w:t>
      </w:r>
      <w:hyperlink r:id="rId25">
        <w:r>
          <w:rPr>
            <w:vertAlign w:val="superscript"/>
          </w:rPr>
          <w:t>11</w:t>
        </w:r>
      </w:hyperlink>
    </w:p>
    <w:p w14:paraId="5E9FF668" w14:textId="77777777" w:rsidR="00F91E20" w:rsidRDefault="00F91E20"/>
    <w:p w14:paraId="39BCE242" w14:textId="77777777" w:rsidR="00F91E20" w:rsidRDefault="00F91E20"/>
    <w:p w14:paraId="1E40DCD7" w14:textId="77777777" w:rsidR="00F91E20" w:rsidRDefault="00723A26">
      <w:r>
        <w:rPr>
          <w:noProof/>
          <w:lang w:val="en-US" w:eastAsia="zh-CN"/>
        </w:rPr>
        <w:drawing>
          <wp:inline distT="114300" distB="114300" distL="114300" distR="114300" wp14:anchorId="611C4ECF" wp14:editId="160845C0">
            <wp:extent cx="6218040" cy="289560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r="-800"/>
                    <a:stretch>
                      <a:fillRect/>
                    </a:stretch>
                  </pic:blipFill>
                  <pic:spPr>
                    <a:xfrm>
                      <a:off x="0" y="0"/>
                      <a:ext cx="6218040" cy="2895600"/>
                    </a:xfrm>
                    <a:prstGeom prst="rect">
                      <a:avLst/>
                    </a:prstGeom>
                    <a:ln/>
                  </pic:spPr>
                </pic:pic>
              </a:graphicData>
            </a:graphic>
          </wp:inline>
        </w:drawing>
      </w:r>
    </w:p>
    <w:p w14:paraId="3964D5EF" w14:textId="77777777" w:rsidR="00F91E20" w:rsidRDefault="00723A26">
      <w:r>
        <w:rPr>
          <w:b/>
        </w:rPr>
        <w:t>Supplementary Fig. 5: Temporal analyses of eSRRF as a function of the density of emitters in the raw data images.</w:t>
      </w:r>
      <w:r>
        <w:t xml:space="preserve"> The reconstructed images are shown in increasing emitter density from left to right. The corresponding average nearest-neighbor distance is stated in each panel. The wide-field and STORM equivalents are shown on the left for comparison. Scale bar 1 µm.</w:t>
      </w:r>
    </w:p>
    <w:p w14:paraId="6C7003A5" w14:textId="77777777" w:rsidR="00F91E20" w:rsidRDefault="00F91E20">
      <w:pPr>
        <w:rPr>
          <w:color w:val="00796B"/>
        </w:rPr>
      </w:pPr>
    </w:p>
    <w:p w14:paraId="2048B845" w14:textId="77777777" w:rsidR="00F91E20" w:rsidRDefault="00F91E20">
      <w:pPr>
        <w:rPr>
          <w:color w:val="00796B"/>
        </w:rPr>
      </w:pPr>
    </w:p>
    <w:p w14:paraId="20D1F520" w14:textId="77777777" w:rsidR="00F91E20" w:rsidRDefault="00723A26">
      <w:r>
        <w:rPr>
          <w:noProof/>
          <w:lang w:val="en-US" w:eastAsia="zh-CN"/>
        </w:rPr>
        <w:lastRenderedPageBreak/>
        <w:drawing>
          <wp:inline distT="114300" distB="114300" distL="114300" distR="114300" wp14:anchorId="56689577" wp14:editId="053AD159">
            <wp:extent cx="5943600" cy="298450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5943600" cy="2984500"/>
                    </a:xfrm>
                    <a:prstGeom prst="rect">
                      <a:avLst/>
                    </a:prstGeom>
                    <a:ln/>
                  </pic:spPr>
                </pic:pic>
              </a:graphicData>
            </a:graphic>
          </wp:inline>
        </w:drawing>
      </w:r>
    </w:p>
    <w:p w14:paraId="31B5A019" w14:textId="77777777" w:rsidR="00F91E20" w:rsidRDefault="00723A26">
      <w:r>
        <w:rPr>
          <w:b/>
        </w:rPr>
        <w:t>Supplementary Fig. 6: Comparison of eSRRF, HAWK+ME and ME.</w:t>
      </w:r>
      <w:r>
        <w:t xml:space="preserve"> The Maximum Likelihood Estimation multi-emitter fitting (ME) was performed using ThunderSTORM</w:t>
      </w:r>
      <w:hyperlink r:id="rId28">
        <w:r>
          <w:rPr>
            <w:vertAlign w:val="superscript"/>
          </w:rPr>
          <w:t>12</w:t>
        </w:r>
      </w:hyperlink>
      <w:r>
        <w:t>. Data shown corresponds to a DNA-PAINT acquisition of immunolabeled microtubules in fixed COS7 cells under TIRF illumination.</w:t>
      </w:r>
    </w:p>
    <w:p w14:paraId="1FCB9FE6" w14:textId="77777777" w:rsidR="00F91E20" w:rsidRDefault="00F91E20"/>
    <w:p w14:paraId="61C1F299" w14:textId="77777777" w:rsidR="00F91E20" w:rsidRDefault="00F91E20"/>
    <w:p w14:paraId="6884D2B0" w14:textId="77777777" w:rsidR="00F91E20" w:rsidRDefault="00F91E20"/>
    <w:p w14:paraId="4A93947C" w14:textId="77777777" w:rsidR="00F91E20" w:rsidRDefault="00F91E20"/>
    <w:p w14:paraId="1AB43E21" w14:textId="77777777" w:rsidR="00F91E20" w:rsidRDefault="00F91E20"/>
    <w:p w14:paraId="0FC02CBE" w14:textId="77777777" w:rsidR="00F91E20" w:rsidRDefault="00F91E20"/>
    <w:p w14:paraId="5A8123B4" w14:textId="77777777" w:rsidR="00F91E20" w:rsidRDefault="00F91E20"/>
    <w:p w14:paraId="27439073" w14:textId="77777777" w:rsidR="00F91E20" w:rsidRDefault="00723A26">
      <w:pPr>
        <w:jc w:val="center"/>
      </w:pPr>
      <w:r>
        <w:rPr>
          <w:noProof/>
          <w:lang w:val="en-US" w:eastAsia="zh-CN"/>
        </w:rPr>
        <w:lastRenderedPageBreak/>
        <w:drawing>
          <wp:inline distT="114300" distB="114300" distL="114300" distR="114300" wp14:anchorId="3C7DF203" wp14:editId="46BA3D26">
            <wp:extent cx="4000500" cy="3209925"/>
            <wp:effectExtent l="0" t="0" r="0" b="0"/>
            <wp:docPr id="1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9"/>
                    <a:srcRect b="5865"/>
                    <a:stretch>
                      <a:fillRect/>
                    </a:stretch>
                  </pic:blipFill>
                  <pic:spPr>
                    <a:xfrm>
                      <a:off x="0" y="0"/>
                      <a:ext cx="4000500" cy="3209925"/>
                    </a:xfrm>
                    <a:prstGeom prst="rect">
                      <a:avLst/>
                    </a:prstGeom>
                    <a:ln/>
                  </pic:spPr>
                </pic:pic>
              </a:graphicData>
            </a:graphic>
          </wp:inline>
        </w:drawing>
      </w:r>
    </w:p>
    <w:p w14:paraId="6609605F" w14:textId="18722E3E" w:rsidR="00F91E20" w:rsidRDefault="00723A26">
      <w:r>
        <w:rPr>
          <w:b/>
        </w:rPr>
        <w:t>Supplementary Fig. 7: eSRRF allows a fast preview of SMLM dataset reconstruction</w:t>
      </w:r>
      <w:r>
        <w:t xml:space="preserve">. Widefield imaging (top left) of the nuclear pore complex. Fast eSRRF reconstruction preview (first 2000 frames shown) reveals the open ring structure (left panel middle area and insets top panels). While fast eSRRF can resolve the central pore which has a diameter of about 140 nm, the full 8-element ring with only 40 nm gaps is only resolved by single-molecule localization analysis of the full 20 000 frames image stack (left panel bottom area and insets lower panels. The FRC resolution </w:t>
      </w:r>
      <w:r w:rsidR="00B05C44">
        <w:t>(means ±</w:t>
      </w:r>
      <w:r w:rsidR="00B05C44" w:rsidRPr="005F7566">
        <w:t xml:space="preserve"> standard deviation)</w:t>
      </w:r>
      <w:r w:rsidR="00B05C44">
        <w:t xml:space="preserve"> </w:t>
      </w:r>
      <w:r>
        <w:t>is 44.4±2.5 nm, and 35.1±6.3 for eSRRF and SMLM, respectively.,) (Dataset from Heil et al.</w:t>
      </w:r>
      <w:hyperlink r:id="rId30">
        <w:r>
          <w:rPr>
            <w:vertAlign w:val="superscript"/>
          </w:rPr>
          <w:t>13</w:t>
        </w:r>
      </w:hyperlink>
      <w:r>
        <w:t>), left panel: scale bar 1 µm, insets on the right: scale bar 100 nm.</w:t>
      </w:r>
    </w:p>
    <w:p w14:paraId="10C2F920" w14:textId="77777777" w:rsidR="00F91E20" w:rsidRDefault="00F91E20"/>
    <w:p w14:paraId="22DC0796" w14:textId="77777777" w:rsidR="00F91E20" w:rsidRDefault="00F91E20"/>
    <w:p w14:paraId="6E1BB97D" w14:textId="77777777" w:rsidR="00F91E20" w:rsidRDefault="00F91E20"/>
    <w:p w14:paraId="38A7F2DC" w14:textId="77777777" w:rsidR="00F91E20" w:rsidRDefault="00723A26">
      <w:r>
        <w:rPr>
          <w:noProof/>
          <w:lang w:val="en-US" w:eastAsia="zh-CN"/>
        </w:rPr>
        <w:lastRenderedPageBreak/>
        <w:drawing>
          <wp:inline distT="114300" distB="114300" distL="114300" distR="114300" wp14:anchorId="71C8AF65" wp14:editId="3AFDB8AB">
            <wp:extent cx="5943600" cy="411480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a:stretch>
                      <a:fillRect/>
                    </a:stretch>
                  </pic:blipFill>
                  <pic:spPr>
                    <a:xfrm>
                      <a:off x="0" y="0"/>
                      <a:ext cx="5943600" cy="4114800"/>
                    </a:xfrm>
                    <a:prstGeom prst="rect">
                      <a:avLst/>
                    </a:prstGeom>
                    <a:ln/>
                  </pic:spPr>
                </pic:pic>
              </a:graphicData>
            </a:graphic>
          </wp:inline>
        </w:drawing>
      </w:r>
    </w:p>
    <w:p w14:paraId="1E1CC4E8" w14:textId="77777777" w:rsidR="00F91E20" w:rsidRDefault="00723A26">
      <w:r>
        <w:rPr>
          <w:b/>
        </w:rPr>
        <w:t>Supplementary Fig. 8: tSSIM analysis of simulated moving particles.</w:t>
      </w:r>
      <w:r>
        <w:t xml:space="preserve"> Color coded projections of simulated image stacks displaying particles diffusing with various speeds</w:t>
      </w:r>
      <w:r>
        <w:rPr>
          <w:i/>
        </w:rPr>
        <w:t xml:space="preserve"> v </w:t>
      </w:r>
      <w:r>
        <w:t>and the resulting SSIM metric progression over time. The tSSIM metric shows sensitivity as a function of particle displacement per frame. This can be used to estimate the size of the optimal time window for eSRRF processing to avoid movement artifacts.</w:t>
      </w:r>
    </w:p>
    <w:p w14:paraId="50BAA9BC" w14:textId="77777777" w:rsidR="00F91E20" w:rsidRDefault="00F91E20"/>
    <w:p w14:paraId="240E66A4" w14:textId="77777777" w:rsidR="00F91E20" w:rsidRDefault="00723A26">
      <w:pPr>
        <w:jc w:val="center"/>
      </w:pPr>
      <w:r>
        <w:rPr>
          <w:noProof/>
          <w:lang w:val="en-US" w:eastAsia="zh-CN"/>
        </w:rPr>
        <w:lastRenderedPageBreak/>
        <w:drawing>
          <wp:inline distT="114300" distB="114300" distL="114300" distR="114300" wp14:anchorId="32A23F14" wp14:editId="155ABCA2">
            <wp:extent cx="3591924" cy="5710238"/>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t="48" b="48"/>
                    <a:stretch>
                      <a:fillRect/>
                    </a:stretch>
                  </pic:blipFill>
                  <pic:spPr>
                    <a:xfrm>
                      <a:off x="0" y="0"/>
                      <a:ext cx="3591924" cy="5710238"/>
                    </a:xfrm>
                    <a:prstGeom prst="rect">
                      <a:avLst/>
                    </a:prstGeom>
                    <a:ln/>
                  </pic:spPr>
                </pic:pic>
              </a:graphicData>
            </a:graphic>
          </wp:inline>
        </w:drawing>
      </w:r>
    </w:p>
    <w:p w14:paraId="57847725" w14:textId="77777777" w:rsidR="00F91E20" w:rsidRDefault="00723A26">
      <w:r>
        <w:rPr>
          <w:b/>
        </w:rPr>
        <w:t>Supplementary Fig. 9: tSSIM analysis performed over small image patches detects local dynamics of actin rearrangement in COS-7 cells.</w:t>
      </w:r>
      <w:r>
        <w:t xml:space="preserve"> a) The actin network in live COS-7 cells expressing the marker GFP-UtrCH was acquired at 33 fps. b) The tSSIM metric estimates the time range of motion within individual subsections of a). The different subsections highlighted in green display the color-coded projection of regions with i) fast, ii) slow, and iii) moderate speeds as is also reflected by the corresponding progression of the SSIM metric over time. Scale bar 20 µm.</w:t>
      </w:r>
    </w:p>
    <w:p w14:paraId="0FDBB0EB" w14:textId="77777777" w:rsidR="00F91E20" w:rsidRDefault="00F91E20"/>
    <w:p w14:paraId="7A1EDF1D" w14:textId="77777777" w:rsidR="00F91E20" w:rsidRDefault="00F91E20"/>
    <w:p w14:paraId="0D626123" w14:textId="77777777" w:rsidR="00F91E20" w:rsidRDefault="00723A26">
      <w:pPr>
        <w:jc w:val="center"/>
      </w:pPr>
      <w:r>
        <w:rPr>
          <w:noProof/>
          <w:lang w:val="en-US" w:eastAsia="zh-CN"/>
        </w:rPr>
        <w:lastRenderedPageBreak/>
        <w:drawing>
          <wp:inline distT="114300" distB="114300" distL="114300" distR="114300" wp14:anchorId="55034893" wp14:editId="7A04124E">
            <wp:extent cx="5538788" cy="3419136"/>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l="498" r="498"/>
                    <a:stretch>
                      <a:fillRect/>
                    </a:stretch>
                  </pic:blipFill>
                  <pic:spPr>
                    <a:xfrm>
                      <a:off x="0" y="0"/>
                      <a:ext cx="5538788" cy="3419136"/>
                    </a:xfrm>
                    <a:prstGeom prst="rect">
                      <a:avLst/>
                    </a:prstGeom>
                    <a:ln/>
                  </pic:spPr>
                </pic:pic>
              </a:graphicData>
            </a:graphic>
          </wp:inline>
        </w:drawing>
      </w:r>
    </w:p>
    <w:p w14:paraId="12352A19" w14:textId="06A7A6AD" w:rsidR="00F91E20" w:rsidRDefault="00723A26">
      <w:r>
        <w:rPr>
          <w:b/>
        </w:rPr>
        <w:t xml:space="preserve">Supplementary Fig. 10: Increasing temporal sampling by rolling window analysis. </w:t>
      </w:r>
      <w:r>
        <w:t>a) Super-resolved temporal image stack is reconstructed by analyzing consecutive frame windows (linear analysis). A rolling window analysis with a frame gap of less than the window size allows to increase the temporal sampling rate and can translate into a higher temporal resolution without sacrificing spatial resolution. b) This allows to visualize dynamic rearrangement of the endoplasmic reticulum (ER, red arrow) acquired by live-cell HiLO-TIRF of COS-7 cells expressing PrSS-mEmerald-KDEL at a frame rate of 1 Hz with a 100 frame-window linear eSRRF analysis. c) The rolling window analysis with a frame gap of 10 frame allows to increase the temporal sampling to 10 Hz, thus, revealing the substeps of the ER tubule formation (red arrow), image section width 3 µm, FRC resolution</w:t>
      </w:r>
      <w:r w:rsidR="00B05C44">
        <w:t xml:space="preserve"> (means ±</w:t>
      </w:r>
      <w:r w:rsidR="00B05C44" w:rsidRPr="005F7566">
        <w:t xml:space="preserve"> standard deviation)</w:t>
      </w:r>
      <w:r>
        <w:t>: eSRRF: 143±56 nm, Scale bar 2 µm.</w:t>
      </w:r>
    </w:p>
    <w:p w14:paraId="1C9CC545" w14:textId="77777777" w:rsidR="00F91E20" w:rsidRDefault="00F91E20"/>
    <w:p w14:paraId="4548A6C8" w14:textId="77777777" w:rsidR="00F91E20" w:rsidRDefault="00F91E20"/>
    <w:p w14:paraId="0F3321C6" w14:textId="77777777" w:rsidR="00F91E20" w:rsidRDefault="00F91E20"/>
    <w:p w14:paraId="37A3579C" w14:textId="77777777" w:rsidR="00F91E20" w:rsidRDefault="00723A26">
      <w:pPr>
        <w:jc w:val="center"/>
      </w:pPr>
      <w:r>
        <w:rPr>
          <w:noProof/>
          <w:lang w:val="en-US" w:eastAsia="zh-CN"/>
        </w:rPr>
        <w:lastRenderedPageBreak/>
        <w:drawing>
          <wp:inline distT="114300" distB="114300" distL="114300" distR="114300" wp14:anchorId="093F318D" wp14:editId="4FCA9F6B">
            <wp:extent cx="4711700" cy="636899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l="8531" t="6724" b="6724"/>
                    <a:stretch>
                      <a:fillRect/>
                    </a:stretch>
                  </pic:blipFill>
                  <pic:spPr>
                    <a:xfrm>
                      <a:off x="0" y="0"/>
                      <a:ext cx="4744504" cy="6413338"/>
                    </a:xfrm>
                    <a:prstGeom prst="rect">
                      <a:avLst/>
                    </a:prstGeom>
                    <a:ln/>
                  </pic:spPr>
                </pic:pic>
              </a:graphicData>
            </a:graphic>
          </wp:inline>
        </w:drawing>
      </w:r>
    </w:p>
    <w:p w14:paraId="1064DBBC" w14:textId="77777777" w:rsidR="00F91E20" w:rsidRDefault="00723A26">
      <w:r>
        <w:rPr>
          <w:b/>
        </w:rPr>
        <w:t xml:space="preserve">Supplementary Fig. 11: eSRRF enhances spinning-disk confocal imaging deep inside fixed and live cells, spheroid and organisms. a) </w:t>
      </w:r>
      <w:r>
        <w:t>U2OS cells expressing endogenously tagged paxillin were plated on 9.6 kPa polyacrylamide (PAM) gels and were imaged live using a spinning-disk confocal (SDC). b) DCIS.com lifeact-RFP cells forming a spheroid in 3D matrigel in the presence of fluorescently labeled collagen I. Samples were fixed and imaged using a spinning-disk confocal microscope and processed using eSRRF. Representative fields of view highlighting the spheroids’ middle and bottom planes are displayed. c) Zebrafish embryos expressing mcherryCAAX in the endothelium were imaged live using a spinning-disk confocal. Vessels located at different parts of the embryo were imaged. For all panels, the eSRRF reconstructed images and the original spinning disk images are displayed. Scale bars 25 μm.</w:t>
      </w:r>
    </w:p>
    <w:p w14:paraId="084E6988" w14:textId="77777777" w:rsidR="00F91E20" w:rsidRDefault="00F91E20">
      <w:pPr>
        <w:rPr>
          <w:b/>
        </w:rPr>
      </w:pPr>
    </w:p>
    <w:p w14:paraId="43333CA8" w14:textId="77777777" w:rsidR="00F91E20" w:rsidRDefault="00F91E20">
      <w:pPr>
        <w:rPr>
          <w:b/>
        </w:rPr>
      </w:pPr>
    </w:p>
    <w:p w14:paraId="1FAABFFE" w14:textId="77777777" w:rsidR="00F91E20" w:rsidRDefault="00723A26">
      <w:r>
        <w:rPr>
          <w:noProof/>
          <w:lang w:val="en-US" w:eastAsia="zh-CN"/>
        </w:rPr>
        <w:drawing>
          <wp:inline distT="114300" distB="114300" distL="114300" distR="114300" wp14:anchorId="74A8A237" wp14:editId="046401DC">
            <wp:extent cx="5943600" cy="44577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5943600" cy="4457700"/>
                    </a:xfrm>
                    <a:prstGeom prst="rect">
                      <a:avLst/>
                    </a:prstGeom>
                    <a:ln/>
                  </pic:spPr>
                </pic:pic>
              </a:graphicData>
            </a:graphic>
          </wp:inline>
        </w:drawing>
      </w:r>
    </w:p>
    <w:p w14:paraId="74942745" w14:textId="77777777" w:rsidR="00F91E20" w:rsidRDefault="00723A26">
      <w:r>
        <w:rPr>
          <w:b/>
        </w:rPr>
        <w:t>Supplementary Fig. 12: 3D eSRRF on a simulated dataset.</w:t>
      </w:r>
      <w:r>
        <w:t xml:space="preserve"> The height of the filament is color coded as indicated by the false color scale. </w:t>
      </w:r>
    </w:p>
    <w:p w14:paraId="72B38484" w14:textId="77777777" w:rsidR="00F91E20" w:rsidRDefault="00F91E20"/>
    <w:p w14:paraId="6BEF9EEE" w14:textId="77777777" w:rsidR="00F91E20" w:rsidRDefault="00F91E20"/>
    <w:p w14:paraId="62B10EB7" w14:textId="77777777" w:rsidR="00F91E20" w:rsidRDefault="00F91E20"/>
    <w:p w14:paraId="3D8E5EDE" w14:textId="77777777" w:rsidR="00F91E20" w:rsidRDefault="00F91E20"/>
    <w:p w14:paraId="19DA4311" w14:textId="77777777" w:rsidR="00F91E20" w:rsidRDefault="00F91E20"/>
    <w:p w14:paraId="654BA38A" w14:textId="77777777" w:rsidR="00F91E20" w:rsidRDefault="00F91E20"/>
    <w:p w14:paraId="21CDC019" w14:textId="77777777" w:rsidR="00F91E20" w:rsidRDefault="00F91E20"/>
    <w:p w14:paraId="6D4F4630" w14:textId="77777777" w:rsidR="00F91E20" w:rsidRDefault="00F91E20"/>
    <w:p w14:paraId="154487BE" w14:textId="77777777" w:rsidR="00F91E20" w:rsidRDefault="00F91E20"/>
    <w:p w14:paraId="01183182" w14:textId="77777777" w:rsidR="00F91E20" w:rsidRDefault="00F91E20"/>
    <w:p w14:paraId="18300585" w14:textId="77777777" w:rsidR="00F91E20" w:rsidRDefault="00F91E20"/>
    <w:p w14:paraId="05508920" w14:textId="77777777" w:rsidR="00F91E20" w:rsidRDefault="00F91E20"/>
    <w:p w14:paraId="7DA94C60" w14:textId="77777777" w:rsidR="00F91E20" w:rsidRDefault="00F91E20"/>
    <w:p w14:paraId="62E40CD3" w14:textId="77777777" w:rsidR="00F91E20" w:rsidRDefault="00F91E20"/>
    <w:p w14:paraId="61CCEC51" w14:textId="77777777" w:rsidR="00F91E20" w:rsidRDefault="00F91E20"/>
    <w:p w14:paraId="0D92CE53" w14:textId="77777777" w:rsidR="00F91E20" w:rsidRDefault="00F91E20"/>
    <w:p w14:paraId="5401F309" w14:textId="77777777" w:rsidR="00F91E20" w:rsidRDefault="00F91E20"/>
    <w:p w14:paraId="69D5728A" w14:textId="77777777" w:rsidR="00F91E20" w:rsidRDefault="00F91E20"/>
    <w:p w14:paraId="3C9802E8" w14:textId="77777777" w:rsidR="00F91E20" w:rsidRDefault="00723A26">
      <w:pPr>
        <w:jc w:val="center"/>
      </w:pPr>
      <w:r>
        <w:rPr>
          <w:noProof/>
          <w:lang w:val="en-US" w:eastAsia="zh-CN"/>
        </w:rPr>
        <w:drawing>
          <wp:inline distT="114300" distB="114300" distL="114300" distR="114300" wp14:anchorId="0BA7FB5D" wp14:editId="4662D93B">
            <wp:extent cx="3535590" cy="3700463"/>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t="1" b="1"/>
                    <a:stretch>
                      <a:fillRect/>
                    </a:stretch>
                  </pic:blipFill>
                  <pic:spPr>
                    <a:xfrm>
                      <a:off x="0" y="0"/>
                      <a:ext cx="3535590" cy="3700463"/>
                    </a:xfrm>
                    <a:prstGeom prst="rect">
                      <a:avLst/>
                    </a:prstGeom>
                    <a:ln/>
                  </pic:spPr>
                </pic:pic>
              </a:graphicData>
            </a:graphic>
          </wp:inline>
        </w:drawing>
      </w:r>
    </w:p>
    <w:p w14:paraId="2EB451E7" w14:textId="77CB3F24" w:rsidR="00F91E20" w:rsidRDefault="00723A26">
      <w:r>
        <w:rPr>
          <w:b/>
        </w:rPr>
        <w:t xml:space="preserve">Supplementary Fig. 13: 3D PSF in the nine focus planes of the MFM displays only minor aberrations and good radial symmetry. </w:t>
      </w:r>
      <w:r>
        <w:t>x-z view of the PSF mapped with the bead calibration dataset displayed in a) linear and b) logarithmic brightness scale (FWHM</w:t>
      </w:r>
      <w:r>
        <w:rPr>
          <w:vertAlign w:val="subscript"/>
        </w:rPr>
        <w:t>X</w:t>
      </w:r>
      <w:r>
        <w:t>=431±19 nm, FWHM</w:t>
      </w:r>
      <w:r>
        <w:rPr>
          <w:vertAlign w:val="subscript"/>
        </w:rPr>
        <w:t>z</w:t>
      </w:r>
      <w:r>
        <w:t>=704±45 nm</w:t>
      </w:r>
      <w:r w:rsidR="00B05C44">
        <w:t>, means ±</w:t>
      </w:r>
      <w:r w:rsidR="00B05C44" w:rsidRPr="005F7566">
        <w:t xml:space="preserve"> standard deviation</w:t>
      </w:r>
      <w:r>
        <w:t>)</w:t>
      </w:r>
      <w:r>
        <w:rPr>
          <w:b/>
        </w:rPr>
        <w:t>.</w:t>
      </w:r>
      <w:r>
        <w:t xml:space="preserve"> The focus offset dz between each focal plane is 390 nm. Scale bars 2 µm.</w:t>
      </w:r>
    </w:p>
    <w:p w14:paraId="56B6D9AB" w14:textId="77777777" w:rsidR="00F91E20" w:rsidRDefault="00F91E20"/>
    <w:p w14:paraId="3FC94B4A" w14:textId="77777777" w:rsidR="00F91E20" w:rsidRDefault="00723A26">
      <w:pPr>
        <w:jc w:val="center"/>
      </w:pPr>
      <w:r>
        <w:rPr>
          <w:noProof/>
          <w:lang w:val="en-US" w:eastAsia="zh-CN"/>
        </w:rPr>
        <w:lastRenderedPageBreak/>
        <w:drawing>
          <wp:inline distT="114300" distB="114300" distL="114300" distR="114300" wp14:anchorId="593479FC" wp14:editId="4D38924F">
            <wp:extent cx="2352675" cy="4391747"/>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l="250" r="250"/>
                    <a:stretch>
                      <a:fillRect/>
                    </a:stretch>
                  </pic:blipFill>
                  <pic:spPr>
                    <a:xfrm>
                      <a:off x="0" y="0"/>
                      <a:ext cx="2352675" cy="4391747"/>
                    </a:xfrm>
                    <a:prstGeom prst="rect">
                      <a:avLst/>
                    </a:prstGeom>
                    <a:ln/>
                  </pic:spPr>
                </pic:pic>
              </a:graphicData>
            </a:graphic>
          </wp:inline>
        </w:drawing>
      </w:r>
    </w:p>
    <w:p w14:paraId="285A2B61" w14:textId="77777777" w:rsidR="00F91E20" w:rsidRDefault="00723A26">
      <w:r>
        <w:rPr>
          <w:b/>
        </w:rPr>
        <w:t>Supplementary Fig. 14: Deconvolved 3D image stack of U2OS cells expressing TOM20-Halo, loaded with JF549 acquired with MFM.</w:t>
      </w:r>
      <w:r>
        <w:t xml:space="preserve"> </w:t>
      </w:r>
      <w:r>
        <w:rPr>
          <w:b/>
        </w:rPr>
        <w:t>a</w:t>
      </w:r>
      <w:r>
        <w:t xml:space="preserve"> 3D rendering,</w:t>
      </w:r>
      <w:r>
        <w:rPr>
          <w:b/>
        </w:rPr>
        <w:t xml:space="preserve"> b</w:t>
      </w:r>
      <w:r>
        <w:t xml:space="preserve"> single </w:t>
      </w:r>
      <w:r>
        <w:rPr>
          <w:i/>
        </w:rPr>
        <w:t>z</w:t>
      </w:r>
      <w:r>
        <w:t xml:space="preserve">-slice and </w:t>
      </w:r>
      <w:r>
        <w:rPr>
          <w:b/>
        </w:rPr>
        <w:t>c</w:t>
      </w:r>
      <w:r>
        <w:t xml:space="preserve"> single cropped y-slice. i) and ii) are the line profiles in </w:t>
      </w:r>
      <w:r>
        <w:rPr>
          <w:i/>
        </w:rPr>
        <w:t>x</w:t>
      </w:r>
      <w:r>
        <w:t>,</w:t>
      </w:r>
      <w:r>
        <w:rPr>
          <w:i/>
        </w:rPr>
        <w:t>y</w:t>
      </w:r>
      <w:r>
        <w:t xml:space="preserve"> and </w:t>
      </w:r>
      <w:r>
        <w:rPr>
          <w:i/>
        </w:rPr>
        <w:t>z</w:t>
      </w:r>
      <w:r>
        <w:t xml:space="preserve">-plane displayed in Figure 4. Scale bars 2 µm. </w:t>
      </w:r>
    </w:p>
    <w:p w14:paraId="263EE562" w14:textId="77777777" w:rsidR="00F91E20" w:rsidRDefault="00F91E20"/>
    <w:p w14:paraId="55F29C78" w14:textId="77777777" w:rsidR="00F91E20" w:rsidRDefault="00F91E20"/>
    <w:p w14:paraId="57698674" w14:textId="77777777" w:rsidR="00F91E20" w:rsidRDefault="00F91E20"/>
    <w:p w14:paraId="0657E856" w14:textId="77777777" w:rsidR="00F91E20" w:rsidRDefault="00F91E20"/>
    <w:p w14:paraId="7578D6B3" w14:textId="77777777" w:rsidR="00F91E20" w:rsidRDefault="00F91E20"/>
    <w:p w14:paraId="37D1785B" w14:textId="77777777" w:rsidR="00F91E20" w:rsidRDefault="00F91E20"/>
    <w:p w14:paraId="7A03011D" w14:textId="77777777" w:rsidR="00F91E20" w:rsidRDefault="00F91E20"/>
    <w:p w14:paraId="604EAF5E" w14:textId="77777777" w:rsidR="00F91E20" w:rsidRDefault="00F91E20"/>
    <w:p w14:paraId="45AA9079" w14:textId="77777777" w:rsidR="00F91E20" w:rsidRDefault="00F91E20"/>
    <w:p w14:paraId="3B755E4E" w14:textId="77777777" w:rsidR="00F91E20" w:rsidRDefault="00F91E20"/>
    <w:p w14:paraId="20AFA2D7" w14:textId="77777777" w:rsidR="00F91E20" w:rsidRDefault="00F91E20"/>
    <w:p w14:paraId="0D06D70B" w14:textId="77777777" w:rsidR="00F91E20" w:rsidRDefault="00F91E20"/>
    <w:p w14:paraId="5A7478AB" w14:textId="77777777" w:rsidR="00F91E20" w:rsidRDefault="00F91E20"/>
    <w:p w14:paraId="41461063" w14:textId="77777777" w:rsidR="00F91E20" w:rsidRDefault="00F91E20"/>
    <w:p w14:paraId="37EF7EC1" w14:textId="77777777" w:rsidR="00F91E20" w:rsidRDefault="00F91E20"/>
    <w:p w14:paraId="79DE9551" w14:textId="77777777" w:rsidR="00F91E20" w:rsidRDefault="00F91E20"/>
    <w:p w14:paraId="6B133125" w14:textId="77777777" w:rsidR="00F91E20" w:rsidRDefault="00723A26">
      <w:pPr>
        <w:pStyle w:val="Heading1"/>
        <w:rPr>
          <w:b/>
        </w:rPr>
      </w:pPr>
      <w:bookmarkStart w:id="12" w:name="_uh9bwgntz85x" w:colFirst="0" w:colLast="0"/>
      <w:bookmarkEnd w:id="12"/>
      <w:r>
        <w:lastRenderedPageBreak/>
        <w:t>Supplementary Movies</w:t>
      </w:r>
    </w:p>
    <w:p w14:paraId="5A5147DC" w14:textId="114FDFAD" w:rsidR="00F91E20" w:rsidRDefault="00723A26">
      <w:r>
        <w:rPr>
          <w:b/>
        </w:rPr>
        <w:t xml:space="preserve">Supplementary Movie 1: Automated reconstruction parameter search tool implemented in eSRRF. </w:t>
      </w:r>
      <w:r>
        <w:t xml:space="preserve">200 frames of the live-cell TIRF imaging dataset of COS-7 cells expressing Lyn kinase – SkylanS were analysed with eSRRF covering the Radius </w:t>
      </w:r>
      <w:r>
        <w:rPr>
          <w:i/>
        </w:rPr>
        <w:t>R</w:t>
      </w:r>
      <w:r>
        <w:t xml:space="preserve"> and Sensitivity </w:t>
      </w:r>
      <w:r>
        <w:rPr>
          <w:i/>
        </w:rPr>
        <w:t>S</w:t>
      </w:r>
      <w:r>
        <w:t xml:space="preserve"> parameter space defined by </w:t>
      </w:r>
      <w:r>
        <w:rPr>
          <w:i/>
        </w:rPr>
        <w:t>R</w:t>
      </w:r>
      <w:r>
        <w:rPr>
          <w:i/>
          <w:vertAlign w:val="subscript"/>
        </w:rPr>
        <w:t xml:space="preserve">start </w:t>
      </w:r>
      <w:r>
        <w:t xml:space="preserve">=1, step size=0.5, number of steps=5 and </w:t>
      </w:r>
      <w:r>
        <w:rPr>
          <w:i/>
        </w:rPr>
        <w:t>S</w:t>
      </w:r>
      <w:r>
        <w:rPr>
          <w:i/>
          <w:vertAlign w:val="subscript"/>
        </w:rPr>
        <w:t>start</w:t>
      </w:r>
      <w:r>
        <w:rPr>
          <w:vertAlign w:val="subscript"/>
        </w:rPr>
        <w:t xml:space="preserve"> </w:t>
      </w:r>
      <w:r>
        <w:t xml:space="preserve">=1, step size=1, number of steps=5. The eSRRF reconstruction for each parameter combination is presented on the left, while the corresponding image resolution and fidelity is marked with a yellow square in the respective FRC and RSP maps. At a low R values pixel artifacts are evident, while at higher R values and low S values no high resolution is achieved. If both, R and S values, are high the reconstruction displays a high degree of nonlinearity. The compromise between resolution and fidelity is represented in the QnR map which displays a maximum at the parameter combination R=2 and S=4 (marked in red). </w:t>
      </w:r>
    </w:p>
    <w:p w14:paraId="7B3EA0A7" w14:textId="77777777" w:rsidR="00F91E20" w:rsidRDefault="00F91E20">
      <w:pPr>
        <w:rPr>
          <w:b/>
        </w:rPr>
      </w:pPr>
    </w:p>
    <w:p w14:paraId="2CA62FCA" w14:textId="77777777" w:rsidR="00F91E20" w:rsidRDefault="00723A26">
      <w:pPr>
        <w:rPr>
          <w:b/>
        </w:rPr>
      </w:pPr>
      <w:r>
        <w:rPr>
          <w:b/>
        </w:rPr>
        <w:t xml:space="preserve">Supplementary Movie 2: Live-cell HiLO-TIRF of COS-7 cells expressing </w:t>
      </w:r>
    </w:p>
    <w:p w14:paraId="7E841B71" w14:textId="48FE425A" w:rsidR="00F91E20" w:rsidRDefault="00723A26">
      <w:pPr>
        <w:rPr>
          <w:b/>
        </w:rPr>
      </w:pPr>
      <w:r>
        <w:rPr>
          <w:b/>
        </w:rPr>
        <w:t xml:space="preserve">PrSS-mEmerald-KDEL marking the ER lumen. </w:t>
      </w:r>
      <w:r>
        <w:t>WF and eSRRF reconstruction of COS-7 cells expressing a luminal ER marker allows live-cell super-resolution imaging (FRC resolution WF/eSRRF</w:t>
      </w:r>
      <w:r w:rsidR="00B05C44">
        <w:t xml:space="preserve"> (means ±</w:t>
      </w:r>
      <w:r w:rsidR="00B05C44" w:rsidRPr="005F7566">
        <w:t xml:space="preserve"> standard deviation)</w:t>
      </w:r>
      <w:r>
        <w:t xml:space="preserve">: 254±11/143±56 nm) at a sampling rate of 1 Hz. Rolling window analysis allows to speed up temporal sampling to 10 Hz. </w:t>
      </w:r>
    </w:p>
    <w:p w14:paraId="2D1DADB2" w14:textId="77777777" w:rsidR="00F91E20" w:rsidRDefault="00F91E20">
      <w:pPr>
        <w:rPr>
          <w:b/>
        </w:rPr>
      </w:pPr>
    </w:p>
    <w:p w14:paraId="669D5204" w14:textId="77777777" w:rsidR="00F91E20" w:rsidRDefault="00723A26">
      <w:pPr>
        <w:rPr>
          <w:b/>
        </w:rPr>
      </w:pPr>
      <w:r>
        <w:rPr>
          <w:b/>
        </w:rPr>
        <w:t xml:space="preserve">Supplementary Movie 3: Lattice-light sheet imaging of ER in live Jurkat T-cells enhanced by eSRRF. </w:t>
      </w:r>
      <w:r>
        <w:t>Slice-by-slice processing of the data set allows the reconstruction of a volumetric view (79 x 55 x 35 µm</w:t>
      </w:r>
      <w:r>
        <w:rPr>
          <w:vertAlign w:val="superscript"/>
        </w:rPr>
        <w:t>3</w:t>
      </w:r>
      <w:r>
        <w:t>) of the ER network in live Jurkat T-cells at a rate of 7.6 mHz.</w:t>
      </w:r>
    </w:p>
    <w:p w14:paraId="3C6040D0" w14:textId="77777777" w:rsidR="00F91E20" w:rsidRDefault="00F91E20">
      <w:pPr>
        <w:rPr>
          <w:b/>
        </w:rPr>
      </w:pPr>
    </w:p>
    <w:p w14:paraId="53A351D7" w14:textId="77777777" w:rsidR="00F91E20" w:rsidRDefault="00723A26">
      <w:r>
        <w:rPr>
          <w:b/>
        </w:rPr>
        <w:t xml:space="preserve">Supplementary Movie 4: Live-cell 3D eSRRF of mitochondria dynamics with MFM. </w:t>
      </w:r>
      <w:r>
        <w:t>Live-cell volumetric imaging of U2OS cells expressing TOM20-Halo, loaded with JF549 with MFM of a 20 x 20 x 3.6 μm3 at a volume frequency of 1Hz, the grid size is 2 µm.</w:t>
      </w:r>
    </w:p>
    <w:p w14:paraId="3B877C9F" w14:textId="77777777" w:rsidR="00F91E20" w:rsidRDefault="00F91E20">
      <w:pPr>
        <w:rPr>
          <w:b/>
        </w:rPr>
      </w:pPr>
    </w:p>
    <w:p w14:paraId="57C4BF98" w14:textId="77777777" w:rsidR="00F91E20" w:rsidRDefault="00723A26">
      <w:r>
        <w:rPr>
          <w:b/>
        </w:rPr>
        <w:t xml:space="preserve">Supplementary Movie 5: Observing mitochondria dynamics with live-cell 3D eSRRF with MFM. </w:t>
      </w:r>
      <w:r>
        <w:t>Single z slice image over the whole MFM acquisition time of U2OS cells expressing TOM20-Halo loaded with JF549, before (left) and after eSRRF processing (right). Scale bar 2 µm.</w:t>
      </w:r>
    </w:p>
    <w:p w14:paraId="31F71046" w14:textId="77777777" w:rsidR="00F91E20" w:rsidRDefault="00F91E20">
      <w:pPr>
        <w:rPr>
          <w:b/>
        </w:rPr>
      </w:pPr>
    </w:p>
    <w:p w14:paraId="6E38100A" w14:textId="77777777" w:rsidR="00F91E20" w:rsidRDefault="00F91E20">
      <w:pPr>
        <w:rPr>
          <w:b/>
        </w:rPr>
      </w:pPr>
    </w:p>
    <w:p w14:paraId="77CC3BD4" w14:textId="77777777" w:rsidR="00F91E20" w:rsidRDefault="00F91E20"/>
    <w:p w14:paraId="712018F1" w14:textId="77777777" w:rsidR="00F91E20" w:rsidRDefault="00F91E20"/>
    <w:p w14:paraId="7769C929" w14:textId="77777777" w:rsidR="00F91E20" w:rsidRDefault="00723A26">
      <w:r>
        <w:br w:type="page"/>
      </w:r>
    </w:p>
    <w:p w14:paraId="30573497" w14:textId="77777777" w:rsidR="00F91E20" w:rsidRDefault="00723A26">
      <w:pPr>
        <w:pStyle w:val="Heading1"/>
      </w:pPr>
      <w:bookmarkStart w:id="13" w:name="_udrwkxreghkv" w:colFirst="0" w:colLast="0"/>
      <w:bookmarkEnd w:id="13"/>
      <w:r>
        <w:lastRenderedPageBreak/>
        <w:t>References</w:t>
      </w:r>
    </w:p>
    <w:p w14:paraId="1C8940BA" w14:textId="77777777" w:rsidR="00F91E20" w:rsidRDefault="00F91E20"/>
    <w:p w14:paraId="5884D811"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38">
        <w:r w:rsidR="00723A26">
          <w:t>1.</w:t>
        </w:r>
        <w:r w:rsidR="00723A26">
          <w:tab/>
          <w:t xml:space="preserve">Marsh, R. J. </w:t>
        </w:r>
      </w:hyperlink>
      <w:hyperlink r:id="rId39">
        <w:r w:rsidR="00723A26">
          <w:rPr>
            <w:i/>
          </w:rPr>
          <w:t>et al.</w:t>
        </w:r>
      </w:hyperlink>
      <w:hyperlink r:id="rId40">
        <w:r w:rsidR="00723A26">
          <w:t xml:space="preserve"> Artifact-free high-density localization microscopy analysis. </w:t>
        </w:r>
      </w:hyperlink>
      <w:hyperlink r:id="rId41">
        <w:r w:rsidR="00723A26">
          <w:rPr>
            <w:i/>
          </w:rPr>
          <w:t>Nat. Methods</w:t>
        </w:r>
      </w:hyperlink>
      <w:hyperlink r:id="rId42">
        <w:r w:rsidR="00723A26">
          <w:t xml:space="preserve"> (2018) doi:10.1038/s41592-018-0072-5.</w:t>
        </w:r>
      </w:hyperlink>
    </w:p>
    <w:p w14:paraId="7B61DC5D"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43">
        <w:r w:rsidR="00723A26">
          <w:t>2.</w:t>
        </w:r>
        <w:r w:rsidR="00723A26">
          <w:tab/>
          <w:t xml:space="preserve">Culley, S. </w:t>
        </w:r>
      </w:hyperlink>
      <w:hyperlink r:id="rId44">
        <w:r w:rsidR="00723A26">
          <w:rPr>
            <w:i/>
          </w:rPr>
          <w:t>et al.</w:t>
        </w:r>
      </w:hyperlink>
      <w:hyperlink r:id="rId45">
        <w:r w:rsidR="00723A26">
          <w:t xml:space="preserve"> Quantitative mapping and minimization of super-resolution optical imaging artifacts. </w:t>
        </w:r>
      </w:hyperlink>
      <w:hyperlink r:id="rId46">
        <w:r w:rsidR="00723A26">
          <w:rPr>
            <w:i/>
          </w:rPr>
          <w:t xml:space="preserve">Nat. Methods </w:t>
        </w:r>
      </w:hyperlink>
      <w:hyperlink r:id="rId47">
        <w:r w:rsidR="00723A26">
          <w:rPr>
            <w:b/>
          </w:rPr>
          <w:t>15</w:t>
        </w:r>
      </w:hyperlink>
      <w:hyperlink r:id="rId48">
        <w:r w:rsidR="00723A26">
          <w:t>, 263–266 (2018).</w:t>
        </w:r>
      </w:hyperlink>
    </w:p>
    <w:p w14:paraId="744FD3F8"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49">
        <w:r w:rsidR="00723A26">
          <w:t>3.</w:t>
        </w:r>
        <w:r w:rsidR="00723A26">
          <w:tab/>
          <w:t xml:space="preserve">Parthasarathy, R. Rapid, accurate particle tracking by calculation of radial symmetry centers. </w:t>
        </w:r>
      </w:hyperlink>
      <w:hyperlink r:id="rId50">
        <w:r w:rsidR="00723A26">
          <w:rPr>
            <w:i/>
          </w:rPr>
          <w:t xml:space="preserve">Nat. Methods </w:t>
        </w:r>
      </w:hyperlink>
      <w:hyperlink r:id="rId51">
        <w:r w:rsidR="00723A26">
          <w:rPr>
            <w:b/>
          </w:rPr>
          <w:t>9</w:t>
        </w:r>
      </w:hyperlink>
      <w:hyperlink r:id="rId52">
        <w:r w:rsidR="00723A26">
          <w:t>, 724–726 (2012).</w:t>
        </w:r>
      </w:hyperlink>
    </w:p>
    <w:p w14:paraId="3583B86C"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53">
        <w:r w:rsidR="00723A26">
          <w:t>4.</w:t>
        </w:r>
        <w:r w:rsidR="00723A26">
          <w:tab/>
          <w:t>Roberts, L. Machine perception of 3-D solids, optical and electro-optical information processing. (1965).</w:t>
        </w:r>
      </w:hyperlink>
    </w:p>
    <w:p w14:paraId="1946CD4C"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54">
        <w:r w:rsidR="00723A26">
          <w:t>5.</w:t>
        </w:r>
        <w:r w:rsidR="00723A26">
          <w:tab/>
          <w:t xml:space="preserve">Mendel, J. M. Tutorial on higher-order statistics (spectra) in signal processing and system theory: theoretical results and some applications. </w:t>
        </w:r>
      </w:hyperlink>
      <w:hyperlink r:id="rId55">
        <w:r w:rsidR="00723A26">
          <w:rPr>
            <w:i/>
          </w:rPr>
          <w:t xml:space="preserve">Proc. IEEE </w:t>
        </w:r>
      </w:hyperlink>
      <w:hyperlink r:id="rId56">
        <w:r w:rsidR="00723A26">
          <w:rPr>
            <w:b/>
          </w:rPr>
          <w:t>79</w:t>
        </w:r>
      </w:hyperlink>
      <w:hyperlink r:id="rId57">
        <w:r w:rsidR="00723A26">
          <w:t>, 278–305 (1991).</w:t>
        </w:r>
      </w:hyperlink>
    </w:p>
    <w:p w14:paraId="4C3E89B7"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58">
        <w:r w:rsidR="00723A26">
          <w:t>6.</w:t>
        </w:r>
        <w:r w:rsidR="00723A26">
          <w:tab/>
          <w:t xml:space="preserve">Gustafsson, N. </w:t>
        </w:r>
      </w:hyperlink>
      <w:hyperlink r:id="rId59">
        <w:r w:rsidR="00723A26">
          <w:rPr>
            <w:i/>
          </w:rPr>
          <w:t>et al.</w:t>
        </w:r>
      </w:hyperlink>
      <w:hyperlink r:id="rId60">
        <w:r w:rsidR="00723A26">
          <w:t xml:space="preserve"> Fast live-cell conventional fluorophore nanoscopy with ImageJ through super-resolution radial fluctuations. </w:t>
        </w:r>
      </w:hyperlink>
      <w:hyperlink r:id="rId61">
        <w:r w:rsidR="00723A26">
          <w:rPr>
            <w:i/>
          </w:rPr>
          <w:t xml:space="preserve">Nat. Commun. </w:t>
        </w:r>
      </w:hyperlink>
      <w:hyperlink r:id="rId62">
        <w:r w:rsidR="00723A26">
          <w:rPr>
            <w:b/>
          </w:rPr>
          <w:t>7</w:t>
        </w:r>
      </w:hyperlink>
      <w:hyperlink r:id="rId63">
        <w:r w:rsidR="00723A26">
          <w:t>, 12471 (2016).</w:t>
        </w:r>
      </w:hyperlink>
    </w:p>
    <w:p w14:paraId="163618A9"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64">
        <w:r w:rsidR="00723A26">
          <w:t>7.</w:t>
        </w:r>
        <w:r w:rsidR="00723A26">
          <w:tab/>
          <w:t xml:space="preserve">Agarwal, K. &amp; Macháň, R. Multiple signal classification algorithm for super-resolution fluorescence microscopy. </w:t>
        </w:r>
      </w:hyperlink>
      <w:hyperlink r:id="rId65">
        <w:r w:rsidR="00723A26">
          <w:rPr>
            <w:i/>
          </w:rPr>
          <w:t xml:space="preserve">Nat. Commun. </w:t>
        </w:r>
      </w:hyperlink>
      <w:hyperlink r:id="rId66">
        <w:r w:rsidR="00723A26">
          <w:rPr>
            <w:b/>
          </w:rPr>
          <w:t>7</w:t>
        </w:r>
      </w:hyperlink>
      <w:hyperlink r:id="rId67">
        <w:r w:rsidR="00723A26">
          <w:t>, 13752 (2016).</w:t>
        </w:r>
      </w:hyperlink>
    </w:p>
    <w:p w14:paraId="345CC371"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68">
        <w:r w:rsidR="00723A26">
          <w:t>8.</w:t>
        </w:r>
        <w:r w:rsidR="00723A26">
          <w:tab/>
          <w:t xml:space="preserve">Dertinger, T., Colyer, R., Iyer, G., Weiss, S. &amp; Enderlein, J. Fast, background-free, 3D super-resolution optical fluctuation imaging (SOFI). </w:t>
        </w:r>
      </w:hyperlink>
      <w:hyperlink r:id="rId69">
        <w:r w:rsidR="00723A26">
          <w:rPr>
            <w:i/>
          </w:rPr>
          <w:t xml:space="preserve">Proc. Natl. Acad. Sci. </w:t>
        </w:r>
      </w:hyperlink>
      <w:hyperlink r:id="rId70">
        <w:r w:rsidR="00723A26">
          <w:rPr>
            <w:b/>
          </w:rPr>
          <w:t>106</w:t>
        </w:r>
      </w:hyperlink>
      <w:hyperlink r:id="rId71">
        <w:r w:rsidR="00723A26">
          <w:t>, 22287–22292 (2009).</w:t>
        </w:r>
      </w:hyperlink>
    </w:p>
    <w:p w14:paraId="65C29ACB"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72">
        <w:r w:rsidR="00723A26">
          <w:t>9.</w:t>
        </w:r>
        <w:r w:rsidR="00723A26">
          <w:tab/>
          <w:t xml:space="preserve">Zhao, W., Liu, J. &amp; Li, H. Ultrafast super-resolution imaging via auto-correlation two-step deconvolution. in </w:t>
        </w:r>
      </w:hyperlink>
      <w:hyperlink r:id="rId73">
        <w:r w:rsidR="00723A26">
          <w:rPr>
            <w:i/>
          </w:rPr>
          <w:t>Ultrafast Nonlinear Imaging and Spectroscopy VIII</w:t>
        </w:r>
      </w:hyperlink>
      <w:hyperlink r:id="rId74">
        <w:r w:rsidR="00723A26">
          <w:t xml:space="preserve"> vol. 11497 42–49 (SPIE, 2020).</w:t>
        </w:r>
      </w:hyperlink>
    </w:p>
    <w:p w14:paraId="75B9484B"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75">
        <w:r w:rsidR="00723A26">
          <w:t>10.</w:t>
        </w:r>
        <w:r w:rsidR="00723A26">
          <w:tab/>
          <w:t xml:space="preserve">Moeyaert, B. &amp; Dedecker, P. A comprehensive dataset of image sequences covering 20 fluorescent protein labels and 12 imaging conditions for use in super-resolution imaging. </w:t>
        </w:r>
      </w:hyperlink>
      <w:hyperlink r:id="rId76">
        <w:r w:rsidR="00723A26">
          <w:rPr>
            <w:i/>
          </w:rPr>
          <w:t xml:space="preserve">Data Brief </w:t>
        </w:r>
      </w:hyperlink>
      <w:hyperlink r:id="rId77">
        <w:r w:rsidR="00723A26">
          <w:rPr>
            <w:b/>
          </w:rPr>
          <w:t>29</w:t>
        </w:r>
      </w:hyperlink>
      <w:hyperlink r:id="rId78">
        <w:r w:rsidR="00723A26">
          <w:t>, 105273 (2020).</w:t>
        </w:r>
      </w:hyperlink>
    </w:p>
    <w:p w14:paraId="60174A53"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79">
        <w:r w:rsidR="00723A26">
          <w:t>11.</w:t>
        </w:r>
        <w:r w:rsidR="00723A26">
          <w:tab/>
          <w:t xml:space="preserve">Culley, S., Tosheva, K. L., Matos Pereira, P. &amp; Henriques, R. SRRF: Universal live-cell </w:t>
        </w:r>
        <w:r w:rsidR="00723A26">
          <w:lastRenderedPageBreak/>
          <w:t xml:space="preserve">super-resolution microscopy. </w:t>
        </w:r>
      </w:hyperlink>
      <w:hyperlink r:id="rId80">
        <w:r w:rsidR="00723A26">
          <w:rPr>
            <w:i/>
          </w:rPr>
          <w:t xml:space="preserve">Int. J. Biochem. Cell Biol. </w:t>
        </w:r>
      </w:hyperlink>
      <w:hyperlink r:id="rId81">
        <w:r w:rsidR="00723A26">
          <w:rPr>
            <w:b/>
          </w:rPr>
          <w:t>101</w:t>
        </w:r>
      </w:hyperlink>
      <w:hyperlink r:id="rId82">
        <w:r w:rsidR="00723A26">
          <w:t>, 74–79 (2018).</w:t>
        </w:r>
      </w:hyperlink>
    </w:p>
    <w:p w14:paraId="788B2D56"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83">
        <w:r w:rsidR="00723A26">
          <w:t>12.</w:t>
        </w:r>
        <w:r w:rsidR="00723A26">
          <w:tab/>
          <w:t xml:space="preserve">Ovesný, M., Křížek, P., Borkovec, J., Švindrych, Z. &amp; Hagen, G. M. M. ThunderSTORM: A comprehensive ImageJ plug-in for PALM and STORM data analysis and super-resolution imaging. </w:t>
        </w:r>
      </w:hyperlink>
      <w:hyperlink r:id="rId84">
        <w:r w:rsidR="00723A26">
          <w:rPr>
            <w:i/>
          </w:rPr>
          <w:t xml:space="preserve">Bioinformatics </w:t>
        </w:r>
      </w:hyperlink>
      <w:hyperlink r:id="rId85">
        <w:r w:rsidR="00723A26">
          <w:rPr>
            <w:b/>
          </w:rPr>
          <w:t>30</w:t>
        </w:r>
      </w:hyperlink>
      <w:hyperlink r:id="rId86">
        <w:r w:rsidR="00723A26">
          <w:t>, 2389–2390 (2014).</w:t>
        </w:r>
      </w:hyperlink>
    </w:p>
    <w:p w14:paraId="0E573E9F" w14:textId="77777777" w:rsidR="00F91E20" w:rsidRDefault="00CF54A6">
      <w:pPr>
        <w:widowControl w:val="0"/>
        <w:pBdr>
          <w:top w:val="nil"/>
          <w:left w:val="nil"/>
          <w:bottom w:val="nil"/>
          <w:right w:val="nil"/>
          <w:between w:val="nil"/>
        </w:pBdr>
        <w:spacing w:line="480" w:lineRule="auto"/>
        <w:ind w:left="264" w:hanging="264"/>
        <w:jc w:val="left"/>
        <w:rPr>
          <w:sz w:val="20"/>
          <w:szCs w:val="20"/>
        </w:rPr>
      </w:pPr>
      <w:hyperlink r:id="rId87">
        <w:r w:rsidR="00723A26">
          <w:t>13.</w:t>
        </w:r>
        <w:r w:rsidR="00723A26">
          <w:tab/>
          <w:t xml:space="preserve">Heil, H. S. </w:t>
        </w:r>
      </w:hyperlink>
      <w:hyperlink r:id="rId88">
        <w:r w:rsidR="00723A26">
          <w:rPr>
            <w:i/>
          </w:rPr>
          <w:t>et al.</w:t>
        </w:r>
      </w:hyperlink>
      <w:hyperlink r:id="rId89">
        <w:r w:rsidR="00723A26">
          <w:t xml:space="preserve"> Sharpening emitter localization in front of a tuned mirror. </w:t>
        </w:r>
      </w:hyperlink>
      <w:hyperlink r:id="rId90">
        <w:r w:rsidR="00723A26">
          <w:rPr>
            <w:i/>
          </w:rPr>
          <w:t xml:space="preserve">Light Sci. Appl. </w:t>
        </w:r>
      </w:hyperlink>
      <w:hyperlink r:id="rId91">
        <w:r w:rsidR="00723A26">
          <w:rPr>
            <w:b/>
          </w:rPr>
          <w:t>7</w:t>
        </w:r>
      </w:hyperlink>
      <w:hyperlink r:id="rId92">
        <w:r w:rsidR="00723A26">
          <w:t>, 99 (2018).</w:t>
        </w:r>
      </w:hyperlink>
    </w:p>
    <w:p w14:paraId="440A0F56" w14:textId="77777777" w:rsidR="00F91E20" w:rsidRDefault="00F91E20"/>
    <w:p w14:paraId="50FB2B36" w14:textId="77777777" w:rsidR="00F91E20" w:rsidRDefault="00F91E20">
      <w:pPr>
        <w:widowControl w:val="0"/>
        <w:pBdr>
          <w:top w:val="nil"/>
          <w:left w:val="nil"/>
          <w:bottom w:val="nil"/>
          <w:right w:val="nil"/>
          <w:between w:val="nil"/>
        </w:pBdr>
        <w:spacing w:line="480" w:lineRule="auto"/>
        <w:ind w:left="264" w:hanging="264"/>
        <w:jc w:val="left"/>
        <w:rPr>
          <w:sz w:val="20"/>
          <w:szCs w:val="20"/>
        </w:rPr>
      </w:pPr>
    </w:p>
    <w:p w14:paraId="4EB58FB5" w14:textId="77777777" w:rsidR="00F91E20" w:rsidRDefault="00F91E20">
      <w:pPr>
        <w:widowControl w:val="0"/>
        <w:pBdr>
          <w:top w:val="nil"/>
          <w:left w:val="nil"/>
          <w:bottom w:val="nil"/>
          <w:right w:val="nil"/>
          <w:between w:val="nil"/>
        </w:pBdr>
        <w:spacing w:line="480" w:lineRule="auto"/>
        <w:ind w:left="264" w:hanging="264"/>
        <w:jc w:val="left"/>
        <w:rPr>
          <w:sz w:val="20"/>
          <w:szCs w:val="20"/>
        </w:rPr>
      </w:pPr>
    </w:p>
    <w:p w14:paraId="2656EB79" w14:textId="77777777" w:rsidR="00F91E20" w:rsidRDefault="00F91E20"/>
    <w:sectPr w:rsidR="00F91E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32C06" w14:textId="77777777" w:rsidR="00CF54A6" w:rsidRDefault="00CF54A6">
      <w:pPr>
        <w:spacing w:line="240" w:lineRule="auto"/>
      </w:pPr>
      <w:r>
        <w:separator/>
      </w:r>
    </w:p>
  </w:endnote>
  <w:endnote w:type="continuationSeparator" w:id="0">
    <w:p w14:paraId="69F6F133" w14:textId="77777777" w:rsidR="00CF54A6" w:rsidRDefault="00CF5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40D72" w14:textId="1F921914" w:rsidR="00F91E20" w:rsidRDefault="00723A26">
    <w:pPr>
      <w:jc w:val="right"/>
    </w:pPr>
    <w:r>
      <w:fldChar w:fldCharType="begin"/>
    </w:r>
    <w:r>
      <w:instrText>PAGE</w:instrText>
    </w:r>
    <w:r>
      <w:fldChar w:fldCharType="separate"/>
    </w:r>
    <w:r w:rsidR="00F106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6704A" w14:textId="77777777" w:rsidR="00CF54A6" w:rsidRDefault="00CF54A6">
      <w:pPr>
        <w:spacing w:line="240" w:lineRule="auto"/>
      </w:pPr>
      <w:r>
        <w:separator/>
      </w:r>
    </w:p>
  </w:footnote>
  <w:footnote w:type="continuationSeparator" w:id="0">
    <w:p w14:paraId="5334666D" w14:textId="77777777" w:rsidR="00CF54A6" w:rsidRDefault="00CF54A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20"/>
    <w:rsid w:val="00327C19"/>
    <w:rsid w:val="0063627E"/>
    <w:rsid w:val="00723A26"/>
    <w:rsid w:val="00B05C44"/>
    <w:rsid w:val="00B7629C"/>
    <w:rsid w:val="00CF54A6"/>
    <w:rsid w:val="00EA236C"/>
    <w:rsid w:val="00F106E2"/>
    <w:rsid w:val="00F91E20"/>
    <w:rsid w:val="00FC4C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110A"/>
  <w15:docId w15:val="{026C94AD-F66A-4A43-B155-04B1CCC8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jc w:val="center"/>
    </w:pPr>
    <w:rPr>
      <w:sz w:val="40"/>
      <w:szCs w:val="40"/>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image" Target="media/image1.png"/><Relationship Id="rId42" Type="http://schemas.openxmlformats.org/officeDocument/2006/relationships/hyperlink" Target="https://www.zotero.org/google-docs/?CeK278" TargetMode="External"/><Relationship Id="rId47" Type="http://schemas.openxmlformats.org/officeDocument/2006/relationships/hyperlink" Target="https://www.zotero.org/google-docs/?CeK278" TargetMode="External"/><Relationship Id="rId63" Type="http://schemas.openxmlformats.org/officeDocument/2006/relationships/hyperlink" Target="https://www.zotero.org/google-docs/?CeK278" TargetMode="External"/><Relationship Id="rId68" Type="http://schemas.openxmlformats.org/officeDocument/2006/relationships/hyperlink" Target="https://www.zotero.org/google-docs/?CeK278" TargetMode="External"/><Relationship Id="rId84" Type="http://schemas.openxmlformats.org/officeDocument/2006/relationships/hyperlink" Target="https://www.zotero.org/google-docs/?CeK278" TargetMode="External"/><Relationship Id="rId89" Type="http://schemas.openxmlformats.org/officeDocument/2006/relationships/hyperlink" Target="https://www.zotero.org/google-docs/?CeK278" TargetMode="External"/><Relationship Id="rId16" Type="http://schemas.openxmlformats.org/officeDocument/2006/relationships/hyperlink" Target="https://www.zotero.org/google-docs/?ZBFvwY" TargetMode="External"/><Relationship Id="rId11" Type="http://schemas.openxmlformats.org/officeDocument/2006/relationships/hyperlink" Target="https://www.zotero.org/google-docs/?TiQVip" TargetMode="Externa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hyperlink" Target="https://www.zotero.org/google-docs/?CeK278" TargetMode="External"/><Relationship Id="rId58" Type="http://schemas.openxmlformats.org/officeDocument/2006/relationships/hyperlink" Target="https://www.zotero.org/google-docs/?CeK278" TargetMode="External"/><Relationship Id="rId74" Type="http://schemas.openxmlformats.org/officeDocument/2006/relationships/hyperlink" Target="https://www.zotero.org/google-docs/?CeK278" TargetMode="External"/><Relationship Id="rId79" Type="http://schemas.openxmlformats.org/officeDocument/2006/relationships/hyperlink" Target="https://www.zotero.org/google-docs/?CeK278" TargetMode="External"/><Relationship Id="rId5" Type="http://schemas.openxmlformats.org/officeDocument/2006/relationships/endnotes" Target="endnotes.xml"/><Relationship Id="rId90" Type="http://schemas.openxmlformats.org/officeDocument/2006/relationships/hyperlink" Target="https://www.zotero.org/google-docs/?CeK278" TargetMode="External"/><Relationship Id="rId22" Type="http://schemas.openxmlformats.org/officeDocument/2006/relationships/image" Target="media/image2.png"/><Relationship Id="rId27" Type="http://schemas.openxmlformats.org/officeDocument/2006/relationships/image" Target="media/image6.png"/><Relationship Id="rId43" Type="http://schemas.openxmlformats.org/officeDocument/2006/relationships/hyperlink" Target="https://www.zotero.org/google-docs/?CeK278" TargetMode="External"/><Relationship Id="rId48" Type="http://schemas.openxmlformats.org/officeDocument/2006/relationships/hyperlink" Target="https://www.zotero.org/google-docs/?CeK278" TargetMode="External"/><Relationship Id="rId64" Type="http://schemas.openxmlformats.org/officeDocument/2006/relationships/hyperlink" Target="https://www.zotero.org/google-docs/?CeK278" TargetMode="External"/><Relationship Id="rId69" Type="http://schemas.openxmlformats.org/officeDocument/2006/relationships/hyperlink" Target="https://www.zotero.org/google-docs/?CeK278" TargetMode="External"/><Relationship Id="rId8" Type="http://schemas.openxmlformats.org/officeDocument/2006/relationships/hyperlink" Target="mailto:rjhenriques@igc.gulbenkian.pt" TargetMode="External"/><Relationship Id="rId51" Type="http://schemas.openxmlformats.org/officeDocument/2006/relationships/hyperlink" Target="https://www.zotero.org/google-docs/?CeK278" TargetMode="External"/><Relationship Id="rId72" Type="http://schemas.openxmlformats.org/officeDocument/2006/relationships/hyperlink" Target="https://www.zotero.org/google-docs/?CeK278" TargetMode="External"/><Relationship Id="rId80" Type="http://schemas.openxmlformats.org/officeDocument/2006/relationships/hyperlink" Target="https://www.zotero.org/google-docs/?CeK278" TargetMode="External"/><Relationship Id="rId85" Type="http://schemas.openxmlformats.org/officeDocument/2006/relationships/hyperlink" Target="https://www.zotero.org/google-docs/?CeK278"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github.com/wendykierp/JTransforms" TargetMode="External"/><Relationship Id="rId17" Type="http://schemas.openxmlformats.org/officeDocument/2006/relationships/hyperlink" Target="https://www.zotero.org/google-docs/?UwwHQJ" TargetMode="External"/><Relationship Id="rId25" Type="http://schemas.openxmlformats.org/officeDocument/2006/relationships/hyperlink" Target="https://www.zotero.org/google-docs/?61SWHc" TargetMode="External"/><Relationship Id="rId33" Type="http://schemas.openxmlformats.org/officeDocument/2006/relationships/image" Target="media/image10.png"/><Relationship Id="rId38" Type="http://schemas.openxmlformats.org/officeDocument/2006/relationships/hyperlink" Target="https://www.zotero.org/google-docs/?CeK278" TargetMode="External"/><Relationship Id="rId46" Type="http://schemas.openxmlformats.org/officeDocument/2006/relationships/hyperlink" Target="https://www.zotero.org/google-docs/?CeK278" TargetMode="External"/><Relationship Id="rId59" Type="http://schemas.openxmlformats.org/officeDocument/2006/relationships/hyperlink" Target="https://www.zotero.org/google-docs/?CeK278" TargetMode="External"/><Relationship Id="rId67" Type="http://schemas.openxmlformats.org/officeDocument/2006/relationships/hyperlink" Target="https://www.zotero.org/google-docs/?CeK278" TargetMode="External"/><Relationship Id="rId20" Type="http://schemas.openxmlformats.org/officeDocument/2006/relationships/hyperlink" Target="https://www.zotero.org/google-docs/?Wzz3zC" TargetMode="External"/><Relationship Id="rId41" Type="http://schemas.openxmlformats.org/officeDocument/2006/relationships/hyperlink" Target="https://www.zotero.org/google-docs/?CeK278" TargetMode="External"/><Relationship Id="rId54" Type="http://schemas.openxmlformats.org/officeDocument/2006/relationships/hyperlink" Target="https://www.zotero.org/google-docs/?CeK278" TargetMode="External"/><Relationship Id="rId62" Type="http://schemas.openxmlformats.org/officeDocument/2006/relationships/hyperlink" Target="https://www.zotero.org/google-docs/?CeK278" TargetMode="External"/><Relationship Id="rId70" Type="http://schemas.openxmlformats.org/officeDocument/2006/relationships/hyperlink" Target="https://www.zotero.org/google-docs/?CeK278" TargetMode="External"/><Relationship Id="rId75" Type="http://schemas.openxmlformats.org/officeDocument/2006/relationships/hyperlink" Target="https://www.zotero.org/google-docs/?CeK278" TargetMode="External"/><Relationship Id="rId83" Type="http://schemas.openxmlformats.org/officeDocument/2006/relationships/hyperlink" Target="https://www.zotero.org/google-docs/?CeK278" TargetMode="External"/><Relationship Id="rId88" Type="http://schemas.openxmlformats.org/officeDocument/2006/relationships/hyperlink" Target="https://www.zotero.org/google-docs/?CeK278" TargetMode="External"/><Relationship Id="rId91" Type="http://schemas.openxmlformats.org/officeDocument/2006/relationships/hyperlink" Target="https://www.zotero.org/google-docs/?CeK278" TargetMode="External"/><Relationship Id="rId1" Type="http://schemas.openxmlformats.org/officeDocument/2006/relationships/styles" Target="styles.xml"/><Relationship Id="rId6" Type="http://schemas.openxmlformats.org/officeDocument/2006/relationships/hyperlink" Target="mailto:Bassam.Hajj@curie.fr" TargetMode="Externa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hyperlink" Target="https://www.zotero.org/google-docs/?IqQU8p" TargetMode="External"/><Relationship Id="rId36" Type="http://schemas.openxmlformats.org/officeDocument/2006/relationships/image" Target="media/image13.png"/><Relationship Id="rId49" Type="http://schemas.openxmlformats.org/officeDocument/2006/relationships/hyperlink" Target="https://www.zotero.org/google-docs/?CeK278" TargetMode="External"/><Relationship Id="rId57" Type="http://schemas.openxmlformats.org/officeDocument/2006/relationships/hyperlink" Target="https://www.zotero.org/google-docs/?CeK278" TargetMode="External"/><Relationship Id="rId10" Type="http://schemas.openxmlformats.org/officeDocument/2006/relationships/hyperlink" Target="https://www.zotero.org/google-docs/?Bcbr7Z" TargetMode="External"/><Relationship Id="rId31" Type="http://schemas.openxmlformats.org/officeDocument/2006/relationships/image" Target="media/image8.png"/><Relationship Id="rId44" Type="http://schemas.openxmlformats.org/officeDocument/2006/relationships/hyperlink" Target="https://www.zotero.org/google-docs/?CeK278" TargetMode="External"/><Relationship Id="rId52" Type="http://schemas.openxmlformats.org/officeDocument/2006/relationships/hyperlink" Target="https://www.zotero.org/google-docs/?CeK278" TargetMode="External"/><Relationship Id="rId60" Type="http://schemas.openxmlformats.org/officeDocument/2006/relationships/hyperlink" Target="https://www.zotero.org/google-docs/?CeK278" TargetMode="External"/><Relationship Id="rId65" Type="http://schemas.openxmlformats.org/officeDocument/2006/relationships/hyperlink" Target="https://www.zotero.org/google-docs/?CeK278" TargetMode="External"/><Relationship Id="rId73" Type="http://schemas.openxmlformats.org/officeDocument/2006/relationships/hyperlink" Target="https://www.zotero.org/google-docs/?CeK278" TargetMode="External"/><Relationship Id="rId78" Type="http://schemas.openxmlformats.org/officeDocument/2006/relationships/hyperlink" Target="https://www.zotero.org/google-docs/?CeK278" TargetMode="External"/><Relationship Id="rId81" Type="http://schemas.openxmlformats.org/officeDocument/2006/relationships/hyperlink" Target="https://www.zotero.org/google-docs/?CeK278" TargetMode="External"/><Relationship Id="rId86" Type="http://schemas.openxmlformats.org/officeDocument/2006/relationships/hyperlink" Target="https://www.zotero.org/google-docs/?CeK278" TargetMode="Externa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zotero.org/google-docs/?leer5W" TargetMode="External"/><Relationship Id="rId13" Type="http://schemas.openxmlformats.org/officeDocument/2006/relationships/hyperlink" Target="https://www.zotero.org/google-docs/?LFU1up" TargetMode="External"/><Relationship Id="rId18" Type="http://schemas.openxmlformats.org/officeDocument/2006/relationships/hyperlink" Target="https://www.zotero.org/google-docs/?ByBDBO" TargetMode="External"/><Relationship Id="rId39" Type="http://schemas.openxmlformats.org/officeDocument/2006/relationships/hyperlink" Target="https://www.zotero.org/google-docs/?CeK278" TargetMode="External"/><Relationship Id="rId34" Type="http://schemas.openxmlformats.org/officeDocument/2006/relationships/image" Target="media/image11.png"/><Relationship Id="rId50" Type="http://schemas.openxmlformats.org/officeDocument/2006/relationships/hyperlink" Target="https://www.zotero.org/google-docs/?CeK278" TargetMode="External"/><Relationship Id="rId55" Type="http://schemas.openxmlformats.org/officeDocument/2006/relationships/hyperlink" Target="https://www.zotero.org/google-docs/?CeK278" TargetMode="External"/><Relationship Id="rId76" Type="http://schemas.openxmlformats.org/officeDocument/2006/relationships/hyperlink" Target="https://www.zotero.org/google-docs/?CeK278" TargetMode="External"/><Relationship Id="rId7" Type="http://schemas.openxmlformats.org/officeDocument/2006/relationships/hyperlink" Target="mailto:christophe.leterrier@univ-amu.fr" TargetMode="External"/><Relationship Id="rId71" Type="http://schemas.openxmlformats.org/officeDocument/2006/relationships/hyperlink" Target="https://www.zotero.org/google-docs/?CeK278" TargetMode="External"/><Relationship Id="rId92" Type="http://schemas.openxmlformats.org/officeDocument/2006/relationships/hyperlink" Target="https://www.zotero.org/google-docs/?CeK278" TargetMode="External"/><Relationship Id="rId2" Type="http://schemas.openxmlformats.org/officeDocument/2006/relationships/settings" Target="settings.xml"/><Relationship Id="rId29" Type="http://schemas.openxmlformats.org/officeDocument/2006/relationships/image" Target="media/image7.jpg"/><Relationship Id="rId24" Type="http://schemas.openxmlformats.org/officeDocument/2006/relationships/image" Target="media/image4.png"/><Relationship Id="rId40" Type="http://schemas.openxmlformats.org/officeDocument/2006/relationships/hyperlink" Target="https://www.zotero.org/google-docs/?CeK278" TargetMode="External"/><Relationship Id="rId45" Type="http://schemas.openxmlformats.org/officeDocument/2006/relationships/hyperlink" Target="https://www.zotero.org/google-docs/?CeK278" TargetMode="External"/><Relationship Id="rId66" Type="http://schemas.openxmlformats.org/officeDocument/2006/relationships/hyperlink" Target="https://www.zotero.org/google-docs/?CeK278" TargetMode="External"/><Relationship Id="rId87" Type="http://schemas.openxmlformats.org/officeDocument/2006/relationships/hyperlink" Target="https://www.zotero.org/google-docs/?CeK278" TargetMode="External"/><Relationship Id="rId61" Type="http://schemas.openxmlformats.org/officeDocument/2006/relationships/hyperlink" Target="https://www.zotero.org/google-docs/?CeK278" TargetMode="External"/><Relationship Id="rId82" Type="http://schemas.openxmlformats.org/officeDocument/2006/relationships/hyperlink" Target="https://www.zotero.org/google-docs/?CeK278" TargetMode="External"/><Relationship Id="rId19" Type="http://schemas.openxmlformats.org/officeDocument/2006/relationships/hyperlink" Target="https://www.zotero.org/google-docs/?Dv41tT" TargetMode="External"/><Relationship Id="rId14" Type="http://schemas.openxmlformats.org/officeDocument/2006/relationships/hyperlink" Target="https://www.zotero.org/google-docs/?0b3k48" TargetMode="External"/><Relationship Id="rId30" Type="http://schemas.openxmlformats.org/officeDocument/2006/relationships/hyperlink" Target="https://www.zotero.org/google-docs/?qEMNRw" TargetMode="External"/><Relationship Id="rId35" Type="http://schemas.openxmlformats.org/officeDocument/2006/relationships/image" Target="media/image12.png"/><Relationship Id="rId56" Type="http://schemas.openxmlformats.org/officeDocument/2006/relationships/hyperlink" Target="https://www.zotero.org/google-docs/?CeK278" TargetMode="External"/><Relationship Id="rId77" Type="http://schemas.openxmlformats.org/officeDocument/2006/relationships/hyperlink" Target="https://www.zotero.org/google-docs/?CeK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4119</Words>
  <Characters>23484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Younger</dc:creator>
  <cp:lastModifiedBy>Amy Younger</cp:lastModifiedBy>
  <cp:revision>2</cp:revision>
  <dcterms:created xsi:type="dcterms:W3CDTF">2022-04-27T21:18:00Z</dcterms:created>
  <dcterms:modified xsi:type="dcterms:W3CDTF">2022-04-27T21:18:00Z</dcterms:modified>
</cp:coreProperties>
</file>