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FAA" w:rsidRDefault="00D72FAA" w:rsidP="00D72FAA">
      <w:pPr>
        <w:jc w:val="center"/>
        <w:rPr>
          <w:b/>
        </w:rPr>
      </w:pPr>
      <w:r w:rsidRPr="00586DF2">
        <w:rPr>
          <w:b/>
        </w:rPr>
        <w:t>Supplementary file</w:t>
      </w:r>
    </w:p>
    <w:p w:rsidR="00EC5D98" w:rsidRPr="00AC44BE" w:rsidRDefault="00EC5D98" w:rsidP="00D72FAA">
      <w:pPr>
        <w:rPr>
          <w:b/>
          <w:u w:val="single"/>
        </w:rPr>
      </w:pPr>
      <w:r w:rsidRPr="00AC44BE">
        <w:rPr>
          <w:b/>
          <w:u w:val="single"/>
        </w:rPr>
        <w:t>Table S1</w:t>
      </w:r>
      <w:r w:rsidR="00AC44BE" w:rsidRPr="00AC44BE">
        <w:rPr>
          <w:b/>
          <w:u w:val="single"/>
        </w:rPr>
        <w:t>: The antigenic property of identified target sequence from epitopes on the basis of lowest IC50 value and threshold value of 0.4</w:t>
      </w:r>
    </w:p>
    <w:p w:rsidR="00EC5D98" w:rsidRDefault="00EC5D98" w:rsidP="00D72FAA">
      <w:pPr>
        <w:rPr>
          <w:b/>
        </w:rPr>
      </w:pPr>
    </w:p>
    <w:p w:rsidR="00EC5D98" w:rsidRDefault="00295065" w:rsidP="00295065">
      <w:pPr>
        <w:ind w:left="-993"/>
        <w:rPr>
          <w:b/>
        </w:rPr>
      </w:pPr>
      <w:r>
        <w:rPr>
          <w:b/>
          <w:noProof/>
        </w:rPr>
        <w:drawing>
          <wp:inline distT="0" distB="0" distL="0" distR="0">
            <wp:extent cx="7229715" cy="3726873"/>
            <wp:effectExtent l="19050" t="0" r="928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831" t="17986" r="13475" b="8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041" cy="3725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4BE" w:rsidRPr="00AC44BE" w:rsidRDefault="00AC44BE" w:rsidP="00295065">
      <w:pPr>
        <w:ind w:left="-993"/>
        <w:rPr>
          <w:sz w:val="20"/>
          <w:szCs w:val="20"/>
        </w:rPr>
      </w:pPr>
      <w:r w:rsidRPr="00AC44BE">
        <w:rPr>
          <w:sz w:val="20"/>
          <w:szCs w:val="20"/>
        </w:rPr>
        <w:t>** Green panel indicates the best epitope and orange panel indicate epitope 3 from OMICRON strain has the lowest IC50 value but no antigenic property.</w:t>
      </w:r>
    </w:p>
    <w:p w:rsidR="00EC5D98" w:rsidRPr="00AC44BE" w:rsidRDefault="00EC5D98" w:rsidP="00D72FAA">
      <w:pPr>
        <w:rPr>
          <w:sz w:val="20"/>
          <w:szCs w:val="20"/>
        </w:rPr>
      </w:pPr>
    </w:p>
    <w:p w:rsidR="00EC5D98" w:rsidRDefault="00EC5D98" w:rsidP="00D72FAA">
      <w:pPr>
        <w:rPr>
          <w:b/>
        </w:rPr>
      </w:pPr>
    </w:p>
    <w:p w:rsidR="00EC5D98" w:rsidRDefault="00EC5D98" w:rsidP="00D72FAA">
      <w:pPr>
        <w:rPr>
          <w:b/>
        </w:rPr>
      </w:pPr>
    </w:p>
    <w:p w:rsidR="00EC5D98" w:rsidRDefault="00EC5D98" w:rsidP="00D72FAA">
      <w:pPr>
        <w:rPr>
          <w:b/>
        </w:rPr>
      </w:pPr>
    </w:p>
    <w:p w:rsidR="00EC5D98" w:rsidRDefault="00EC5D98" w:rsidP="00D72FAA">
      <w:pPr>
        <w:rPr>
          <w:b/>
        </w:rPr>
      </w:pPr>
    </w:p>
    <w:p w:rsidR="00EC5D98" w:rsidRDefault="00EC5D98" w:rsidP="00D72FAA">
      <w:pPr>
        <w:rPr>
          <w:b/>
        </w:rPr>
      </w:pPr>
    </w:p>
    <w:p w:rsidR="00EC5D98" w:rsidRDefault="00EC5D98" w:rsidP="00D72FAA">
      <w:pPr>
        <w:rPr>
          <w:b/>
        </w:rPr>
      </w:pPr>
    </w:p>
    <w:p w:rsidR="00AC44BE" w:rsidRDefault="00AC44BE" w:rsidP="00D72FAA">
      <w:pPr>
        <w:rPr>
          <w:b/>
        </w:rPr>
      </w:pPr>
    </w:p>
    <w:p w:rsidR="00D72FAA" w:rsidRPr="00D40ED0" w:rsidRDefault="00D72FAA" w:rsidP="00D72FAA">
      <w:pPr>
        <w:rPr>
          <w:u w:val="single"/>
        </w:rPr>
      </w:pPr>
      <w:r w:rsidRPr="00D40ED0">
        <w:rPr>
          <w:b/>
          <w:u w:val="single"/>
        </w:rPr>
        <w:lastRenderedPageBreak/>
        <w:t>Table S2: Molecular docking study between different epitopes with MHC class II for prediction of best epitope of each coronavirus strain</w:t>
      </w:r>
      <w:r w:rsidR="00D40ED0" w:rsidRPr="00D40ED0">
        <w:rPr>
          <w:b/>
          <w:u w:val="single"/>
        </w:rPr>
        <w:t xml:space="preserve"> and docking parameters i.e</w:t>
      </w:r>
      <w:r w:rsidRPr="00D40ED0">
        <w:rPr>
          <w:b/>
          <w:u w:val="single"/>
        </w:rPr>
        <w:t>.</w:t>
      </w:r>
      <w:r w:rsidR="00D40ED0" w:rsidRPr="00D40ED0">
        <w:rPr>
          <w:b/>
          <w:u w:val="single"/>
        </w:rPr>
        <w:t xml:space="preserve"> HawkDock score, binding free energy</w:t>
      </w:r>
    </w:p>
    <w:p w:rsidR="00D72FAA" w:rsidRDefault="00D72FAA"/>
    <w:p w:rsidR="00EC5D98" w:rsidRDefault="00D72FAA">
      <w:r>
        <w:t xml:space="preserve">             </w:t>
      </w:r>
      <w:r w:rsidR="00EC5D98">
        <w:rPr>
          <w:noProof/>
        </w:rPr>
        <w:drawing>
          <wp:inline distT="0" distB="0" distL="0" distR="0">
            <wp:extent cx="4629150" cy="476250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1517" t="19335" r="30544" b="11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D98" w:rsidRDefault="00EC5D98">
      <w:pPr>
        <w:rPr>
          <w:sz w:val="18"/>
          <w:szCs w:val="18"/>
        </w:rPr>
      </w:pPr>
      <w:r>
        <w:t xml:space="preserve">             </w:t>
      </w:r>
      <w:r w:rsidRPr="00EC5D98">
        <w:rPr>
          <w:sz w:val="18"/>
          <w:szCs w:val="18"/>
        </w:rPr>
        <w:t xml:space="preserve">** The green panel in tabulation format indicates best epitope </w:t>
      </w:r>
      <w:r w:rsidR="00AC44BE">
        <w:rPr>
          <w:sz w:val="18"/>
          <w:szCs w:val="18"/>
        </w:rPr>
        <w:t>model</w:t>
      </w:r>
      <w:r w:rsidRPr="00EC5D98">
        <w:rPr>
          <w:sz w:val="18"/>
          <w:szCs w:val="18"/>
        </w:rPr>
        <w:t xml:space="preserve"> </w:t>
      </w:r>
    </w:p>
    <w:p w:rsidR="00EC5D98" w:rsidRDefault="00EC5D98">
      <w:pPr>
        <w:rPr>
          <w:sz w:val="18"/>
          <w:szCs w:val="18"/>
        </w:rPr>
      </w:pPr>
    </w:p>
    <w:p w:rsidR="00EC5D98" w:rsidRDefault="00EC5D98">
      <w:pPr>
        <w:rPr>
          <w:sz w:val="18"/>
          <w:szCs w:val="18"/>
        </w:rPr>
      </w:pPr>
    </w:p>
    <w:p w:rsidR="00EC5D98" w:rsidRDefault="00EC5D98">
      <w:pPr>
        <w:rPr>
          <w:sz w:val="18"/>
          <w:szCs w:val="18"/>
        </w:rPr>
      </w:pPr>
    </w:p>
    <w:p w:rsidR="00EC5D98" w:rsidRDefault="00EC5D98">
      <w:pPr>
        <w:rPr>
          <w:sz w:val="18"/>
          <w:szCs w:val="18"/>
        </w:rPr>
      </w:pPr>
    </w:p>
    <w:p w:rsidR="00EC5D98" w:rsidRDefault="00EC5D98">
      <w:pPr>
        <w:rPr>
          <w:sz w:val="18"/>
          <w:szCs w:val="18"/>
        </w:rPr>
      </w:pPr>
    </w:p>
    <w:p w:rsidR="00EC5D98" w:rsidRDefault="00EC5D98">
      <w:pPr>
        <w:rPr>
          <w:sz w:val="18"/>
          <w:szCs w:val="18"/>
        </w:rPr>
      </w:pPr>
    </w:p>
    <w:p w:rsidR="00EC5D98" w:rsidRDefault="00EC5D98">
      <w:pPr>
        <w:rPr>
          <w:sz w:val="18"/>
          <w:szCs w:val="18"/>
        </w:rPr>
      </w:pPr>
    </w:p>
    <w:p w:rsidR="00EC5D98" w:rsidRDefault="00EC5D98">
      <w:pPr>
        <w:rPr>
          <w:sz w:val="18"/>
          <w:szCs w:val="18"/>
        </w:rPr>
      </w:pPr>
    </w:p>
    <w:p w:rsidR="00D40ED0" w:rsidRDefault="00D40ED0" w:rsidP="00EC5D98">
      <w:pPr>
        <w:ind w:left="-993"/>
        <w:rPr>
          <w:sz w:val="18"/>
          <w:szCs w:val="18"/>
        </w:rPr>
      </w:pPr>
    </w:p>
    <w:p w:rsidR="00D40ED0" w:rsidRPr="00D40ED0" w:rsidRDefault="00D40ED0" w:rsidP="00D40ED0">
      <w:pPr>
        <w:rPr>
          <w:b/>
          <w:u w:val="single"/>
        </w:rPr>
      </w:pPr>
      <w:r w:rsidRPr="00D40ED0">
        <w:rPr>
          <w:b/>
          <w:u w:val="single"/>
        </w:rPr>
        <w:t xml:space="preserve">Table S3: Binding parameters i.e. VDW, ELE, GB and SA values of different epitopes with MHC class </w:t>
      </w:r>
      <w:proofErr w:type="gramStart"/>
      <w:r w:rsidRPr="00D40ED0">
        <w:rPr>
          <w:b/>
          <w:u w:val="single"/>
        </w:rPr>
        <w:t>II .</w:t>
      </w:r>
      <w:proofErr w:type="gramEnd"/>
      <w:r w:rsidRPr="00D40ED0">
        <w:rPr>
          <w:b/>
          <w:u w:val="single"/>
        </w:rPr>
        <w:t xml:space="preserve"> Amino acid binding residues between receptor and ligand complex. </w:t>
      </w:r>
    </w:p>
    <w:p w:rsidR="00D40ED0" w:rsidRDefault="00D40ED0" w:rsidP="00EC5D98">
      <w:pPr>
        <w:ind w:left="-993"/>
        <w:rPr>
          <w:sz w:val="18"/>
          <w:szCs w:val="18"/>
        </w:rPr>
      </w:pPr>
    </w:p>
    <w:p w:rsidR="00EC5D98" w:rsidRPr="00EC5D98" w:rsidRDefault="00EC5D98" w:rsidP="00EC5D98">
      <w:pPr>
        <w:ind w:left="-993"/>
      </w:pPr>
      <w:r>
        <w:rPr>
          <w:noProof/>
        </w:rPr>
        <w:drawing>
          <wp:inline distT="0" distB="0" distL="0" distR="0">
            <wp:extent cx="7281133" cy="271780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235" t="19545" r="10042" b="24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133" cy="271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5D98" w:rsidRPr="00EC5D98" w:rsidSect="00EA0D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72FAA"/>
    <w:rsid w:val="00295065"/>
    <w:rsid w:val="002F2A84"/>
    <w:rsid w:val="0086164F"/>
    <w:rsid w:val="00AC44BE"/>
    <w:rsid w:val="00D40ED0"/>
    <w:rsid w:val="00D72FAA"/>
    <w:rsid w:val="00EA0DED"/>
    <w:rsid w:val="00EC5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F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2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F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</cp:lastModifiedBy>
  <cp:revision>2</cp:revision>
  <dcterms:created xsi:type="dcterms:W3CDTF">2022-02-16T12:59:00Z</dcterms:created>
  <dcterms:modified xsi:type="dcterms:W3CDTF">2022-02-16T12:59:00Z</dcterms:modified>
</cp:coreProperties>
</file>