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0D" w:rsidRDefault="00D26C0D" w:rsidP="0010412B">
      <w:pPr>
        <w:spacing w:line="360" w:lineRule="auto"/>
        <w:jc w:val="both"/>
        <w:rPr>
          <w:rFonts w:ascii="Times New Roman" w:hAnsi="Times New Roman" w:cs="Times New Roman"/>
          <w:b/>
          <w:sz w:val="24"/>
          <w:szCs w:val="24"/>
        </w:rPr>
      </w:pPr>
      <w:r>
        <w:rPr>
          <w:rFonts w:ascii="Times New Roman" w:hAnsi="Times New Roman" w:cs="Times New Roman"/>
          <w:b/>
          <w:sz w:val="24"/>
          <w:szCs w:val="24"/>
        </w:rPr>
        <w:t>SUPPLEMENTAL</w:t>
      </w:r>
      <w:r w:rsidR="0039303A">
        <w:rPr>
          <w:rFonts w:ascii="Times New Roman" w:hAnsi="Times New Roman" w:cs="Times New Roman"/>
          <w:b/>
          <w:sz w:val="24"/>
          <w:szCs w:val="24"/>
        </w:rPr>
        <w:t xml:space="preserve"> ONLINE RESOURCE 1</w:t>
      </w:r>
    </w:p>
    <w:p w:rsidR="0010412B" w:rsidRPr="00054B14" w:rsidRDefault="0010412B" w:rsidP="0010412B">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MATERIALS AND </w:t>
      </w:r>
      <w:r w:rsidRPr="00054B14">
        <w:rPr>
          <w:rFonts w:ascii="Times New Roman" w:hAnsi="Times New Roman" w:cs="Times New Roman"/>
          <w:b/>
          <w:sz w:val="24"/>
          <w:szCs w:val="24"/>
        </w:rPr>
        <w:t xml:space="preserve">METHODS  </w:t>
      </w:r>
    </w:p>
    <w:p w:rsidR="0010412B" w:rsidRPr="007F27A6" w:rsidRDefault="0010412B" w:rsidP="0010412B">
      <w:pPr>
        <w:rPr>
          <w:rFonts w:ascii="Times New Roman" w:hAnsi="Times New Roman" w:cs="Times New Roman"/>
          <w:i/>
          <w:sz w:val="24"/>
          <w:szCs w:val="24"/>
          <w:shd w:val="clear" w:color="auto" w:fill="FFFFFF"/>
        </w:rPr>
      </w:pPr>
      <w:r w:rsidRPr="007F27A6">
        <w:rPr>
          <w:rFonts w:ascii="Times New Roman" w:hAnsi="Times New Roman" w:cs="Times New Roman"/>
          <w:i/>
          <w:sz w:val="24"/>
          <w:szCs w:val="24"/>
          <w:shd w:val="clear" w:color="auto" w:fill="FFFFFF"/>
        </w:rPr>
        <w:t>Sample recruitment</w:t>
      </w:r>
    </w:p>
    <w:p w:rsidR="0010412B" w:rsidRPr="007F27A6" w:rsidRDefault="0010412B" w:rsidP="0010412B">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This cross-sectional study used </w:t>
      </w:r>
      <w:r w:rsidRPr="007F27A6">
        <w:rPr>
          <w:rFonts w:ascii="Times New Roman" w:hAnsi="Times New Roman" w:cs="Times New Roman"/>
          <w:sz w:val="24"/>
          <w:szCs w:val="24"/>
          <w:shd w:val="clear" w:color="auto" w:fill="FFFFFF"/>
        </w:rPr>
        <w:t>baseline measurements from the Mediterranean diet enriched with fatty fish stud</w:t>
      </w:r>
      <w:r>
        <w:rPr>
          <w:rFonts w:ascii="Times New Roman" w:hAnsi="Times New Roman" w:cs="Times New Roman"/>
          <w:sz w:val="24"/>
          <w:szCs w:val="24"/>
          <w:shd w:val="clear" w:color="auto" w:fill="FFFFFF"/>
        </w:rPr>
        <w:t xml:space="preserve">y </w:t>
      </w:r>
      <w:r w:rsidRPr="007F27A6">
        <w:rPr>
          <w:rFonts w:ascii="Times New Roman" w:hAnsi="Times New Roman" w:cs="Times New Roman"/>
          <w:sz w:val="24"/>
          <w:szCs w:val="24"/>
          <w:shd w:val="clear" w:color="auto" w:fill="FFFFFF"/>
        </w:rPr>
        <w:t xml:space="preserve">of 72 asthmatic children aged 5-12 years attending an urban children’s </w:t>
      </w:r>
      <w:r>
        <w:rPr>
          <w:rFonts w:ascii="Times New Roman" w:hAnsi="Times New Roman" w:cs="Times New Roman"/>
          <w:sz w:val="24"/>
          <w:szCs w:val="24"/>
          <w:shd w:val="clear" w:color="auto" w:fill="FFFFFF"/>
        </w:rPr>
        <w:t xml:space="preserve">asthma clinic in Athens, Greece that was </w:t>
      </w:r>
      <w:r w:rsidRPr="007F27A6">
        <w:rPr>
          <w:rFonts w:ascii="Times New Roman" w:hAnsi="Times New Roman" w:cs="Times New Roman"/>
          <w:sz w:val="24"/>
          <w:szCs w:val="24"/>
          <w:shd w:val="clear" w:color="auto" w:fill="FFFFFF"/>
        </w:rPr>
        <w:t>conducted from November, 2016 to September, 2017</w:t>
      </w:r>
      <w:r>
        <w:rPr>
          <w:rFonts w:ascii="Times New Roman" w:hAnsi="Times New Roman" w:cs="Times New Roman"/>
          <w:sz w:val="24"/>
          <w:szCs w:val="24"/>
          <w:shd w:val="clear" w:color="auto" w:fill="FFFFFF"/>
        </w:rPr>
        <w:t xml:space="preserve">. </w:t>
      </w:r>
      <w:r w:rsidRPr="007F27A6">
        <w:rPr>
          <w:rFonts w:ascii="Times New Roman" w:hAnsi="Times New Roman" w:cs="Times New Roman"/>
          <w:sz w:val="24"/>
          <w:szCs w:val="24"/>
          <w:shd w:val="clear" w:color="auto" w:fill="FFFFFF"/>
        </w:rPr>
        <w:t xml:space="preserve">The cohort design and data collection have been described in detail previously </w:t>
      </w:r>
      <w:r w:rsidRPr="007F27A6">
        <w:rPr>
          <w:rFonts w:ascii="Times New Roman" w:hAnsi="Times New Roman" w:cs="Times New Roman"/>
          <w:sz w:val="24"/>
          <w:szCs w:val="24"/>
          <w:shd w:val="clear" w:color="auto" w:fill="FFFFFF"/>
        </w:rPr>
        <w:fldChar w:fldCharType="begin"/>
      </w:r>
      <w:r w:rsidR="00F41BA8">
        <w:rPr>
          <w:rFonts w:ascii="Times New Roman" w:hAnsi="Times New Roman" w:cs="Times New Roman"/>
          <w:sz w:val="24"/>
          <w:szCs w:val="24"/>
          <w:shd w:val="clear" w:color="auto" w:fill="FFFFFF"/>
        </w:rPr>
        <w:instrText xml:space="preserve"> ADDIN EN.CITE &lt;EndNote&gt;&lt;Cite&gt;&lt;Author&gt;Papamichael&lt;/Author&gt;&lt;Year&gt;2019&lt;/Year&gt;&lt;RecNum&gt;821&lt;/RecNum&gt;&lt;DisplayText&gt;[1]&lt;/DisplayText&gt;&lt;record&gt;&lt;rec-number&gt;821&lt;/rec-number&gt;&lt;foreign-keys&gt;&lt;key app="EN" db-id="aew2sr0t4wzt0mezvwmxzxfwwxffspwwfzz2" timestamp="0"&gt;821&lt;/key&gt;&lt;/foreign-keys&gt;&lt;ref-type name="Journal Article"&gt;17&lt;/ref-type&gt;&lt;contributors&gt;&lt;authors&gt;&lt;author&gt;Papamichael, M. M.&lt;/author&gt;&lt;author&gt;Katsardis, C.&lt;/author&gt;&lt;author&gt;Lambert, K.&lt;/author&gt;&lt;author&gt;Tsoukalas, D.&lt;/author&gt;&lt;author&gt;Koutsilieris, M.&lt;/author&gt;&lt;author&gt;Erbas, B.&lt;/author&gt;&lt;author&gt;Itsiopoulos, C.&lt;/author&gt;&lt;/authors&gt;&lt;/contributors&gt;&lt;auth-address&gt;Department of Rehabilitation, Nutrition &amp;amp; Sport, School of Allied Health, La Trobe University, Melbourne, VIC, Australia.&amp;#xD;National &amp;amp; Kapodistrian University of Athens, Athens, Greece.&amp;#xD;Department of Public Health, School of Psychology &amp;amp; Public Health, La Trobe University, Melbourne, VIC, Australia.&amp;#xD;European Institute of Nutritional Medicine, Rome, Italy.&lt;/auth-address&gt;&lt;titles&gt;&lt;title&gt;Efficacy of a Mediterranean diet supplemented with fatty fish in ameliorating inflammation in paediatric asthma: a randomised controlled trial&lt;/title&gt;&lt;secondary-title&gt;J Hum Nutr Diet&lt;/secondary-title&gt;&lt;alt-title&gt;Journal of human nutrition and dietetics : the official journal of the British Dietetic Association&lt;/alt-title&gt;&lt;/titles&gt;&lt;pages&gt;185-197&lt;/pages&gt;&lt;volume&gt;32&lt;/volume&gt;&lt;number&gt;2&lt;/number&gt;&lt;edition&gt;2018/11/01&lt;/edition&gt;&lt;keywords&gt;&lt;keyword&gt;asthma&lt;/keyword&gt;&lt;keyword&gt;bronchial inflammation&lt;/keyword&gt;&lt;keyword&gt;children&lt;/keyword&gt;&lt;keyword&gt;fatty fish&lt;/keyword&gt;&lt;keyword&gt;omega-3 fatty acids&lt;/keyword&gt;&lt;/keywords&gt;&lt;dates&gt;&lt;year&gt;2019&lt;/year&gt;&lt;pub-dates&gt;&lt;date&gt;Apr&lt;/date&gt;&lt;/pub-dates&gt;&lt;/dates&gt;&lt;isbn&gt;0952-3871&lt;/isbn&gt;&lt;accession-num&gt;30378203&lt;/accession-num&gt;&lt;urls&gt;&lt;/urls&gt;&lt;electronic-resource-num&gt;10.1111/jhn.12609&lt;/electronic-resource-num&gt;&lt;remote-database-provider&gt;NLM&lt;/remote-database-provider&gt;&lt;language&gt;eng&lt;/language&gt;&lt;/record&gt;&lt;/Cite&gt;&lt;/EndNote&gt;</w:instrText>
      </w:r>
      <w:r w:rsidRPr="007F27A6">
        <w:rPr>
          <w:rFonts w:ascii="Times New Roman" w:hAnsi="Times New Roman" w:cs="Times New Roman"/>
          <w:sz w:val="24"/>
          <w:szCs w:val="24"/>
          <w:shd w:val="clear" w:color="auto" w:fill="FFFFFF"/>
        </w:rPr>
        <w:fldChar w:fldCharType="separate"/>
      </w:r>
      <w:r w:rsidR="00F41BA8">
        <w:rPr>
          <w:rFonts w:ascii="Times New Roman" w:hAnsi="Times New Roman" w:cs="Times New Roman"/>
          <w:noProof/>
          <w:sz w:val="24"/>
          <w:szCs w:val="24"/>
          <w:shd w:val="clear" w:color="auto" w:fill="FFFFFF"/>
        </w:rPr>
        <w:t>[1]</w:t>
      </w:r>
      <w:r w:rsidRPr="007F27A6">
        <w:rPr>
          <w:rFonts w:ascii="Times New Roman" w:hAnsi="Times New Roman" w:cs="Times New Roman"/>
          <w:sz w:val="24"/>
          <w:szCs w:val="24"/>
          <w:shd w:val="clear" w:color="auto" w:fill="FFFFFF"/>
        </w:rPr>
        <w:fldChar w:fldCharType="end"/>
      </w:r>
      <w:r w:rsidRPr="007F27A6">
        <w:rPr>
          <w:rFonts w:ascii="Times New Roman" w:hAnsi="Times New Roman" w:cs="Times New Roman"/>
          <w:sz w:val="24"/>
          <w:szCs w:val="24"/>
          <w:shd w:val="clear" w:color="auto" w:fill="FFFFFF"/>
        </w:rPr>
        <w:t xml:space="preserve"> and only key features are described here. In brief, the scope of this six-month cohort was to investigate the effectiveness of a Mediterranean diet enriched with two meals of fatty fish weekly in child mild-asthmatic patients as compared to controls consuming their usual diet</w:t>
      </w:r>
      <w:r w:rsidR="0039303A">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7F27A6">
        <w:rPr>
          <w:rFonts w:ascii="Times New Roman" w:hAnsi="Times New Roman" w:cs="Times New Roman"/>
          <w:sz w:val="24"/>
          <w:szCs w:val="24"/>
          <w:shd w:val="clear" w:color="auto" w:fill="FFFFFF"/>
        </w:rPr>
        <w:t xml:space="preserve">Children were included if they were school-aged, had physician-diagnosed mild asthma status </w:t>
      </w:r>
      <w:r w:rsidRPr="007F27A6">
        <w:rPr>
          <w:rFonts w:ascii="Times New Roman" w:hAnsi="Times New Roman" w:cs="Times New Roman"/>
          <w:sz w:val="24"/>
          <w:szCs w:val="24"/>
          <w:shd w:val="clear" w:color="auto" w:fill="FFFFFF"/>
        </w:rPr>
        <w:fldChar w:fldCharType="begin"/>
      </w:r>
      <w:r w:rsidR="00F41BA8">
        <w:rPr>
          <w:rFonts w:ascii="Times New Roman" w:hAnsi="Times New Roman" w:cs="Times New Roman"/>
          <w:sz w:val="24"/>
          <w:szCs w:val="24"/>
          <w:shd w:val="clear" w:color="auto" w:fill="FFFFFF"/>
        </w:rPr>
        <w:instrText xml:space="preserve"> ADDIN EN.CITE &lt;EndNote&gt;&lt;Cite&gt;&lt;Author&gt;GINA&lt;/Author&gt;&lt;Year&gt;2020&lt;/Year&gt;&lt;RecNum&gt;1121&lt;/RecNum&gt;&lt;DisplayText&gt;[2]&lt;/DisplayText&gt;&lt;record&gt;&lt;rec-number&gt;1121&lt;/rec-number&gt;&lt;foreign-keys&gt;&lt;key app="EN" db-id="aew2sr0t4wzt0mezvwmxzxfwwxffspwwfzz2" timestamp="0"&gt;1121&lt;/key&gt;&lt;/foreign-keys&gt;&lt;ref-type name="Web Page"&gt;12&lt;/ref-type&gt;&lt;contributors&gt;&lt;authors&gt;&lt;author&gt;GINA&lt;/author&gt;&lt;/authors&gt;&lt;/contributors&gt;&lt;titles&gt;&lt;title&gt;Global Initiative for Asthma: Global Strategy for Asthma Management and Prevention (2020)&lt;/title&gt;&lt;/titles&gt;&lt;volume&gt;July 2020https://ginasthma.org/gina-reports/&lt;/volume&gt;&lt;dates&gt;&lt;year&gt;2020&lt;/year&gt;&lt;/dates&gt;&lt;pub-location&gt;Fontana, USA&lt;/pub-location&gt;&lt;publisher&gt;Global Initiative for Asthma (GINA)&lt;/publisher&gt;&lt;urls&gt;&lt;related-urls&gt;&lt;url&gt;&lt;style face="underline" font="default" size="100%"&gt;https://ginasthma.org&lt;/style&gt;&lt;/url&gt;&lt;/related-urls&gt;&lt;/urls&gt;&lt;/record&gt;&lt;/Cite&gt;&lt;/EndNote&gt;</w:instrText>
      </w:r>
      <w:r w:rsidRPr="007F27A6">
        <w:rPr>
          <w:rFonts w:ascii="Times New Roman" w:hAnsi="Times New Roman" w:cs="Times New Roman"/>
          <w:sz w:val="24"/>
          <w:szCs w:val="24"/>
          <w:shd w:val="clear" w:color="auto" w:fill="FFFFFF"/>
        </w:rPr>
        <w:fldChar w:fldCharType="separate"/>
      </w:r>
      <w:r w:rsidR="00F41BA8">
        <w:rPr>
          <w:rFonts w:ascii="Times New Roman" w:hAnsi="Times New Roman" w:cs="Times New Roman"/>
          <w:noProof/>
          <w:sz w:val="24"/>
          <w:szCs w:val="24"/>
          <w:shd w:val="clear" w:color="auto" w:fill="FFFFFF"/>
        </w:rPr>
        <w:t>[2]</w:t>
      </w:r>
      <w:r w:rsidRPr="007F27A6">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 xml:space="preserve"> and </w:t>
      </w:r>
      <w:r w:rsidRPr="007F27A6">
        <w:rPr>
          <w:rFonts w:ascii="Times New Roman" w:hAnsi="Times New Roman" w:cs="Times New Roman"/>
          <w:sz w:val="24"/>
          <w:szCs w:val="24"/>
          <w:shd w:val="clear" w:color="auto" w:fill="FFFFFF"/>
        </w:rPr>
        <w:t>were not allergic to fish or seafood</w:t>
      </w:r>
      <w:r>
        <w:rPr>
          <w:rFonts w:ascii="Times New Roman" w:hAnsi="Times New Roman" w:cs="Times New Roman"/>
          <w:sz w:val="24"/>
          <w:szCs w:val="24"/>
          <w:shd w:val="clear" w:color="auto" w:fill="FFFFFF"/>
        </w:rPr>
        <w:t xml:space="preserve">. </w:t>
      </w:r>
      <w:r w:rsidRPr="007F27A6">
        <w:rPr>
          <w:rFonts w:ascii="Times New Roman" w:hAnsi="Times New Roman" w:cs="Times New Roman"/>
          <w:sz w:val="24"/>
          <w:szCs w:val="24"/>
          <w:shd w:val="clear" w:color="auto" w:fill="FFFFFF"/>
        </w:rPr>
        <w:t xml:space="preserve">The parent study was conducted according to the principles outlined in the Declaration of Helsinki (1989) for human experiments and procedures were approved by the Institutional Ethics Review Board at La Trobe University, Australia (HEC 16-035). Prior recruitment of children, written informed consent was obtained from parents. </w:t>
      </w:r>
    </w:p>
    <w:p w:rsidR="0010412B" w:rsidRDefault="0010412B" w:rsidP="0010412B">
      <w:pPr>
        <w:rPr>
          <w:rFonts w:ascii="Times New Roman" w:hAnsi="Times New Roman" w:cs="Times New Roman"/>
          <w:i/>
          <w:sz w:val="24"/>
          <w:szCs w:val="24"/>
          <w:shd w:val="clear" w:color="auto" w:fill="FFFFFF"/>
        </w:rPr>
      </w:pPr>
      <w:r w:rsidRPr="007F27A6">
        <w:rPr>
          <w:rFonts w:ascii="Times New Roman" w:hAnsi="Times New Roman" w:cs="Times New Roman"/>
          <w:i/>
          <w:sz w:val="24"/>
          <w:szCs w:val="24"/>
          <w:shd w:val="clear" w:color="auto" w:fill="FFFFFF"/>
        </w:rPr>
        <w:t>Variables of interest</w:t>
      </w:r>
    </w:p>
    <w:p w:rsidR="0010412B" w:rsidRPr="00356AD6" w:rsidRDefault="0010412B" w:rsidP="0010412B">
      <w:pPr>
        <w:rPr>
          <w:rFonts w:ascii="Times New Roman" w:hAnsi="Times New Roman" w:cs="Times New Roman"/>
          <w:b/>
          <w:sz w:val="24"/>
          <w:szCs w:val="24"/>
          <w:shd w:val="clear" w:color="auto" w:fill="FFFFFF"/>
        </w:rPr>
      </w:pPr>
      <w:r w:rsidRPr="00356AD6">
        <w:rPr>
          <w:rFonts w:ascii="Times New Roman" w:hAnsi="Times New Roman" w:cs="Times New Roman"/>
          <w:b/>
          <w:sz w:val="24"/>
          <w:szCs w:val="24"/>
          <w:shd w:val="clear" w:color="auto" w:fill="FFFFFF"/>
        </w:rPr>
        <w:t>Pulmonary function tests</w:t>
      </w:r>
    </w:p>
    <w:p w:rsidR="0010412B" w:rsidRPr="007F27A6" w:rsidRDefault="0010412B" w:rsidP="0010412B">
      <w:pPr>
        <w:spacing w:line="360" w:lineRule="auto"/>
        <w:jc w:val="both"/>
        <w:rPr>
          <w:rFonts w:ascii="Times New Roman" w:hAnsi="Times New Roman" w:cs="Times New Roman"/>
          <w:sz w:val="24"/>
          <w:szCs w:val="24"/>
        </w:rPr>
      </w:pPr>
      <w:r w:rsidRPr="000A0C29">
        <w:rPr>
          <w:rFonts w:ascii="Times New Roman" w:hAnsi="Times New Roman" w:cs="Times New Roman"/>
          <w:sz w:val="24"/>
          <w:szCs w:val="24"/>
        </w:rPr>
        <w:t xml:space="preserve">Technical procedures, expiratory manoeuvres acceptance criteria and reproducibility </w:t>
      </w:r>
      <w:r w:rsidRPr="000A0C29">
        <w:rPr>
          <w:rFonts w:ascii="Times New Roman" w:hAnsi="Times New Roman" w:cs="Times New Roman"/>
          <w:sz w:val="24"/>
          <w:szCs w:val="24"/>
          <w:shd w:val="clear" w:color="auto" w:fill="FFFFFF"/>
        </w:rPr>
        <w:t xml:space="preserve">were judged acceptable if they met or exceeded </w:t>
      </w:r>
      <w:r>
        <w:rPr>
          <w:rFonts w:ascii="Times New Roman" w:hAnsi="Times New Roman" w:cs="Times New Roman"/>
          <w:sz w:val="24"/>
          <w:szCs w:val="24"/>
          <w:shd w:val="clear" w:color="auto" w:fill="FFFFFF"/>
        </w:rPr>
        <w:t xml:space="preserve">European Respiratory Society </w:t>
      </w:r>
      <w:r w:rsidRPr="000A0C29">
        <w:rPr>
          <w:rFonts w:ascii="Times New Roman" w:hAnsi="Times New Roman" w:cs="Times New Roman"/>
          <w:sz w:val="24"/>
          <w:szCs w:val="24"/>
          <w:shd w:val="clear" w:color="auto" w:fill="FFFFFF"/>
        </w:rPr>
        <w:t xml:space="preserve">recommendations </w:t>
      </w:r>
      <w:r w:rsidRPr="000A0C29">
        <w:rPr>
          <w:rFonts w:ascii="Times New Roman" w:hAnsi="Times New Roman" w:cs="Times New Roman"/>
          <w:sz w:val="24"/>
          <w:szCs w:val="24"/>
        </w:rPr>
        <w:fldChar w:fldCharType="begin">
          <w:fldData xml:space="preserve">PEVuZE5vdGU+PENpdGU+PEF1dGhvcj5NaWxsZXI8L0F1dGhvcj48WWVhcj4yMDA1PC9ZZWFyPjxS
ZWNOdW0+NzI2PC9SZWNOdW0+PERpc3BsYXlUZXh0PlszLCA0XTwvRGlzcGxheVRleHQ+PHJlY29y
ZD48cmVjLW51bWJlcj43MjY8L3JlYy1udW1iZXI+PGZvcmVpZ24ta2V5cz48a2V5IGFwcD0iRU4i
IGRiLWlkPSJhZXcyc3IwdDR3enQwbWV6dndteHp4Znd3eGZmc3B3d2Z6ejIiIHRpbWVzdGFtcD0i
MCI+NzI2PC9rZXk+PC9mb3JlaWduLWtleXM+PHJlZi10eXBlIG5hbWU9IkpvdXJuYWwgQXJ0aWNs
ZSI+MTc8L3JlZi10eXBlPjxjb250cmlidXRvcnM+PGF1dGhvcnM+PGF1dGhvcj5NaWxsZXIsIE0u
IFIuPC9hdXRob3I+PGF1dGhvcj5IYW5raW5zb24sIEouPC9hdXRob3I+PGF1dGhvcj5CcnVzYXNj
bywgVi48L2F1dGhvcj48YXV0aG9yPkJ1cmdvcywgRi48L2F1dGhvcj48YXV0aG9yPkNhc2FidXJp
LCBSLjwvYXV0aG9yPjxhdXRob3I+Q29hdGVzLCBBLjwvYXV0aG9yPjxhdXRob3I+Q3JhcG8sIFIu
PC9hdXRob3I+PGF1dGhvcj5FbnJpZ2h0LCBQLjwvYXV0aG9yPjxhdXRob3I+dmFuIGRlciBHcmlu
dGVuLCBDLiBQLiBNLjwvYXV0aG9yPjxhdXRob3I+R3VzdGFmc3NvbiwgUC48L2F1dGhvcj48YXV0
aG9yPkplbnNlbiwgUi48L2F1dGhvcj48YXV0aG9yPkpvaG5zb24sIEQuIEMuPC9hdXRob3I+PGF1
dGhvcj5NYWNJbnR5cmUsIE4uPC9hdXRob3I+PGF1dGhvcj5NY0theSwgUi48L2F1dGhvcj48YXV0
aG9yPk5hdmFqYXMsIEQuPC9hdXRob3I+PGF1dGhvcj5QZWRlcnNlbiwgTy4gRi48L2F1dGhvcj48
YXV0aG9yPlBlbGxlZ3Jpbm8sIFIuPC9hdXRob3I+PGF1dGhvcj5WaWVnaSwgRy48L2F1dGhvcj48
YXV0aG9yPldhbmdlciwgSi48L2F1dGhvcj48L2F1dGhvcnM+PC9jb250cmlidXRvcnM+PHRpdGxl
cz48dGl0bGU+U3RhbmRhcmRpc2F0aW9uIG9mIHNwaXJvbWV0cnk8L3RpdGxlPjxzZWNvbmRhcnkt
dGl0bGU+RXVyIFJlc3BpciBKPC9zZWNvbmRhcnktdGl0bGU+PC90aXRsZXM+PHBhZ2VzPjMxOS0z
Mzg8L3BhZ2VzPjx2b2x1bWU+MjY8L3ZvbHVtZT48bnVtYmVyPjI8L251bWJlcj48ZGF0ZXM+PHll
YXI+MjAwNTwveWVhcj48L2RhdGVzPjx1cmxzPjxyZWxhdGVkLXVybHM+PHVybD48c3R5bGUgZmFj
ZT0idW5kZXJsaW5lIiBmb250PSJkZWZhdWx0IiBzaXplPSIxMDAlIj5odHRwczovL2Vyai5lcnNq
b3VybmFscy5jb20vY29udGVudC9lcmovMjYvMi8zMTkuZnVsbC5wZGY8L3N0eWxlPjwvdXJsPjwv
cmVsYXRlZC11cmxzPjwvdXJscz48ZWxlY3Ryb25pYy1yZXNvdXJjZS1udW0+MTAuMTE4My8wOTAz
MTkzNi4wNS4wMDAzNDgwNSAlSiBFdXJvcGVhbiBSZXNwaXJhdG9yeSBKb3VybmFsPC9lbGVjdHJv
bmljLXJlc291cmNlLW51bT48L3JlY29yZD48L0NpdGU+PENpdGU+PEF1dGhvcj5Ed2VpazwvQXV0
aG9yPjxZZWFyPjIwMTE8L1llYXI+PFJlY051bT42Nzc8L1JlY051bT48cmVjb3JkPjxyZWMtbnVt
YmVyPjY3NzwvcmVjLW51bWJlcj48Zm9yZWlnbi1rZXlzPjxrZXkgYXBwPSJFTiIgZGItaWQ9ImFl
dzJzcjB0NHd6dDBtZXp2d214enhmd3d4ZmZzcHd3Znp6MiIgdGltZXN0YW1wPSIwIj42Nzc8L2tl
eT48L2ZvcmVpZ24ta2V5cz48cmVmLXR5cGUgbmFtZT0iSm91cm5hbCBBcnRpY2xlIj4xNzwvcmVm
LXR5cGU+PGNvbnRyaWJ1dG9ycz48YXV0aG9ycz48YXV0aG9yPkR3ZWlrLCBSLiBBLjwvYXV0aG9y
PjxhdXRob3I+Qm9nZ3MsIFAuIEIuPC9hdXRob3I+PGF1dGhvcj5Fcnp1cnVtLCBTLiBDLjwvYXV0
aG9yPjxhdXRob3I+SXJ2aW4sIEMuIEcuPC9hdXRob3I+PGF1dGhvcj5MZWlnaCwgTS4gVy48L2F1
dGhvcj48YXV0aG9yPkx1bmRiZXJnLCBKLiBPLjwvYXV0aG9yPjxhdXRob3I+T2xpbiwgQS4gQy48
L2F1dGhvcj48YXV0aG9yPlBsdW1tZXIsIEEuIEwuPC9hdXRob3I+PGF1dGhvcj5UYXlsb3IsIEQu
IFIuPC9hdXRob3I+PC9hdXRob3JzPjwvY29udHJpYnV0b3JzPjx0aXRsZXM+PHRpdGxlPkFuIG9m
ZmljaWFsIEFUUyBjbGluaWNhbCBwcmFjdGljZSBndWlkZWxpbmU6IGludGVycHJldGF0aW9uIG9m
IGV4aGFsZWQgbml0cmljIG94aWRlIGxldmVscyAoRkVOTykgZm9yIGNsaW5pY2FsIGFwcGxpY2F0
aW9uczwvdGl0bGU+PHNlY29uZGFyeS10aXRsZT5BbSBKIFJlc3BpciBDcml0IENhcmUgTWVkPC9z
ZWNvbmRhcnktdGl0bGU+PGFsdC10aXRsZT5BbWVyaWNhbiBqb3VybmFsIG9mIHJlc3BpcmF0b3J5
IGFuZCBjcml0aWNhbCBjYXJlIG1lZGljaW5lPC9hbHQtdGl0bGU+PC90aXRsZXM+PHBhZ2VzPjYw
Mi0xNTwvcGFnZXM+PHZvbHVtZT4xODQ8L3ZvbHVtZT48bnVtYmVyPjU8L251bWJlcj48ZWRpdGlv
bj4yMDExLzA5LzAzPC9lZGl0aW9uPjxrZXl3b3Jkcz48a2V5d29yZD5Bc3RobWEvKmRpYWdub3Np
cy9tZXRhYm9saXNtPC9rZXl3b3JkPjxrZXl3b3JkPkJpb21hcmtlcnMvYW5hbHlzaXM8L2tleXdv
cmQ+PGtleXdvcmQ+QnJlYXRoIFRlc3RzLyptZXRob2RzPC9rZXl3b3JkPjxrZXl3b3JkPipFeGhh
bGF0aW9uPC9rZXl3b3JkPjxrZXl3b3JkPkh1bWFuczwva2V5d29yZD48a2V5d29yZD5MdW5nLypt
ZXRhYm9saXNtPC9rZXl3b3JkPjxrZXl3b3JkPk5pdHJpYyBPeGlkZS8qYW5hbHlzaXM8L2tleXdv
cmQ+PC9rZXl3b3Jkcz48ZGF0ZXM+PHllYXI+MjAxMTwveWVhcj48cHViLWRhdGVzPjxkYXRlPlNl
cCAxPC9kYXRlPjwvcHViLWRhdGVzPjwvZGF0ZXM+PGlzYm4+MTA3My00NDl4PC9pc2JuPjxhY2Nl
c3Npb24tbnVtPjIxODg1NjM2PC9hY2Nlc3Npb24tbnVtPjx1cmxzPjwvdXJscz48Y3VzdG9tMj5Q
TUM0NDA4NzI0PC9jdXN0b20yPjxlbGVjdHJvbmljLXJlc291cmNlLW51bT4xMC4xMTY0L3JjY20u
OTEyMC0xMVNUPC9lbGVjdHJvbmljLXJlc291cmNlLW51bT48cmVtb3RlLWRhdGFiYXNlLXByb3Zp
ZGVyPk5MTTwvcmVtb3RlLWRhdGFiYXNlLXByb3ZpZGVyPjxsYW5ndWFnZT5lbmc8L2xhbmd1YWdl
PjwvcmVjb3JkPjwvQ2l0ZT48L0VuZE5vdGU+AG==
</w:fldData>
        </w:fldChar>
      </w:r>
      <w:r w:rsidR="00F41BA8">
        <w:rPr>
          <w:rFonts w:ascii="Times New Roman" w:hAnsi="Times New Roman" w:cs="Times New Roman"/>
          <w:sz w:val="24"/>
          <w:szCs w:val="24"/>
        </w:rPr>
        <w:instrText xml:space="preserve"> ADDIN EN.CITE </w:instrText>
      </w:r>
      <w:r w:rsidR="00F41BA8">
        <w:rPr>
          <w:rFonts w:ascii="Times New Roman" w:hAnsi="Times New Roman" w:cs="Times New Roman"/>
          <w:sz w:val="24"/>
          <w:szCs w:val="24"/>
        </w:rPr>
        <w:fldChar w:fldCharType="begin">
          <w:fldData xml:space="preserve">PEVuZE5vdGU+PENpdGU+PEF1dGhvcj5NaWxsZXI8L0F1dGhvcj48WWVhcj4yMDA1PC9ZZWFyPjxS
ZWNOdW0+NzI2PC9SZWNOdW0+PERpc3BsYXlUZXh0PlszLCA0XTwvRGlzcGxheVRleHQ+PHJlY29y
ZD48cmVjLW51bWJlcj43MjY8L3JlYy1udW1iZXI+PGZvcmVpZ24ta2V5cz48a2V5IGFwcD0iRU4i
IGRiLWlkPSJhZXcyc3IwdDR3enQwbWV6dndteHp4Znd3eGZmc3B3d2Z6ejIiIHRpbWVzdGFtcD0i
MCI+NzI2PC9rZXk+PC9mb3JlaWduLWtleXM+PHJlZi10eXBlIG5hbWU9IkpvdXJuYWwgQXJ0aWNs
ZSI+MTc8L3JlZi10eXBlPjxjb250cmlidXRvcnM+PGF1dGhvcnM+PGF1dGhvcj5NaWxsZXIsIE0u
IFIuPC9hdXRob3I+PGF1dGhvcj5IYW5raW5zb24sIEouPC9hdXRob3I+PGF1dGhvcj5CcnVzYXNj
bywgVi48L2F1dGhvcj48YXV0aG9yPkJ1cmdvcywgRi48L2F1dGhvcj48YXV0aG9yPkNhc2FidXJp
LCBSLjwvYXV0aG9yPjxhdXRob3I+Q29hdGVzLCBBLjwvYXV0aG9yPjxhdXRob3I+Q3JhcG8sIFIu
PC9hdXRob3I+PGF1dGhvcj5FbnJpZ2h0LCBQLjwvYXV0aG9yPjxhdXRob3I+dmFuIGRlciBHcmlu
dGVuLCBDLiBQLiBNLjwvYXV0aG9yPjxhdXRob3I+R3VzdGFmc3NvbiwgUC48L2F1dGhvcj48YXV0
aG9yPkplbnNlbiwgUi48L2F1dGhvcj48YXV0aG9yPkpvaG5zb24sIEQuIEMuPC9hdXRob3I+PGF1
dGhvcj5NYWNJbnR5cmUsIE4uPC9hdXRob3I+PGF1dGhvcj5NY0theSwgUi48L2F1dGhvcj48YXV0
aG9yPk5hdmFqYXMsIEQuPC9hdXRob3I+PGF1dGhvcj5QZWRlcnNlbiwgTy4gRi48L2F1dGhvcj48
YXV0aG9yPlBlbGxlZ3Jpbm8sIFIuPC9hdXRob3I+PGF1dGhvcj5WaWVnaSwgRy48L2F1dGhvcj48
YXV0aG9yPldhbmdlciwgSi48L2F1dGhvcj48L2F1dGhvcnM+PC9jb250cmlidXRvcnM+PHRpdGxl
cz48dGl0bGU+U3RhbmRhcmRpc2F0aW9uIG9mIHNwaXJvbWV0cnk8L3RpdGxlPjxzZWNvbmRhcnkt
dGl0bGU+RXVyIFJlc3BpciBKPC9zZWNvbmRhcnktdGl0bGU+PC90aXRsZXM+PHBhZ2VzPjMxOS0z
Mzg8L3BhZ2VzPjx2b2x1bWU+MjY8L3ZvbHVtZT48bnVtYmVyPjI8L251bWJlcj48ZGF0ZXM+PHll
YXI+MjAwNTwveWVhcj48L2RhdGVzPjx1cmxzPjxyZWxhdGVkLXVybHM+PHVybD48c3R5bGUgZmFj
ZT0idW5kZXJsaW5lIiBmb250PSJkZWZhdWx0IiBzaXplPSIxMDAlIj5odHRwczovL2Vyai5lcnNq
b3VybmFscy5jb20vY29udGVudC9lcmovMjYvMi8zMTkuZnVsbC5wZGY8L3N0eWxlPjwvdXJsPjwv
cmVsYXRlZC11cmxzPjwvdXJscz48ZWxlY3Ryb25pYy1yZXNvdXJjZS1udW0+MTAuMTE4My8wOTAz
MTkzNi4wNS4wMDAzNDgwNSAlSiBFdXJvcGVhbiBSZXNwaXJhdG9yeSBKb3VybmFsPC9lbGVjdHJv
bmljLXJlc291cmNlLW51bT48L3JlY29yZD48L0NpdGU+PENpdGU+PEF1dGhvcj5Ed2VpazwvQXV0
aG9yPjxZZWFyPjIwMTE8L1llYXI+PFJlY051bT42Nzc8L1JlY051bT48cmVjb3JkPjxyZWMtbnVt
YmVyPjY3NzwvcmVjLW51bWJlcj48Zm9yZWlnbi1rZXlzPjxrZXkgYXBwPSJFTiIgZGItaWQ9ImFl
dzJzcjB0NHd6dDBtZXp2d214enhmd3d4ZmZzcHd3Znp6MiIgdGltZXN0YW1wPSIwIj42Nzc8L2tl
eT48L2ZvcmVpZ24ta2V5cz48cmVmLXR5cGUgbmFtZT0iSm91cm5hbCBBcnRpY2xlIj4xNzwvcmVm
LXR5cGU+PGNvbnRyaWJ1dG9ycz48YXV0aG9ycz48YXV0aG9yPkR3ZWlrLCBSLiBBLjwvYXV0aG9y
PjxhdXRob3I+Qm9nZ3MsIFAuIEIuPC9hdXRob3I+PGF1dGhvcj5Fcnp1cnVtLCBTLiBDLjwvYXV0
aG9yPjxhdXRob3I+SXJ2aW4sIEMuIEcuPC9hdXRob3I+PGF1dGhvcj5MZWlnaCwgTS4gVy48L2F1
dGhvcj48YXV0aG9yPkx1bmRiZXJnLCBKLiBPLjwvYXV0aG9yPjxhdXRob3I+T2xpbiwgQS4gQy48
L2F1dGhvcj48YXV0aG9yPlBsdW1tZXIsIEEuIEwuPC9hdXRob3I+PGF1dGhvcj5UYXlsb3IsIEQu
IFIuPC9hdXRob3I+PC9hdXRob3JzPjwvY29udHJpYnV0b3JzPjx0aXRsZXM+PHRpdGxlPkFuIG9m
ZmljaWFsIEFUUyBjbGluaWNhbCBwcmFjdGljZSBndWlkZWxpbmU6IGludGVycHJldGF0aW9uIG9m
IGV4aGFsZWQgbml0cmljIG94aWRlIGxldmVscyAoRkVOTykgZm9yIGNsaW5pY2FsIGFwcGxpY2F0
aW9uczwvdGl0bGU+PHNlY29uZGFyeS10aXRsZT5BbSBKIFJlc3BpciBDcml0IENhcmUgTWVkPC9z
ZWNvbmRhcnktdGl0bGU+PGFsdC10aXRsZT5BbWVyaWNhbiBqb3VybmFsIG9mIHJlc3BpcmF0b3J5
IGFuZCBjcml0aWNhbCBjYXJlIG1lZGljaW5lPC9hbHQtdGl0bGU+PC90aXRsZXM+PHBhZ2VzPjYw
Mi0xNTwvcGFnZXM+PHZvbHVtZT4xODQ8L3ZvbHVtZT48bnVtYmVyPjU8L251bWJlcj48ZWRpdGlv
bj4yMDExLzA5LzAzPC9lZGl0aW9uPjxrZXl3b3Jkcz48a2V5d29yZD5Bc3RobWEvKmRpYWdub3Np
cy9tZXRhYm9saXNtPC9rZXl3b3JkPjxrZXl3b3JkPkJpb21hcmtlcnMvYW5hbHlzaXM8L2tleXdv
cmQ+PGtleXdvcmQ+QnJlYXRoIFRlc3RzLyptZXRob2RzPC9rZXl3b3JkPjxrZXl3b3JkPipFeGhh
bGF0aW9uPC9rZXl3b3JkPjxrZXl3b3JkPkh1bWFuczwva2V5d29yZD48a2V5d29yZD5MdW5nLypt
ZXRhYm9saXNtPC9rZXl3b3JkPjxrZXl3b3JkPk5pdHJpYyBPeGlkZS8qYW5hbHlzaXM8L2tleXdv
cmQ+PC9rZXl3b3Jkcz48ZGF0ZXM+PHllYXI+MjAxMTwveWVhcj48cHViLWRhdGVzPjxkYXRlPlNl
cCAxPC9kYXRlPjwvcHViLWRhdGVzPjwvZGF0ZXM+PGlzYm4+MTA3My00NDl4PC9pc2JuPjxhY2Nl
c3Npb24tbnVtPjIxODg1NjM2PC9hY2Nlc3Npb24tbnVtPjx1cmxzPjwvdXJscz48Y3VzdG9tMj5Q
TUM0NDA4NzI0PC9jdXN0b20yPjxlbGVjdHJvbmljLXJlc291cmNlLW51bT4xMC4xMTY0L3JjY20u
OTEyMC0xMVNUPC9lbGVjdHJvbmljLXJlc291cmNlLW51bT48cmVtb3RlLWRhdGFiYXNlLXByb3Zp
ZGVyPk5MTTwvcmVtb3RlLWRhdGFiYXNlLXByb3ZpZGVyPjxsYW5ndWFnZT5lbmc8L2xhbmd1YWdl
PjwvcmVjb3JkPjwvQ2l0ZT48L0VuZE5vdGU+AG==
</w:fldData>
        </w:fldChar>
      </w:r>
      <w:r w:rsidR="00F41BA8">
        <w:rPr>
          <w:rFonts w:ascii="Times New Roman" w:hAnsi="Times New Roman" w:cs="Times New Roman"/>
          <w:sz w:val="24"/>
          <w:szCs w:val="24"/>
        </w:rPr>
        <w:instrText xml:space="preserve"> ADDIN EN.CITE.DATA </w:instrText>
      </w:r>
      <w:r w:rsidR="00F41BA8">
        <w:rPr>
          <w:rFonts w:ascii="Times New Roman" w:hAnsi="Times New Roman" w:cs="Times New Roman"/>
          <w:sz w:val="24"/>
          <w:szCs w:val="24"/>
        </w:rPr>
      </w:r>
      <w:r w:rsidR="00F41BA8">
        <w:rPr>
          <w:rFonts w:ascii="Times New Roman" w:hAnsi="Times New Roman" w:cs="Times New Roman"/>
          <w:sz w:val="24"/>
          <w:szCs w:val="24"/>
        </w:rPr>
        <w:fldChar w:fldCharType="end"/>
      </w:r>
      <w:r w:rsidRPr="000A0C29">
        <w:rPr>
          <w:rFonts w:ascii="Times New Roman" w:hAnsi="Times New Roman" w:cs="Times New Roman"/>
          <w:sz w:val="24"/>
          <w:szCs w:val="24"/>
        </w:rPr>
      </w:r>
      <w:r w:rsidRPr="000A0C29">
        <w:rPr>
          <w:rFonts w:ascii="Times New Roman" w:hAnsi="Times New Roman" w:cs="Times New Roman"/>
          <w:sz w:val="24"/>
          <w:szCs w:val="24"/>
        </w:rPr>
        <w:fldChar w:fldCharType="separate"/>
      </w:r>
      <w:r w:rsidR="00F41BA8">
        <w:rPr>
          <w:rFonts w:ascii="Times New Roman" w:hAnsi="Times New Roman" w:cs="Times New Roman"/>
          <w:noProof/>
          <w:sz w:val="24"/>
          <w:szCs w:val="24"/>
        </w:rPr>
        <w:t>[3, 4]</w:t>
      </w:r>
      <w:r w:rsidRPr="000A0C29">
        <w:rPr>
          <w:rFonts w:ascii="Times New Roman" w:hAnsi="Times New Roman" w:cs="Times New Roman"/>
          <w:sz w:val="24"/>
          <w:szCs w:val="24"/>
        </w:rPr>
        <w:fldChar w:fldCharType="end"/>
      </w:r>
      <w:r w:rsidRPr="000A0C29">
        <w:rPr>
          <w:rFonts w:ascii="Times New Roman" w:hAnsi="Times New Roman" w:cs="Times New Roman"/>
          <w:sz w:val="24"/>
          <w:szCs w:val="24"/>
        </w:rPr>
        <w:t xml:space="preserve">. </w:t>
      </w:r>
      <w:r w:rsidRPr="007F27A6">
        <w:rPr>
          <w:rFonts w:ascii="Times New Roman" w:hAnsi="Times New Roman" w:cs="Times New Roman"/>
          <w:sz w:val="24"/>
          <w:szCs w:val="24"/>
          <w:shd w:val="clear" w:color="auto" w:fill="FFFFFF"/>
        </w:rPr>
        <w:t>Height and weight were measured with precision of 0.1 kilogram and centimetre</w:t>
      </w:r>
      <w:r>
        <w:rPr>
          <w:rFonts w:ascii="Times New Roman" w:hAnsi="Times New Roman" w:cs="Times New Roman"/>
          <w:sz w:val="24"/>
          <w:szCs w:val="24"/>
          <w:shd w:val="clear" w:color="auto" w:fill="FFFFFF"/>
        </w:rPr>
        <w:t>, then s</w:t>
      </w:r>
      <w:r w:rsidRPr="000A0C29">
        <w:rPr>
          <w:rFonts w:ascii="Times New Roman" w:hAnsi="Times New Roman" w:cs="Times New Roman"/>
          <w:sz w:val="24"/>
          <w:szCs w:val="24"/>
          <w:shd w:val="clear" w:color="auto" w:fill="FFFFFF"/>
        </w:rPr>
        <w:t xml:space="preserve">pirometry was performed using a portable spirometer </w:t>
      </w:r>
      <w:r w:rsidRPr="000A0C29">
        <w:rPr>
          <w:rFonts w:ascii="Times New Roman" w:hAnsi="Times New Roman" w:cs="Times New Roman"/>
          <w:sz w:val="24"/>
          <w:szCs w:val="24"/>
        </w:rPr>
        <w:t xml:space="preserve">(MIR Spirobank II, MIR Inc. USA) and </w:t>
      </w:r>
      <w:r w:rsidRPr="000A0C29">
        <w:rPr>
          <w:rFonts w:ascii="Times New Roman" w:hAnsi="Times New Roman" w:cs="Times New Roman"/>
          <w:sz w:val="24"/>
          <w:szCs w:val="24"/>
          <w:shd w:val="clear" w:color="auto" w:fill="FFFFFF"/>
        </w:rPr>
        <w:t xml:space="preserve">airway </w:t>
      </w:r>
      <w:r w:rsidRPr="007F27A6">
        <w:rPr>
          <w:rFonts w:ascii="Times New Roman" w:hAnsi="Times New Roman" w:cs="Times New Roman"/>
          <w:sz w:val="24"/>
          <w:szCs w:val="24"/>
          <w:shd w:val="clear" w:color="auto" w:fill="FFFFFF"/>
        </w:rPr>
        <w:t xml:space="preserve">inflammation was measured from exhaled breath using </w:t>
      </w:r>
      <w:r w:rsidRPr="007F27A6">
        <w:rPr>
          <w:rFonts w:ascii="Times New Roman" w:hAnsi="Times New Roman" w:cs="Times New Roman"/>
          <w:sz w:val="24"/>
          <w:szCs w:val="24"/>
        </w:rPr>
        <w:t>NO Breathe (Benfont Inc., UK)</w:t>
      </w:r>
      <w:r>
        <w:rPr>
          <w:rFonts w:ascii="Times New Roman" w:hAnsi="Times New Roman" w:cs="Times New Roman"/>
          <w:sz w:val="24"/>
          <w:szCs w:val="24"/>
        </w:rPr>
        <w:t xml:space="preserve">. </w:t>
      </w:r>
      <w:r w:rsidRPr="007F27A6">
        <w:rPr>
          <w:rFonts w:ascii="Times New Roman" w:hAnsi="Times New Roman" w:cs="Times New Roman"/>
          <w:sz w:val="24"/>
          <w:szCs w:val="24"/>
        </w:rPr>
        <w:t>In children, FEV</w:t>
      </w:r>
      <w:r w:rsidRPr="007F27A6">
        <w:rPr>
          <w:rFonts w:ascii="Times New Roman" w:hAnsi="Times New Roman" w:cs="Times New Roman"/>
          <w:sz w:val="24"/>
          <w:szCs w:val="24"/>
          <w:vertAlign w:val="subscript"/>
        </w:rPr>
        <w:t>1</w:t>
      </w:r>
      <w:r w:rsidRPr="007F27A6">
        <w:rPr>
          <w:rFonts w:ascii="Times New Roman" w:hAnsi="Times New Roman" w:cs="Times New Roman"/>
          <w:sz w:val="24"/>
          <w:szCs w:val="24"/>
        </w:rPr>
        <w:t>, FVC and PEF ≥ 80% predicted, FEV</w:t>
      </w:r>
      <w:r w:rsidRPr="007F27A6">
        <w:rPr>
          <w:rFonts w:ascii="Times New Roman" w:hAnsi="Times New Roman" w:cs="Times New Roman"/>
          <w:sz w:val="24"/>
          <w:szCs w:val="24"/>
          <w:vertAlign w:val="subscript"/>
        </w:rPr>
        <w:t>1</w:t>
      </w:r>
      <w:r w:rsidRPr="007F27A6">
        <w:rPr>
          <w:rFonts w:ascii="Times New Roman" w:hAnsi="Times New Roman" w:cs="Times New Roman"/>
          <w:sz w:val="24"/>
          <w:szCs w:val="24"/>
        </w:rPr>
        <w:t xml:space="preserve">/FVC 75-85% and FEF </w:t>
      </w:r>
      <w:r w:rsidRPr="007F27A6">
        <w:rPr>
          <w:rFonts w:ascii="Times New Roman" w:hAnsi="Times New Roman" w:cs="Times New Roman"/>
          <w:sz w:val="24"/>
          <w:szCs w:val="24"/>
          <w:vertAlign w:val="subscript"/>
        </w:rPr>
        <w:t>25-75%</w:t>
      </w:r>
      <w:r w:rsidRPr="007F27A6">
        <w:rPr>
          <w:rFonts w:ascii="Times New Roman" w:hAnsi="Times New Roman" w:cs="Times New Roman"/>
          <w:sz w:val="24"/>
          <w:szCs w:val="24"/>
        </w:rPr>
        <w:t xml:space="preserve"> &gt; 65% including a z-score cut-off of -1.64 for symptomatic patients represent normal lung function</w:t>
      </w:r>
      <w:r>
        <w:rPr>
          <w:rFonts w:ascii="Times New Roman" w:hAnsi="Times New Roman" w:cs="Times New Roman"/>
          <w:sz w:val="24"/>
          <w:szCs w:val="24"/>
        </w:rPr>
        <w:t xml:space="preserve"> </w:t>
      </w:r>
      <w:r w:rsidRPr="007F27A6">
        <w:rPr>
          <w:rFonts w:ascii="Times New Roman" w:hAnsi="Times New Roman" w:cs="Times New Roman"/>
          <w:sz w:val="24"/>
          <w:szCs w:val="24"/>
        </w:rPr>
        <w:fldChar w:fldCharType="begin"/>
      </w:r>
      <w:r w:rsidR="00F41BA8">
        <w:rPr>
          <w:rFonts w:ascii="Times New Roman" w:hAnsi="Times New Roman" w:cs="Times New Roman"/>
          <w:sz w:val="24"/>
          <w:szCs w:val="24"/>
        </w:rPr>
        <w:instrText xml:space="preserve"> ADDIN EN.CITE &lt;EndNote&gt;&lt;Cite&gt;&lt;Author&gt;Katsardis&lt;/Author&gt;&lt;Year&gt;2015&lt;/Year&gt;&lt;RecNum&gt;517&lt;/RecNum&gt;&lt;DisplayText&gt;[5]&lt;/DisplayText&gt;&lt;record&gt;&lt;rec-number&gt;517&lt;/rec-number&gt;&lt;foreign-keys&gt;&lt;key app="EN" db-id="aew2sr0t4wzt0mezvwmxzxfwwxffspwwfzz2" timestamp="0"&gt;517&lt;/key&gt;&lt;/foreign-keys&gt;&lt;ref-type name="Book Section"&gt;5&lt;/ref-type&gt;&lt;contributors&gt;&lt;authors&gt;&lt;author&gt;Katsardis, Ch. V.&lt;/author&gt;&lt;author&gt;Alexandraki, S.&lt;/author&gt;&lt;author&gt;Paraskakis, E.&lt;/author&gt;&lt;/authors&gt;&lt;secondary-authors&gt;&lt;author&gt;Katsardis Ch, Koumbourlis A, Anthracopoulos M &amp;amp; Paraskakis E.&lt;/author&gt;&lt;/secondary-authors&gt;&lt;/contributors&gt;&lt;titles&gt;&lt;title&gt;Chapter 2: Spirometry in children 6-16 years old &amp;#xD;&lt;/title&gt;&lt;secondary-title&gt;Paediatric Pulmonary Function Testing Indications and Interpretation&lt;/secondary-title&gt;&lt;/titles&gt;&lt;pages&gt;15–42&lt;/pages&gt;&lt;dates&gt;&lt;year&gt;2015&lt;/year&gt;&lt;/dates&gt;&lt;pub-location&gt;New York, USA &lt;/pub-location&gt;&lt;publisher&gt;NOVA Biomedical.&lt;/publisher&gt;&lt;urls&gt;&lt;/urls&gt;&lt;/record&gt;&lt;/Cite&gt;&lt;/EndNote&gt;</w:instrText>
      </w:r>
      <w:r w:rsidRPr="007F27A6">
        <w:rPr>
          <w:rFonts w:ascii="Times New Roman" w:hAnsi="Times New Roman" w:cs="Times New Roman"/>
          <w:sz w:val="24"/>
          <w:szCs w:val="24"/>
        </w:rPr>
        <w:fldChar w:fldCharType="separate"/>
      </w:r>
      <w:r w:rsidR="00F41BA8">
        <w:rPr>
          <w:rFonts w:ascii="Times New Roman" w:hAnsi="Times New Roman" w:cs="Times New Roman"/>
          <w:noProof/>
          <w:sz w:val="24"/>
          <w:szCs w:val="24"/>
        </w:rPr>
        <w:t>[5]</w:t>
      </w:r>
      <w:r w:rsidRPr="007F27A6">
        <w:rPr>
          <w:rFonts w:ascii="Times New Roman" w:hAnsi="Times New Roman" w:cs="Times New Roman"/>
          <w:sz w:val="24"/>
          <w:szCs w:val="24"/>
        </w:rPr>
        <w:fldChar w:fldCharType="end"/>
      </w:r>
      <w:r>
        <w:rPr>
          <w:rFonts w:ascii="Times New Roman" w:hAnsi="Times New Roman" w:cs="Times New Roman"/>
          <w:sz w:val="24"/>
          <w:szCs w:val="24"/>
        </w:rPr>
        <w:t xml:space="preserve"> and </w:t>
      </w:r>
      <w:r w:rsidRPr="007F27A6">
        <w:rPr>
          <w:rFonts w:ascii="Times New Roman" w:hAnsi="Times New Roman" w:cs="Times New Roman"/>
          <w:sz w:val="24"/>
          <w:szCs w:val="24"/>
        </w:rPr>
        <w:t>FeNO measurements ≥ 20 ppb is indicative of possible eosinophilic airway inflammation, poor asthma control and adherence to medication</w:t>
      </w:r>
      <w:r>
        <w:rPr>
          <w:rFonts w:ascii="Times New Roman" w:hAnsi="Times New Roman" w:cs="Times New Roman"/>
          <w:sz w:val="24"/>
          <w:szCs w:val="24"/>
        </w:rPr>
        <w:t xml:space="preserve"> </w:t>
      </w:r>
      <w:r w:rsidRPr="007F27A6">
        <w:rPr>
          <w:rFonts w:ascii="Times New Roman" w:hAnsi="Times New Roman" w:cs="Times New Roman"/>
          <w:sz w:val="24"/>
          <w:szCs w:val="24"/>
        </w:rPr>
        <w:fldChar w:fldCharType="begin"/>
      </w:r>
      <w:r w:rsidR="00F41BA8">
        <w:rPr>
          <w:rFonts w:ascii="Times New Roman" w:hAnsi="Times New Roman" w:cs="Times New Roman"/>
          <w:sz w:val="24"/>
          <w:szCs w:val="24"/>
        </w:rPr>
        <w:instrText xml:space="preserve"> ADDIN EN.CITE &lt;EndNote&gt;&lt;Cite&gt;&lt;Author&gt;Dweik&lt;/Author&gt;&lt;Year&gt;2011&lt;/Year&gt;&lt;RecNum&gt;677&lt;/RecNum&gt;&lt;DisplayText&gt;[4]&lt;/DisplayText&gt;&lt;record&gt;&lt;rec-number&gt;677&lt;/rec-number&gt;&lt;foreign-keys&gt;&lt;key app="EN" db-id="aew2sr0t4wzt0mezvwmxzxfwwxffspwwfzz2" timestamp="0"&gt;677&lt;/key&gt;&lt;/foreign-keys&gt;&lt;ref-type name="Journal Article"&gt;17&lt;/ref-type&gt;&lt;contributors&gt;&lt;authors&gt;&lt;author&gt;Dweik, R. A.&lt;/author&gt;&lt;author&gt;Boggs, P. B.&lt;/author&gt;&lt;author&gt;Erzurum, S. C.&lt;/author&gt;&lt;author&gt;Irvin, C. G.&lt;/author&gt;&lt;author&gt;Leigh, M. W.&lt;/author&gt;&lt;author&gt;Lundberg, J. O.&lt;/author&gt;&lt;author&gt;Olin, A. C.&lt;/author&gt;&lt;author&gt;Plummer, A. L.&lt;/author&gt;&lt;author&gt;Taylor, D. R.&lt;/author&gt;&lt;/authors&gt;&lt;/contributors&gt;&lt;titles&gt;&lt;title&gt;An official ATS clinical practice guideline: interpretation of exhaled nitric oxide levels (FENO) for clinical applications&lt;/title&gt;&lt;secondary-title&gt;Am J Respir Crit Care Med&lt;/secondary-title&gt;&lt;alt-title&gt;American journal of respiratory and critical care medicine&lt;/alt-title&gt;&lt;/titles&gt;&lt;pages&gt;602-15&lt;/pages&gt;&lt;volume&gt;184&lt;/volume&gt;&lt;number&gt;5&lt;/number&gt;&lt;edition&gt;2011/09/03&lt;/edition&gt;&lt;keywords&gt;&lt;keyword&gt;Asthma/*diagnosis/metabolism&lt;/keyword&gt;&lt;keyword&gt;Biomarkers/analysis&lt;/keyword&gt;&lt;keyword&gt;Breath Tests/*methods&lt;/keyword&gt;&lt;keyword&gt;*Exhalation&lt;/keyword&gt;&lt;keyword&gt;Humans&lt;/keyword&gt;&lt;keyword&gt;Lung/*metabolism&lt;/keyword&gt;&lt;keyword&gt;Nitric Oxide/*analysis&lt;/keyword&gt;&lt;/keywords&gt;&lt;dates&gt;&lt;year&gt;2011&lt;/year&gt;&lt;pub-dates&gt;&lt;date&gt;Sep 1&lt;/date&gt;&lt;/pub-dates&gt;&lt;/dates&gt;&lt;isbn&gt;1073-449x&lt;/isbn&gt;&lt;accession-num&gt;21885636&lt;/accession-num&gt;&lt;urls&gt;&lt;/urls&gt;&lt;custom2&gt;PMC4408724&lt;/custom2&gt;&lt;electronic-resource-num&gt;10.1164/rccm.9120-11ST&lt;/electronic-resource-num&gt;&lt;remote-database-provider&gt;NLM&lt;/remote-database-provider&gt;&lt;language&gt;eng&lt;/language&gt;&lt;/record&gt;&lt;/Cite&gt;&lt;/EndNote&gt;</w:instrText>
      </w:r>
      <w:r w:rsidRPr="007F27A6">
        <w:rPr>
          <w:rFonts w:ascii="Times New Roman" w:hAnsi="Times New Roman" w:cs="Times New Roman"/>
          <w:sz w:val="24"/>
          <w:szCs w:val="24"/>
        </w:rPr>
        <w:fldChar w:fldCharType="separate"/>
      </w:r>
      <w:r w:rsidR="00F41BA8">
        <w:rPr>
          <w:rFonts w:ascii="Times New Roman" w:hAnsi="Times New Roman" w:cs="Times New Roman"/>
          <w:noProof/>
          <w:sz w:val="24"/>
          <w:szCs w:val="24"/>
        </w:rPr>
        <w:t>[4]</w:t>
      </w:r>
      <w:r w:rsidRPr="007F27A6">
        <w:rPr>
          <w:rFonts w:ascii="Times New Roman" w:hAnsi="Times New Roman" w:cs="Times New Roman"/>
          <w:sz w:val="24"/>
          <w:szCs w:val="24"/>
        </w:rPr>
        <w:fldChar w:fldCharType="end"/>
      </w:r>
      <w:r>
        <w:rPr>
          <w:rFonts w:ascii="Times New Roman" w:hAnsi="Times New Roman" w:cs="Times New Roman"/>
          <w:sz w:val="24"/>
          <w:szCs w:val="24"/>
        </w:rPr>
        <w:t>.</w:t>
      </w:r>
    </w:p>
    <w:p w:rsidR="0010412B" w:rsidRPr="007F27A6" w:rsidRDefault="0010412B" w:rsidP="0010412B">
      <w:pPr>
        <w:spacing w:line="360" w:lineRule="auto"/>
        <w:jc w:val="both"/>
        <w:rPr>
          <w:rFonts w:ascii="Times New Roman" w:hAnsi="Times New Roman" w:cs="Times New Roman"/>
          <w:b/>
          <w:sz w:val="24"/>
          <w:szCs w:val="24"/>
          <w:shd w:val="clear" w:color="auto" w:fill="FFFFFF"/>
        </w:rPr>
      </w:pPr>
      <w:r w:rsidRPr="007F27A6">
        <w:rPr>
          <w:rFonts w:ascii="Times New Roman" w:hAnsi="Times New Roman" w:cs="Times New Roman"/>
          <w:b/>
          <w:sz w:val="24"/>
          <w:szCs w:val="24"/>
          <w:shd w:val="clear" w:color="auto" w:fill="FFFFFF"/>
        </w:rPr>
        <w:t>Overweight and obesity categorization</w:t>
      </w:r>
    </w:p>
    <w:p w:rsidR="0010412B" w:rsidRPr="007F27A6" w:rsidRDefault="0010412B" w:rsidP="0010412B">
      <w:pPr>
        <w:spacing w:line="360" w:lineRule="auto"/>
        <w:jc w:val="both"/>
        <w:rPr>
          <w:rFonts w:ascii="Times New Roman" w:hAnsi="Times New Roman" w:cs="Times New Roman"/>
          <w:b/>
          <w:sz w:val="24"/>
          <w:szCs w:val="24"/>
        </w:rPr>
      </w:pPr>
      <w:r w:rsidRPr="007F27A6">
        <w:rPr>
          <w:rFonts w:ascii="Times New Roman" w:hAnsi="Times New Roman" w:cs="Times New Roman"/>
          <w:sz w:val="24"/>
          <w:szCs w:val="24"/>
          <w:shd w:val="clear" w:color="auto" w:fill="FFFFFF"/>
        </w:rPr>
        <w:t>Overweight and obesity categories were defined on Body Mass Index (BMI = kg/m</w:t>
      </w:r>
      <w:r w:rsidRPr="007F27A6">
        <w:rPr>
          <w:rFonts w:ascii="Times New Roman" w:hAnsi="Times New Roman" w:cs="Times New Roman"/>
          <w:sz w:val="24"/>
          <w:szCs w:val="24"/>
          <w:shd w:val="clear" w:color="auto" w:fill="FFFFFF"/>
          <w:vertAlign w:val="superscript"/>
        </w:rPr>
        <w:t>2</w:t>
      </w:r>
      <w:r w:rsidRPr="007F27A6">
        <w:rPr>
          <w:rFonts w:ascii="Times New Roman" w:hAnsi="Times New Roman" w:cs="Times New Roman"/>
          <w:sz w:val="24"/>
          <w:szCs w:val="24"/>
          <w:shd w:val="clear" w:color="auto" w:fill="FFFFFF"/>
        </w:rPr>
        <w:t>) for children 2-18 years old as proposed by the International Obesity Task Force (IOTF)</w:t>
      </w:r>
      <w:r>
        <w:rPr>
          <w:rFonts w:ascii="Times New Roman" w:hAnsi="Times New Roman" w:cs="Times New Roman"/>
          <w:sz w:val="24"/>
          <w:szCs w:val="24"/>
          <w:shd w:val="clear" w:color="auto" w:fill="FFFFFF"/>
        </w:rPr>
        <w:t xml:space="preserve"> </w:t>
      </w:r>
      <w:r w:rsidRPr="007F27A6">
        <w:rPr>
          <w:rFonts w:ascii="Times New Roman" w:hAnsi="Times New Roman" w:cs="Times New Roman"/>
          <w:sz w:val="24"/>
          <w:szCs w:val="24"/>
          <w:shd w:val="clear" w:color="auto" w:fill="FFFFFF"/>
        </w:rPr>
        <w:fldChar w:fldCharType="begin"/>
      </w:r>
      <w:r w:rsidR="00F41BA8">
        <w:rPr>
          <w:rFonts w:ascii="Times New Roman" w:hAnsi="Times New Roman" w:cs="Times New Roman"/>
          <w:sz w:val="24"/>
          <w:szCs w:val="24"/>
          <w:shd w:val="clear" w:color="auto" w:fill="FFFFFF"/>
        </w:rPr>
        <w:instrText xml:space="preserve"> ADDIN EN.CITE &lt;EndNote&gt;&lt;Cite&gt;&lt;Author&gt;Cole&lt;/Author&gt;&lt;Year&gt;2012&lt;/Year&gt;&lt;RecNum&gt;740&lt;/RecNum&gt;&lt;DisplayText&gt;[6]&lt;/DisplayText&gt;&lt;record&gt;&lt;rec-number&gt;740&lt;/rec-number&gt;&lt;foreign-keys&gt;&lt;key app="EN" db-id="aew2sr0t4wzt0mezvwmxzxfwwxffspwwfzz2" timestamp="0"&gt;740&lt;/key&gt;&lt;/foreign-keys&gt;&lt;ref-type name="Journal Article"&gt;17&lt;/ref-type&gt;&lt;contributors&gt;&lt;authors&gt;&lt;author&gt;Cole, T. J.&lt;/author&gt;&lt;author&gt;Lobstein, T.&lt;/author&gt;&lt;/authors&gt;&lt;/contributors&gt;&lt;auth-address&gt;MRC Centre of Epidemiology for Child Health, UCL Institute of Child Health, London, UK. tim.cole@ucl.ac.uk&lt;/auth-address&gt;&lt;titles&gt;&lt;title&gt;Extended international (IOTF) body mass index cut-offs for thinness, overweight and obesity&lt;/title&gt;&lt;secondary-title&gt;Pediatr Obes&lt;/secondary-title&gt;&lt;alt-title&gt;Pediatric obesity&lt;/alt-title&gt;&lt;/titles&gt;&lt;pages&gt;284-94&lt;/pages&gt;&lt;volume&gt;7&lt;/volume&gt;&lt;number&gt;4&lt;/number&gt;&lt;edition&gt;2012/06/21&lt;/edition&gt;&lt;keywords&gt;&lt;keyword&gt;Adolescent&lt;/keyword&gt;&lt;keyword&gt;Age Factors&lt;/keyword&gt;&lt;keyword&gt;Aging&lt;/keyword&gt;&lt;keyword&gt;*Body Mass Index&lt;/keyword&gt;&lt;keyword&gt;Brazil/epidemiology&lt;/keyword&gt;&lt;keyword&gt;Child&lt;/keyword&gt;&lt;keyword&gt;Child, Preschool&lt;/keyword&gt;&lt;keyword&gt;China/epidemiology&lt;/keyword&gt;&lt;keyword&gt;Europe/epidemiology&lt;/keyword&gt;&lt;keyword&gt;Female&lt;/keyword&gt;&lt;keyword&gt;*Growth Charts&lt;/keyword&gt;&lt;keyword&gt;*Health Status&lt;/keyword&gt;&lt;keyword&gt;Humans&lt;/keyword&gt;&lt;keyword&gt;Male&lt;/keyword&gt;&lt;keyword&gt;Models, Biological&lt;/keyword&gt;&lt;keyword&gt;Obesity/*diagnosis/epidemiology&lt;/keyword&gt;&lt;keyword&gt;Overweight/*diagnosis/epidemiology&lt;/keyword&gt;&lt;keyword&gt;Predictive Value of Tests&lt;/keyword&gt;&lt;keyword&gt;Prevalence&lt;/keyword&gt;&lt;keyword&gt;Reference Standards&lt;/keyword&gt;&lt;keyword&gt;Singapore/epidemiology&lt;/keyword&gt;&lt;keyword&gt;Thinness/*diagnosis/epidemiology&lt;/keyword&gt;&lt;keyword&gt;United States/epidemiology&lt;/keyword&gt;&lt;keyword&gt;World Health Organization&lt;/keyword&gt;&lt;/keywords&gt;&lt;dates&gt;&lt;year&gt;2012&lt;/year&gt;&lt;pub-dates&gt;&lt;date&gt;Aug&lt;/date&gt;&lt;/pub-dates&gt;&lt;/dates&gt;&lt;isbn&gt;2047-6302&lt;/isbn&gt;&lt;accession-num&gt;22715120&lt;/accession-num&gt;&lt;urls&gt;&lt;/urls&gt;&lt;electronic-resource-num&gt;10.1111/j.2047-6310.2012.00064.x&lt;/electronic-resource-num&gt;&lt;remote-database-provider&gt;NLM&lt;/remote-database-provider&gt;&lt;language&gt;eng&lt;/language&gt;&lt;/record&gt;&lt;/Cite&gt;&lt;/EndNote&gt;</w:instrText>
      </w:r>
      <w:r w:rsidRPr="007F27A6">
        <w:rPr>
          <w:rFonts w:ascii="Times New Roman" w:hAnsi="Times New Roman" w:cs="Times New Roman"/>
          <w:sz w:val="24"/>
          <w:szCs w:val="24"/>
          <w:shd w:val="clear" w:color="auto" w:fill="FFFFFF"/>
        </w:rPr>
        <w:fldChar w:fldCharType="separate"/>
      </w:r>
      <w:r w:rsidR="00F41BA8">
        <w:rPr>
          <w:rFonts w:ascii="Times New Roman" w:hAnsi="Times New Roman" w:cs="Times New Roman"/>
          <w:noProof/>
          <w:sz w:val="24"/>
          <w:szCs w:val="24"/>
          <w:shd w:val="clear" w:color="auto" w:fill="FFFFFF"/>
        </w:rPr>
        <w:t>[6]</w:t>
      </w:r>
      <w:r w:rsidRPr="007F27A6">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w:t>
      </w:r>
      <w:r w:rsidRPr="007F27A6">
        <w:rPr>
          <w:rFonts w:ascii="Times New Roman" w:hAnsi="Times New Roman" w:cs="Times New Roman"/>
          <w:sz w:val="24"/>
          <w:szCs w:val="24"/>
          <w:shd w:val="clear" w:color="auto" w:fill="FFFFFF"/>
        </w:rPr>
        <w:t xml:space="preserve"> These cut points are based on age and sex specific percentile curves that correspond to the adult cut points of 25 and 30 kg/m for overweight and obesity. In the present study, </w:t>
      </w:r>
      <w:r w:rsidRPr="007F27A6">
        <w:rPr>
          <w:rFonts w:ascii="Times New Roman" w:hAnsi="Times New Roman" w:cs="Times New Roman"/>
          <w:sz w:val="24"/>
          <w:szCs w:val="24"/>
        </w:rPr>
        <w:t xml:space="preserve">data on weight status </w:t>
      </w:r>
      <w:r w:rsidRPr="007F27A6">
        <w:rPr>
          <w:rFonts w:ascii="Times New Roman" w:hAnsi="Times New Roman" w:cs="Times New Roman"/>
          <w:sz w:val="24"/>
          <w:szCs w:val="24"/>
        </w:rPr>
        <w:lastRenderedPageBreak/>
        <w:t xml:space="preserve">was available for 61 children and </w:t>
      </w:r>
      <w:r w:rsidRPr="007F27A6">
        <w:rPr>
          <w:rFonts w:ascii="Times New Roman" w:hAnsi="Times New Roman" w:cs="Times New Roman"/>
          <w:sz w:val="24"/>
          <w:szCs w:val="24"/>
          <w:shd w:val="clear" w:color="auto" w:fill="FFFFFF"/>
        </w:rPr>
        <w:t>given that only eight children (n</w:t>
      </w:r>
      <w:r>
        <w:rPr>
          <w:rFonts w:ascii="Times New Roman" w:hAnsi="Times New Roman" w:cs="Times New Roman"/>
          <w:sz w:val="24"/>
          <w:szCs w:val="24"/>
          <w:shd w:val="clear" w:color="auto" w:fill="FFFFFF"/>
        </w:rPr>
        <w:t xml:space="preserve"> </w:t>
      </w:r>
      <w:r w:rsidRPr="007F27A6">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7F27A6">
        <w:rPr>
          <w:rFonts w:ascii="Times New Roman" w:hAnsi="Times New Roman" w:cs="Times New Roman"/>
          <w:sz w:val="24"/>
          <w:szCs w:val="24"/>
          <w:shd w:val="clear" w:color="auto" w:fill="FFFFFF"/>
        </w:rPr>
        <w:t xml:space="preserve">8) were categorized </w:t>
      </w:r>
      <w:r>
        <w:rPr>
          <w:rFonts w:ascii="Times New Roman" w:hAnsi="Times New Roman" w:cs="Times New Roman"/>
          <w:sz w:val="24"/>
          <w:szCs w:val="24"/>
          <w:shd w:val="clear" w:color="auto" w:fill="FFFFFF"/>
        </w:rPr>
        <w:t>with</w:t>
      </w:r>
      <w:r w:rsidRPr="007F27A6">
        <w:rPr>
          <w:rFonts w:ascii="Times New Roman" w:hAnsi="Times New Roman" w:cs="Times New Roman"/>
          <w:sz w:val="24"/>
          <w:szCs w:val="24"/>
          <w:shd w:val="clear" w:color="auto" w:fill="FFFFFF"/>
        </w:rPr>
        <w:t xml:space="preserve"> obes</w:t>
      </w:r>
      <w:r>
        <w:rPr>
          <w:rFonts w:ascii="Times New Roman" w:hAnsi="Times New Roman" w:cs="Times New Roman"/>
          <w:sz w:val="24"/>
          <w:szCs w:val="24"/>
          <w:shd w:val="clear" w:color="auto" w:fill="FFFFFF"/>
        </w:rPr>
        <w:t>ity</w:t>
      </w:r>
      <w:r w:rsidRPr="007F27A6">
        <w:rPr>
          <w:rFonts w:ascii="Times New Roman" w:hAnsi="Times New Roman" w:cs="Times New Roman"/>
          <w:sz w:val="24"/>
          <w:szCs w:val="24"/>
          <w:shd w:val="clear" w:color="auto" w:fill="FFFFFF"/>
        </w:rPr>
        <w:t xml:space="preserve"> (BMI &gt; 30 kg/m</w:t>
      </w:r>
      <w:r w:rsidRPr="007F27A6">
        <w:rPr>
          <w:rFonts w:ascii="Times New Roman" w:hAnsi="Times New Roman" w:cs="Times New Roman"/>
          <w:sz w:val="24"/>
          <w:szCs w:val="24"/>
          <w:shd w:val="clear" w:color="auto" w:fill="FFFFFF"/>
          <w:vertAlign w:val="superscript"/>
        </w:rPr>
        <w:t>2</w:t>
      </w:r>
      <w:r w:rsidRPr="007F27A6">
        <w:rPr>
          <w:rFonts w:ascii="Times New Roman" w:hAnsi="Times New Roman" w:cs="Times New Roman"/>
          <w:sz w:val="24"/>
          <w:szCs w:val="24"/>
          <w:shd w:val="clear" w:color="auto" w:fill="FFFFFF"/>
        </w:rPr>
        <w:t>), overweight and obese groups were combined.</w:t>
      </w:r>
    </w:p>
    <w:p w:rsidR="003535B8" w:rsidRPr="003535B8" w:rsidRDefault="003535B8" w:rsidP="003535B8">
      <w:pPr>
        <w:spacing w:before="240" w:line="360" w:lineRule="auto"/>
        <w:rPr>
          <w:rFonts w:ascii="Times New Roman" w:hAnsi="Times New Roman" w:cs="Times New Roman"/>
          <w:b/>
          <w:sz w:val="24"/>
          <w:szCs w:val="24"/>
        </w:rPr>
      </w:pPr>
      <w:r w:rsidRPr="003535B8">
        <w:rPr>
          <w:rFonts w:ascii="Times New Roman" w:hAnsi="Times New Roman" w:cs="Times New Roman"/>
          <w:b/>
          <w:sz w:val="24"/>
          <w:szCs w:val="24"/>
        </w:rPr>
        <w:t>Determination of serum vitamin D concentrations</w:t>
      </w:r>
    </w:p>
    <w:p w:rsidR="003535B8" w:rsidRPr="003535B8" w:rsidRDefault="003535B8" w:rsidP="003535B8">
      <w:pPr>
        <w:spacing w:after="0" w:line="360" w:lineRule="auto"/>
        <w:jc w:val="both"/>
        <w:rPr>
          <w:rFonts w:ascii="Times New Roman" w:hAnsi="Times New Roman" w:cs="Times New Roman"/>
          <w:noProof/>
          <w:sz w:val="24"/>
          <w:szCs w:val="24"/>
          <w:lang w:val="en-US"/>
        </w:rPr>
      </w:pPr>
      <w:r w:rsidRPr="003535B8">
        <w:rPr>
          <w:rFonts w:ascii="Times New Roman" w:hAnsi="Times New Roman" w:cs="Times New Roman"/>
          <w:noProof/>
          <w:sz w:val="24"/>
          <w:szCs w:val="24"/>
          <w:lang w:eastAsia="en-AU"/>
        </w:rPr>
        <w:t>V</w:t>
      </w:r>
      <w:r w:rsidRPr="003535B8">
        <w:rPr>
          <w:rFonts w:ascii="Times New Roman" w:hAnsi="Times New Roman" w:cs="Times New Roman"/>
          <w:noProof/>
          <w:sz w:val="24"/>
          <w:szCs w:val="24"/>
          <w:lang w:val="en-US" w:eastAsia="en-AU"/>
        </w:rPr>
        <w:t xml:space="preserve">enous samples (4ml) were collected from subjects according to WHO guidelines following a 2 hour fast </w:t>
      </w:r>
      <w:r w:rsidRPr="003535B8">
        <w:rPr>
          <w:rFonts w:ascii="Times New Roman" w:eastAsia="Times New Roman" w:hAnsi="Times New Roman" w:cs="Times New Roman"/>
          <w:noProof/>
          <w:sz w:val="24"/>
          <w:szCs w:val="24"/>
          <w:lang w:val="en-US" w:eastAsia="en-AU"/>
        </w:rPr>
        <w:fldChar w:fldCharType="begin"/>
      </w:r>
      <w:r w:rsidR="00325C7F">
        <w:rPr>
          <w:rFonts w:ascii="Times New Roman" w:eastAsia="Times New Roman" w:hAnsi="Times New Roman" w:cs="Times New Roman"/>
          <w:noProof/>
          <w:sz w:val="24"/>
          <w:szCs w:val="24"/>
          <w:lang w:val="en-US" w:eastAsia="en-AU"/>
        </w:rPr>
        <w:instrText xml:space="preserve"> ADDIN EN.CITE &lt;EndNote&gt;&lt;Cite&gt;&lt;Author&gt;WHO&lt;/Author&gt;&lt;Year&gt;2010&lt;/Year&gt;&lt;RecNum&gt;360&lt;/RecNum&gt;&lt;DisplayText&gt;[7]&lt;/DisplayText&gt;&lt;record&gt;&lt;rec-number&gt;360&lt;/rec-number&gt;&lt;foreign-keys&gt;&lt;key app="EN" db-id="rda222adq5a2pkerr96v9z2iefpsztd9fddp" timestamp="1537175458"&gt;360&lt;/key&gt;&lt;/foreign-keys&gt;&lt;ref-type name="Dictionary"&gt;52&lt;/ref-type&gt;&lt;contributors&gt;&lt;authors&gt;&lt;author&gt;WHO&lt;/author&gt;&lt;/authors&gt;&lt;/contributors&gt;&lt;titles&gt;&lt;title&gt;WHO Guidelines on Drawing Blood: Best Practices in Phlebotomy. In Chapter  6:  Paediatric and neonatal blood sampling. &lt;/title&gt;&lt;/titles&gt;&lt;number&gt;17.9.18&lt;/number&gt;&lt;dates&gt;&lt;year&gt;2010&lt;/year&gt;&lt;/dates&gt;&lt;pub-location&gt;Geneva&lt;/pub-location&gt;&lt;publisher&gt;World Health Organization&lt;/publisher&gt;&lt;urls&gt;&lt;related-urls&gt;&lt;url&gt;https://www.ncbi.nlm.nih.gov/books/NBK138647/&lt;/url&gt;&lt;/related-urls&gt;&lt;/urls&gt;&lt;/record&gt;&lt;/Cite&gt;&lt;/EndNote&gt;</w:instrText>
      </w:r>
      <w:r w:rsidRPr="003535B8">
        <w:rPr>
          <w:rFonts w:ascii="Times New Roman" w:eastAsia="Times New Roman" w:hAnsi="Times New Roman" w:cs="Times New Roman"/>
          <w:noProof/>
          <w:sz w:val="24"/>
          <w:szCs w:val="24"/>
          <w:lang w:val="en-US" w:eastAsia="en-AU"/>
        </w:rPr>
        <w:fldChar w:fldCharType="separate"/>
      </w:r>
      <w:r w:rsidR="00325C7F">
        <w:rPr>
          <w:rFonts w:ascii="Times New Roman" w:eastAsia="Times New Roman" w:hAnsi="Times New Roman" w:cs="Times New Roman"/>
          <w:noProof/>
          <w:sz w:val="24"/>
          <w:szCs w:val="24"/>
          <w:lang w:val="en-US" w:eastAsia="en-AU"/>
        </w:rPr>
        <w:t>[7]</w:t>
      </w:r>
      <w:r w:rsidRPr="003535B8">
        <w:rPr>
          <w:rFonts w:ascii="Times New Roman" w:eastAsia="Times New Roman" w:hAnsi="Times New Roman" w:cs="Times New Roman"/>
          <w:noProof/>
          <w:sz w:val="24"/>
          <w:szCs w:val="24"/>
          <w:lang w:val="en-US" w:eastAsia="en-AU"/>
        </w:rPr>
        <w:fldChar w:fldCharType="end"/>
      </w:r>
      <w:r w:rsidRPr="003535B8">
        <w:rPr>
          <w:rFonts w:ascii="Times New Roman" w:eastAsia="Times New Roman" w:hAnsi="Times New Roman" w:cs="Times New Roman"/>
          <w:noProof/>
          <w:sz w:val="24"/>
          <w:szCs w:val="24"/>
          <w:lang w:val="en-US" w:eastAsia="en-AU"/>
        </w:rPr>
        <w:t>.</w:t>
      </w:r>
      <w:r w:rsidRPr="003535B8">
        <w:rPr>
          <w:rFonts w:ascii="Times New Roman" w:hAnsi="Times New Roman" w:cs="Times New Roman"/>
          <w:noProof/>
          <w:sz w:val="24"/>
          <w:szCs w:val="24"/>
          <w:lang w:val="en-US" w:eastAsia="en-AU"/>
        </w:rPr>
        <w:t xml:space="preserve"> The samples were centrifuged and plasma decanted from the supernatant and were stored at -20°C until analysis, within 24 h to avoid degradation. In case of hemolysis blood collection was repeated</w:t>
      </w:r>
      <w:r w:rsidRPr="003535B8">
        <w:rPr>
          <w:rFonts w:ascii="Times New Roman" w:hAnsi="Times New Roman" w:cs="Times New Roman"/>
          <w:noProof/>
          <w:sz w:val="24"/>
          <w:szCs w:val="24"/>
          <w:lang w:val="en-US"/>
        </w:rPr>
        <w:t>. Vitamin D status was measured using serum 25-OH D as it has a half-life of 2-3 weeks and it is the best indicator of vitamin D exposure from diet and dermal synthesis</w:t>
      </w:r>
      <w:r w:rsidRPr="003535B8">
        <w:rPr>
          <w:rFonts w:ascii="Times New Roman" w:hAnsi="Times New Roman" w:cs="Times New Roman"/>
          <w:noProof/>
          <w:sz w:val="24"/>
          <w:szCs w:val="24"/>
          <w:lang w:val="en-US" w:eastAsia="en-AU"/>
        </w:rPr>
        <w:t xml:space="preserve">. Determination of 25-OH Vitamin D from blood serum was undertaken using Enzyme-Linked Immuno Assay (ELISA) (IDS, Tyne &amp; Wear, UK) </w:t>
      </w:r>
      <w:r w:rsidRPr="003535B8">
        <w:rPr>
          <w:rFonts w:ascii="Times New Roman" w:hAnsi="Times New Roman" w:cs="Times New Roman"/>
          <w:noProof/>
          <w:sz w:val="24"/>
          <w:szCs w:val="24"/>
          <w:lang w:val="en-US" w:eastAsia="en-AU"/>
        </w:rPr>
        <w:fldChar w:fldCharType="begin"/>
      </w:r>
      <w:r w:rsidR="00325C7F">
        <w:rPr>
          <w:rFonts w:ascii="Times New Roman" w:hAnsi="Times New Roman" w:cs="Times New Roman"/>
          <w:noProof/>
          <w:sz w:val="24"/>
          <w:szCs w:val="24"/>
          <w:lang w:val="en-US" w:eastAsia="en-AU"/>
        </w:rPr>
        <w:instrText xml:space="preserve"> ADDIN EN.CITE &lt;EndNote&gt;&lt;Cite&gt;&lt;Author&gt;IDS&lt;/Author&gt;&lt;Year&gt;2018&lt;/Year&gt;&lt;RecNum&gt;679&lt;/RecNum&gt;&lt;DisplayText&gt;[8]&lt;/DisplayText&gt;&lt;record&gt;&lt;rec-number&gt;679&lt;/rec-number&gt;&lt;foreign-keys&gt;&lt;key app="EN" db-id="rda222adq5a2pkerr96v9z2iefpsztd9fddp" timestamp="1592228087"&gt;679&lt;/key&gt;&lt;/foreign-keys&gt;&lt;ref-type name="Web Page"&gt;12&lt;/ref-type&gt;&lt;contributors&gt;&lt;authors&gt;&lt;author&gt;IDS&lt;/author&gt;&lt;/authors&gt;&lt;/contributors&gt;&lt;titles&gt;&lt;title&gt;OCTEIA 25-Hydroxy- Vitamin D&lt;/title&gt;&lt;/titles&gt;&lt;dates&gt;&lt;year&gt;2018&lt;/year&gt;&lt;/dates&gt;&lt;pub-location&gt;London, UK&lt;/pub-location&gt;&lt;publisher&gt;Immunodiagnostic Systems (IDS) Inc&lt;/publisher&gt;&lt;urls&gt;&lt;related-urls&gt;&lt;url&gt;&lt;style face="underline" font="default" size="100%"&gt;www.idsltd.com&lt;/style&gt;&lt;/url&gt;&lt;/related-urls&gt;&lt;/urls&gt;&lt;custom1&gt;2019&lt;/custom1&gt;&lt;/record&gt;&lt;/Cite&gt;&lt;/EndNote&gt;</w:instrText>
      </w:r>
      <w:r w:rsidRPr="003535B8">
        <w:rPr>
          <w:rFonts w:ascii="Times New Roman" w:hAnsi="Times New Roman" w:cs="Times New Roman"/>
          <w:noProof/>
          <w:sz w:val="24"/>
          <w:szCs w:val="24"/>
          <w:lang w:val="en-US" w:eastAsia="en-AU"/>
        </w:rPr>
        <w:fldChar w:fldCharType="separate"/>
      </w:r>
      <w:r w:rsidR="00325C7F">
        <w:rPr>
          <w:rFonts w:ascii="Times New Roman" w:hAnsi="Times New Roman" w:cs="Times New Roman"/>
          <w:noProof/>
          <w:sz w:val="24"/>
          <w:szCs w:val="24"/>
          <w:lang w:val="en-US" w:eastAsia="en-AU"/>
        </w:rPr>
        <w:t>[8]</w:t>
      </w:r>
      <w:r w:rsidRPr="003535B8">
        <w:rPr>
          <w:rFonts w:ascii="Times New Roman" w:hAnsi="Times New Roman" w:cs="Times New Roman"/>
          <w:noProof/>
          <w:sz w:val="24"/>
          <w:szCs w:val="24"/>
          <w:lang w:val="en-US" w:eastAsia="en-AU"/>
        </w:rPr>
        <w:fldChar w:fldCharType="end"/>
      </w:r>
      <w:r w:rsidRPr="003535B8">
        <w:rPr>
          <w:rFonts w:ascii="Times New Roman" w:hAnsi="Times New Roman" w:cs="Times New Roman"/>
          <w:noProof/>
          <w:sz w:val="24"/>
          <w:szCs w:val="24"/>
          <w:lang w:val="en-US" w:eastAsia="en-AU"/>
        </w:rPr>
        <w:t xml:space="preserve">. A sample volume of 25µL was added to glass tubes followed by 1mL of 25D-biotin conjugate and the mixture vortexed. Then, 200µL of this mixture was added to the anti-25D antibody coated microtitre plate. The assay mixture was incubated for 2 hours at room temperature and plates were washed to remove unbound 25-D biotin conjugate. Bound 25-D biotin conjugate was identified by adding 200µL Avidin HRP (Horseradish peroxidase) for 30 minutes and then the plate was washed again. Tetramethylbenzidine (TMB) substrate was added followed by incubation for 30 minutes and the reaction terminated with acid. The absorbance recorded at 450 nm was inversely proportional to the concentration of 25-OH vitamin D. Serum 25(OH) D values were estimated for unknown samples directly from the calibration curve. The intra- and inter- assay variability was less than 1.9% and 4.6% respectively. </w:t>
      </w:r>
      <w:r w:rsidRPr="003535B8">
        <w:rPr>
          <w:rFonts w:ascii="Times New Roman" w:hAnsi="Times New Roman" w:cs="Times New Roman"/>
          <w:noProof/>
          <w:sz w:val="24"/>
          <w:szCs w:val="24"/>
          <w:bdr w:val="none" w:sz="0" w:space="0" w:color="auto" w:frame="1"/>
          <w:lang w:val="en-US" w:eastAsia="en-AU"/>
        </w:rPr>
        <w:t xml:space="preserve">The performance of the assay for the quantification of 25(OH)D was assessed  in co-operation with Vitamin D </w:t>
      </w:r>
      <w:r w:rsidRPr="003535B8">
        <w:rPr>
          <w:rFonts w:ascii="Times New Roman" w:hAnsi="Times New Roman" w:cs="Times New Roman"/>
          <w:noProof/>
          <w:sz w:val="24"/>
          <w:szCs w:val="24"/>
          <w:shd w:val="clear" w:color="auto" w:fill="FFFFFF"/>
          <w:lang w:val="en-US"/>
        </w:rPr>
        <w:t>External Quality Assessment Scheme Advisory (</w:t>
      </w:r>
      <w:r w:rsidRPr="003535B8">
        <w:rPr>
          <w:rFonts w:ascii="Times New Roman" w:hAnsi="Times New Roman" w:cs="Times New Roman"/>
          <w:noProof/>
          <w:sz w:val="24"/>
          <w:szCs w:val="24"/>
          <w:bdr w:val="none" w:sz="0" w:space="0" w:color="auto" w:frame="1"/>
          <w:lang w:val="en-US" w:eastAsia="en-AU"/>
        </w:rPr>
        <w:t xml:space="preserve">DEQAS), UK </w:t>
      </w:r>
      <w:r w:rsidRPr="003535B8">
        <w:rPr>
          <w:rFonts w:ascii="Times New Roman" w:hAnsi="Times New Roman" w:cs="Times New Roman"/>
          <w:noProof/>
          <w:sz w:val="24"/>
          <w:szCs w:val="24"/>
          <w:bdr w:val="none" w:sz="0" w:space="0" w:color="auto" w:frame="1"/>
          <w:lang w:val="en-US" w:eastAsia="en-AU"/>
        </w:rPr>
        <w:fldChar w:fldCharType="begin"/>
      </w:r>
      <w:r w:rsidR="00325C7F">
        <w:rPr>
          <w:rFonts w:ascii="Times New Roman" w:hAnsi="Times New Roman" w:cs="Times New Roman"/>
          <w:noProof/>
          <w:sz w:val="24"/>
          <w:szCs w:val="24"/>
          <w:bdr w:val="none" w:sz="0" w:space="0" w:color="auto" w:frame="1"/>
          <w:lang w:val="en-US" w:eastAsia="en-AU"/>
        </w:rPr>
        <w:instrText xml:space="preserve"> ADDIN EN.CITE &lt;EndNote&gt;&lt;Cite&gt;&lt;Author&gt;DEQUAS&lt;/Author&gt;&lt;Year&gt;2019&lt;/Year&gt;&lt;RecNum&gt;680&lt;/RecNum&gt;&lt;DisplayText&gt;[9]&lt;/DisplayText&gt;&lt;record&gt;&lt;rec-number&gt;680&lt;/rec-number&gt;&lt;foreign-keys&gt;&lt;key app="EN" db-id="rda222adq5a2pkerr96v9z2iefpsztd9fddp" timestamp="1592228981"&gt;680&lt;/key&gt;&lt;/foreign-keys&gt;&lt;ref-type name="Web Page"&gt;12&lt;/ref-type&gt;&lt;contributors&gt;&lt;authors&gt;&lt;author&gt;DEQUAS&lt;/author&gt;&lt;/authors&gt;&lt;/contributors&gt;&lt;titles&gt;&lt;title&gt;Vitamin D External Quality Assessment Scheme&lt;/title&gt;&lt;/titles&gt;&lt;dates&gt;&lt;year&gt;2019&lt;/year&gt;&lt;/dates&gt;&lt;pub-location&gt;London, UK&lt;/pub-location&gt;&lt;publisher&gt;Vitamin D External Quality Assessment Scheme&lt;/publisher&gt;&lt;urls&gt;&lt;related-urls&gt;&lt;url&gt;&lt;style face="underline" font="default" size="100%"&gt;http://www.deqas.org/&lt;/style&gt;&lt;/url&gt;&lt;/related-urls&gt;&lt;/urls&gt;&lt;custom1&gt;2019&lt;/custom1&gt;&lt;/record&gt;&lt;/Cite&gt;&lt;/EndNote&gt;</w:instrText>
      </w:r>
      <w:r w:rsidRPr="003535B8">
        <w:rPr>
          <w:rFonts w:ascii="Times New Roman" w:hAnsi="Times New Roman" w:cs="Times New Roman"/>
          <w:noProof/>
          <w:sz w:val="24"/>
          <w:szCs w:val="24"/>
          <w:bdr w:val="none" w:sz="0" w:space="0" w:color="auto" w:frame="1"/>
          <w:lang w:val="en-US" w:eastAsia="en-AU"/>
        </w:rPr>
        <w:fldChar w:fldCharType="separate"/>
      </w:r>
      <w:r w:rsidR="00325C7F">
        <w:rPr>
          <w:rFonts w:ascii="Times New Roman" w:hAnsi="Times New Roman" w:cs="Times New Roman"/>
          <w:noProof/>
          <w:sz w:val="24"/>
          <w:szCs w:val="24"/>
          <w:bdr w:val="none" w:sz="0" w:space="0" w:color="auto" w:frame="1"/>
          <w:lang w:val="en-US" w:eastAsia="en-AU"/>
        </w:rPr>
        <w:t>[9]</w:t>
      </w:r>
      <w:r w:rsidRPr="003535B8">
        <w:rPr>
          <w:rFonts w:ascii="Times New Roman" w:hAnsi="Times New Roman" w:cs="Times New Roman"/>
          <w:noProof/>
          <w:sz w:val="24"/>
          <w:szCs w:val="24"/>
          <w:bdr w:val="none" w:sz="0" w:space="0" w:color="auto" w:frame="1"/>
          <w:lang w:val="en-US" w:eastAsia="en-AU"/>
        </w:rPr>
        <w:fldChar w:fldCharType="end"/>
      </w:r>
      <w:r w:rsidRPr="003535B8">
        <w:rPr>
          <w:rFonts w:ascii="Times New Roman" w:hAnsi="Times New Roman" w:cs="Times New Roman"/>
          <w:noProof/>
          <w:sz w:val="24"/>
          <w:szCs w:val="24"/>
          <w:bdr w:val="none" w:sz="0" w:space="0" w:color="auto" w:frame="1"/>
          <w:lang w:val="en-US" w:eastAsia="en-AU"/>
        </w:rPr>
        <w:t>.</w:t>
      </w:r>
      <w:r w:rsidRPr="003535B8">
        <w:rPr>
          <w:rFonts w:ascii="Times New Roman" w:hAnsi="Times New Roman" w:cs="Times New Roman"/>
          <w:noProof/>
          <w:sz w:val="24"/>
          <w:szCs w:val="24"/>
          <w:lang w:val="en-US" w:eastAsia="en-AU"/>
        </w:rPr>
        <w:t xml:space="preserve"> </w:t>
      </w:r>
      <w:r w:rsidRPr="003535B8">
        <w:rPr>
          <w:rFonts w:ascii="Times New Roman" w:eastAsia="Times New Roman" w:hAnsi="Times New Roman" w:cs="Times New Roman"/>
          <w:noProof/>
          <w:sz w:val="24"/>
          <w:szCs w:val="24"/>
          <w:lang w:val="en-US" w:eastAsia="en-AU"/>
        </w:rPr>
        <w:t xml:space="preserve">Serum 25(OH)D is considered to the best circulating biomarker of vitamin D metabolic status and reflects contributions from diet and sun exposure.  </w:t>
      </w:r>
      <w:r w:rsidRPr="003535B8">
        <w:rPr>
          <w:rFonts w:ascii="Times New Roman" w:eastAsia="Times New Roman" w:hAnsi="Times New Roman" w:cs="Times New Roman"/>
          <w:noProof/>
          <w:sz w:val="24"/>
          <w:szCs w:val="24"/>
          <w:lang w:val="en-US" w:eastAsia="en-AU"/>
        </w:rPr>
        <w:fldChar w:fldCharType="begin"/>
      </w:r>
      <w:r w:rsidR="00325C7F">
        <w:rPr>
          <w:rFonts w:ascii="Times New Roman" w:eastAsia="Times New Roman" w:hAnsi="Times New Roman" w:cs="Times New Roman"/>
          <w:noProof/>
          <w:sz w:val="24"/>
          <w:szCs w:val="24"/>
          <w:lang w:val="en-US" w:eastAsia="en-AU"/>
        </w:rPr>
        <w:instrText xml:space="preserve"> ADDIN EN.CITE &lt;EndNote&gt;&lt;Cite&gt;&lt;Author&gt;Holick&lt;/Author&gt;&lt;Year&gt;2011&lt;/Year&gt;&lt;RecNum&gt;1122&lt;/RecNum&gt;&lt;DisplayText&gt;[10]&lt;/DisplayText&gt;&lt;record&gt;&lt;rec-number&gt;1122&lt;/rec-number&gt;&lt;foreign-keys&gt;&lt;key app="EN" db-id="aew2sr0t4wzt0mezvwmxzxfwwxffspwwfzz2" timestamp="0"&gt;1122&lt;/key&gt;&lt;/foreign-keys&gt;&lt;ref-type name="Journal Article"&gt;17&lt;/ref-type&gt;&lt;contributors&gt;&lt;authors&gt;&lt;author&gt;Holick, M. F.&lt;/author&gt;&lt;author&gt;Binkley, N. C.&lt;/author&gt;&lt;author&gt;Bischoff-Ferrari, H. A.&lt;/author&gt;&lt;author&gt;Gordon, C. M.&lt;/author&gt;&lt;author&gt;Hanley, D. A.&lt;/author&gt;&lt;author&gt;Heaney, R. P.&lt;/author&gt;&lt;author&gt;Murad, M. H.&lt;/author&gt;&lt;author&gt;Weaver, C. M.&lt;/author&gt;&lt;/authors&gt;&lt;/contributors&gt;&lt;auth-address&gt;Boston University School of Medicine, Boston, Massachusetts 02118, USA.&lt;/auth-address&gt;&lt;titles&gt;&lt;title&gt;Evaluation, treatment, and prevention of vitamin D deficiency: an Endocrine Society clinical practice guideline&lt;/title&gt;&lt;secondary-title&gt;J Clin Endocrinol Metab&lt;/secondary-title&gt;&lt;alt-title&gt;The Journal of clinical endocrinology and metabolism&lt;/alt-title&gt;&lt;/titles&gt;&lt;pages&gt;1911-30&lt;/pages&gt;&lt;volume&gt;96&lt;/volume&gt;&lt;number&gt;7&lt;/number&gt;&lt;edition&gt;2011/06/08&lt;/edition&gt;&lt;keywords&gt;&lt;keyword&gt;Evidence-Based Medicine&lt;/keyword&gt;&lt;keyword&gt;Humans&lt;/keyword&gt;&lt;keyword&gt;Risk Factors&lt;/keyword&gt;&lt;keyword&gt;Vitamin D/blood&lt;/keyword&gt;&lt;keyword&gt;Vitamin D Deficiency/diagnosis/*prevention &amp;amp; control/therapy&lt;/keyword&gt;&lt;/keywords&gt;&lt;dates&gt;&lt;year&gt;2011&lt;/year&gt;&lt;pub-dates&gt;&lt;date&gt;Jul&lt;/date&gt;&lt;/pub-dates&gt;&lt;/dates&gt;&lt;isbn&gt;0021-972x&lt;/isbn&gt;&lt;accession-num&gt;21646368&lt;/accession-num&gt;&lt;urls&gt;&lt;/urls&gt;&lt;electronic-resource-num&gt;10.1210/jc.2011-0385&lt;/electronic-resource-num&gt;&lt;remote-database-provider&gt;NLM&lt;/remote-database-provider&gt;&lt;language&gt;eng&lt;/language&gt;&lt;/record&gt;&lt;/Cite&gt;&lt;/EndNote&gt;</w:instrText>
      </w:r>
      <w:r w:rsidRPr="003535B8">
        <w:rPr>
          <w:rFonts w:ascii="Times New Roman" w:eastAsia="Times New Roman" w:hAnsi="Times New Roman" w:cs="Times New Roman"/>
          <w:noProof/>
          <w:sz w:val="24"/>
          <w:szCs w:val="24"/>
          <w:lang w:val="en-US" w:eastAsia="en-AU"/>
        </w:rPr>
        <w:fldChar w:fldCharType="separate"/>
      </w:r>
      <w:r w:rsidR="00325C7F">
        <w:rPr>
          <w:rFonts w:ascii="Times New Roman" w:eastAsia="Times New Roman" w:hAnsi="Times New Roman" w:cs="Times New Roman"/>
          <w:noProof/>
          <w:sz w:val="24"/>
          <w:szCs w:val="24"/>
          <w:lang w:val="en-US" w:eastAsia="en-AU"/>
        </w:rPr>
        <w:t>[10]</w:t>
      </w:r>
      <w:r w:rsidRPr="003535B8">
        <w:rPr>
          <w:rFonts w:ascii="Times New Roman" w:eastAsia="Times New Roman" w:hAnsi="Times New Roman" w:cs="Times New Roman"/>
          <w:noProof/>
          <w:sz w:val="24"/>
          <w:szCs w:val="24"/>
          <w:lang w:val="en-US" w:eastAsia="en-AU"/>
        </w:rPr>
        <w:fldChar w:fldCharType="end"/>
      </w:r>
      <w:r w:rsidRPr="003535B8">
        <w:rPr>
          <w:rFonts w:ascii="Times New Roman" w:eastAsia="Times New Roman" w:hAnsi="Times New Roman" w:cs="Times New Roman"/>
          <w:noProof/>
          <w:sz w:val="24"/>
          <w:szCs w:val="24"/>
          <w:lang w:val="en-US" w:eastAsia="en-AU"/>
        </w:rPr>
        <w:t xml:space="preserve"> We classified </w:t>
      </w:r>
      <w:r w:rsidRPr="003535B8">
        <w:rPr>
          <w:rFonts w:ascii="Times New Roman" w:hAnsi="Times New Roman" w:cs="Times New Roman"/>
          <w:noProof/>
          <w:color w:val="000000"/>
          <w:sz w:val="24"/>
          <w:szCs w:val="24"/>
          <w:shd w:val="clear" w:color="auto" w:fill="FFFFFF"/>
          <w:lang w:val="en-US"/>
        </w:rPr>
        <w:t xml:space="preserve">serum 25(OH)D levels ≥ 30 ng/mL as ‘sufficient’, 20 to 30 ng/mL ‘ insufficient’ and &lt; 20 ng/ml ‘deficient’ based on previous recommendations </w:t>
      </w:r>
      <w:r w:rsidRPr="003535B8">
        <w:rPr>
          <w:rFonts w:ascii="Times New Roman" w:hAnsi="Times New Roman" w:cs="Times New Roman"/>
          <w:noProof/>
          <w:color w:val="000000"/>
          <w:sz w:val="24"/>
          <w:szCs w:val="24"/>
          <w:shd w:val="clear" w:color="auto" w:fill="FFFFFF"/>
          <w:lang w:val="en-US"/>
        </w:rPr>
        <w:fldChar w:fldCharType="begin"/>
      </w:r>
      <w:r w:rsidR="00325C7F">
        <w:rPr>
          <w:rFonts w:ascii="Times New Roman" w:hAnsi="Times New Roman" w:cs="Times New Roman"/>
          <w:noProof/>
          <w:color w:val="000000"/>
          <w:sz w:val="24"/>
          <w:szCs w:val="24"/>
          <w:shd w:val="clear" w:color="auto" w:fill="FFFFFF"/>
          <w:lang w:val="en-US"/>
        </w:rPr>
        <w:instrText xml:space="preserve"> ADDIN EN.CITE &lt;EndNote&gt;&lt;Cite&gt;&lt;Author&gt;Holick&lt;/Author&gt;&lt;Year&gt;2011&lt;/Year&gt;&lt;RecNum&gt;1122&lt;/RecNum&gt;&lt;DisplayText&gt;[10]&lt;/DisplayText&gt;&lt;record&gt;&lt;rec-number&gt;1122&lt;/rec-number&gt;&lt;foreign-keys&gt;&lt;key app="EN" db-id="aew2sr0t4wzt0mezvwmxzxfwwxffspwwfzz2" timestamp="0"&gt;1122&lt;/key&gt;&lt;/foreign-keys&gt;&lt;ref-type name="Journal Article"&gt;17&lt;/ref-type&gt;&lt;contributors&gt;&lt;authors&gt;&lt;author&gt;Holick, M. F.&lt;/author&gt;&lt;author&gt;Binkley, N. C.&lt;/author&gt;&lt;author&gt;Bischoff-Ferrari, H. A.&lt;/author&gt;&lt;author&gt;Gordon, C. M.&lt;/author&gt;&lt;author&gt;Hanley, D. A.&lt;/author&gt;&lt;author&gt;Heaney, R. P.&lt;/author&gt;&lt;author&gt;Murad, M. H.&lt;/author&gt;&lt;author&gt;Weaver, C. M.&lt;/author&gt;&lt;/authors&gt;&lt;/contributors&gt;&lt;auth-address&gt;Boston University School of Medicine, Boston, Massachusetts 02118, USA.&lt;/auth-address&gt;&lt;titles&gt;&lt;title&gt;Evaluation, treatment, and prevention of vitamin D deficiency: an Endocrine Society clinical practice guideline&lt;/title&gt;&lt;secondary-title&gt;J Clin Endocrinol Metab&lt;/secondary-title&gt;&lt;alt-title&gt;The Journal of clinical endocrinology and metabolism&lt;/alt-title&gt;&lt;/titles&gt;&lt;pages&gt;1911-30&lt;/pages&gt;&lt;volume&gt;96&lt;/volume&gt;&lt;number&gt;7&lt;/number&gt;&lt;edition&gt;2011/06/08&lt;/edition&gt;&lt;keywords&gt;&lt;keyword&gt;Evidence-Based Medicine&lt;/keyword&gt;&lt;keyword&gt;Humans&lt;/keyword&gt;&lt;keyword&gt;Risk Factors&lt;/keyword&gt;&lt;keyword&gt;Vitamin D/blood&lt;/keyword&gt;&lt;keyword&gt;Vitamin D Deficiency/diagnosis/*prevention &amp;amp; control/therapy&lt;/keyword&gt;&lt;/keywords&gt;&lt;dates&gt;&lt;year&gt;2011&lt;/year&gt;&lt;pub-dates&gt;&lt;date&gt;Jul&lt;/date&gt;&lt;/pub-dates&gt;&lt;/dates&gt;&lt;isbn&gt;0021-972x&lt;/isbn&gt;&lt;accession-num&gt;21646368&lt;/accession-num&gt;&lt;urls&gt;&lt;/urls&gt;&lt;electronic-resource-num&gt;10.1210/jc.2011-0385&lt;/electronic-resource-num&gt;&lt;remote-database-provider&gt;NLM&lt;/remote-database-provider&gt;&lt;language&gt;eng&lt;/language&gt;&lt;/record&gt;&lt;/Cite&gt;&lt;/EndNote&gt;</w:instrText>
      </w:r>
      <w:r w:rsidRPr="003535B8">
        <w:rPr>
          <w:rFonts w:ascii="Times New Roman" w:hAnsi="Times New Roman" w:cs="Times New Roman"/>
          <w:noProof/>
          <w:color w:val="000000"/>
          <w:sz w:val="24"/>
          <w:szCs w:val="24"/>
          <w:shd w:val="clear" w:color="auto" w:fill="FFFFFF"/>
          <w:lang w:val="en-US"/>
        </w:rPr>
        <w:fldChar w:fldCharType="separate"/>
      </w:r>
      <w:r w:rsidR="00325C7F">
        <w:rPr>
          <w:rFonts w:ascii="Times New Roman" w:hAnsi="Times New Roman" w:cs="Times New Roman"/>
          <w:noProof/>
          <w:color w:val="000000"/>
          <w:sz w:val="24"/>
          <w:szCs w:val="24"/>
          <w:shd w:val="clear" w:color="auto" w:fill="FFFFFF"/>
          <w:lang w:val="en-US"/>
        </w:rPr>
        <w:t>[10]</w:t>
      </w:r>
      <w:r w:rsidRPr="003535B8">
        <w:rPr>
          <w:rFonts w:ascii="Times New Roman" w:hAnsi="Times New Roman" w:cs="Times New Roman"/>
          <w:noProof/>
          <w:color w:val="000000"/>
          <w:sz w:val="24"/>
          <w:szCs w:val="24"/>
          <w:shd w:val="clear" w:color="auto" w:fill="FFFFFF"/>
          <w:lang w:val="en-US"/>
        </w:rPr>
        <w:fldChar w:fldCharType="end"/>
      </w:r>
      <w:r w:rsidRPr="003535B8">
        <w:rPr>
          <w:rFonts w:ascii="Times New Roman" w:hAnsi="Times New Roman" w:cs="Times New Roman"/>
          <w:noProof/>
          <w:color w:val="000000"/>
          <w:sz w:val="24"/>
          <w:szCs w:val="24"/>
          <w:shd w:val="clear" w:color="auto" w:fill="FFFFFF"/>
          <w:lang w:val="en-US"/>
        </w:rPr>
        <w:t>.</w:t>
      </w:r>
    </w:p>
    <w:p w:rsidR="003535B8" w:rsidRDefault="003535B8" w:rsidP="0010412B">
      <w:pPr>
        <w:spacing w:line="360" w:lineRule="auto"/>
        <w:jc w:val="both"/>
        <w:rPr>
          <w:rFonts w:ascii="Times New Roman" w:hAnsi="Times New Roman" w:cs="Times New Roman"/>
          <w:b/>
          <w:bCs/>
          <w:i/>
          <w:iCs/>
          <w:sz w:val="24"/>
          <w:szCs w:val="24"/>
          <w:shd w:val="clear" w:color="auto" w:fill="FFFFFF"/>
        </w:rPr>
      </w:pPr>
    </w:p>
    <w:p w:rsidR="0010412B" w:rsidRPr="007F27A6" w:rsidRDefault="0010412B" w:rsidP="0010412B">
      <w:pPr>
        <w:spacing w:line="360" w:lineRule="auto"/>
        <w:jc w:val="both"/>
        <w:rPr>
          <w:rFonts w:ascii="Times New Roman" w:hAnsi="Times New Roman" w:cs="Times New Roman"/>
          <w:b/>
          <w:bCs/>
          <w:i/>
          <w:iCs/>
          <w:sz w:val="24"/>
          <w:szCs w:val="24"/>
          <w:shd w:val="clear" w:color="auto" w:fill="FFFFFF"/>
        </w:rPr>
      </w:pPr>
      <w:r w:rsidRPr="007F27A6">
        <w:rPr>
          <w:rFonts w:ascii="Times New Roman" w:hAnsi="Times New Roman" w:cs="Times New Roman"/>
          <w:b/>
          <w:bCs/>
          <w:i/>
          <w:iCs/>
          <w:sz w:val="24"/>
          <w:szCs w:val="24"/>
          <w:shd w:val="clear" w:color="auto" w:fill="FFFFFF"/>
        </w:rPr>
        <w:t>Other variables</w:t>
      </w:r>
    </w:p>
    <w:p w:rsidR="0010412B" w:rsidRPr="007F27A6" w:rsidRDefault="0010412B" w:rsidP="0010412B">
      <w:pPr>
        <w:spacing w:line="360" w:lineRule="auto"/>
        <w:jc w:val="both"/>
        <w:rPr>
          <w:rFonts w:ascii="Times New Roman" w:hAnsi="Times New Roman" w:cs="Times New Roman"/>
          <w:b/>
          <w:bCs/>
          <w:iCs/>
          <w:sz w:val="24"/>
          <w:szCs w:val="24"/>
          <w:shd w:val="clear" w:color="auto" w:fill="FFFFFF"/>
        </w:rPr>
      </w:pPr>
      <w:r w:rsidRPr="007F27A6">
        <w:rPr>
          <w:rFonts w:ascii="Times New Roman" w:hAnsi="Times New Roman" w:cs="Times New Roman"/>
          <w:b/>
          <w:bCs/>
          <w:iCs/>
          <w:sz w:val="24"/>
          <w:szCs w:val="24"/>
          <w:shd w:val="clear" w:color="auto" w:fill="FFFFFF"/>
        </w:rPr>
        <w:t xml:space="preserve">Physical activity </w:t>
      </w:r>
    </w:p>
    <w:p w:rsidR="0010412B" w:rsidRPr="007F27A6" w:rsidRDefault="0010412B" w:rsidP="0010412B">
      <w:pPr>
        <w:spacing w:line="360" w:lineRule="auto"/>
        <w:jc w:val="both"/>
        <w:rPr>
          <w:rFonts w:ascii="Times New Roman" w:hAnsi="Times New Roman" w:cs="Times New Roman"/>
          <w:sz w:val="24"/>
          <w:szCs w:val="24"/>
          <w:shd w:val="clear" w:color="auto" w:fill="FFFFFF"/>
        </w:rPr>
      </w:pPr>
      <w:r w:rsidRPr="007F27A6">
        <w:rPr>
          <w:rFonts w:ascii="Times New Roman" w:hAnsi="Times New Roman" w:cs="Times New Roman"/>
          <w:sz w:val="24"/>
          <w:szCs w:val="24"/>
          <w:shd w:val="clear" w:color="auto" w:fill="FFFFFF"/>
        </w:rPr>
        <w:t xml:space="preserve">Physical activity level was evaluated by a question derived from the International Study on Asthma and Allergies in Childhood (ISAAC) Phase 3 Environmental Questionnaire </w:t>
      </w:r>
      <w:r w:rsidRPr="007F27A6">
        <w:rPr>
          <w:rFonts w:ascii="Times New Roman" w:hAnsi="Times New Roman" w:cs="Times New Roman"/>
          <w:sz w:val="24"/>
          <w:szCs w:val="24"/>
          <w:shd w:val="clear" w:color="auto" w:fill="FFFFFF"/>
        </w:rPr>
        <w:fldChar w:fldCharType="begin"/>
      </w:r>
      <w:r w:rsidR="00325C7F">
        <w:rPr>
          <w:rFonts w:ascii="Times New Roman" w:hAnsi="Times New Roman" w:cs="Times New Roman"/>
          <w:sz w:val="24"/>
          <w:szCs w:val="24"/>
          <w:shd w:val="clear" w:color="auto" w:fill="FFFFFF"/>
        </w:rPr>
        <w:instrText xml:space="preserve"> ADDIN EN.CITE &lt;EndNote&gt;&lt;Cite&gt;&lt;Author&gt;ISSAC&lt;/Author&gt;&lt;Year&gt;2012&lt;/Year&gt;&lt;RecNum&gt;753&lt;/RecNum&gt;&lt;DisplayText&gt;[11]&lt;/DisplayText&gt;&lt;record&gt;&lt;rec-number&gt;753&lt;/rec-number&gt;&lt;foreign-keys&gt;&lt;key app="EN" db-id="aew2sr0t4wzt0mezvwmxzxfwwxffspwwfzz2" timestamp="0"&gt;753&lt;/key&gt;&lt;/foreign-keys&gt;&lt;ref-type name="Web Page"&gt;12&lt;/ref-type&gt;&lt;contributors&gt;&lt;authors&gt;&lt;author&gt;ISSAC&lt;/author&gt;&lt;/authors&gt;&lt;/contributors&gt;&lt;titles&gt;&lt;title&gt;Environmental Questionnaire 6-7 years (ISAAC PHASE 3)&lt;/title&gt;&lt;/titles&gt;&lt;dates&gt;&lt;year&gt;2012&lt;/year&gt;&lt;/dates&gt;&lt;pub-location&gt;NZ&lt;/pub-location&gt;&lt;publisher&gt;International Study for Asthma and Allergies in Childhood&lt;/publisher&gt;&lt;urls&gt;&lt;related-urls&gt;&lt;url&gt;&lt;style face="underline" font="default" size="100%"&gt;www.isaac.auckland.ac.nz/phases/phasethree/environmentalquestionnaire/environmentalquestionnaire.html&lt;/style&gt;&lt;/url&gt;&lt;/related-urls&gt;&lt;/urls&gt;&lt;/record&gt;&lt;/Cite&gt;&lt;/EndNote&gt;</w:instrText>
      </w:r>
      <w:r w:rsidRPr="007F27A6">
        <w:rPr>
          <w:rFonts w:ascii="Times New Roman" w:hAnsi="Times New Roman" w:cs="Times New Roman"/>
          <w:sz w:val="24"/>
          <w:szCs w:val="24"/>
          <w:shd w:val="clear" w:color="auto" w:fill="FFFFFF"/>
        </w:rPr>
        <w:fldChar w:fldCharType="separate"/>
      </w:r>
      <w:r w:rsidR="00325C7F">
        <w:rPr>
          <w:rFonts w:ascii="Times New Roman" w:hAnsi="Times New Roman" w:cs="Times New Roman"/>
          <w:noProof/>
          <w:sz w:val="24"/>
          <w:szCs w:val="24"/>
          <w:shd w:val="clear" w:color="auto" w:fill="FFFFFF"/>
        </w:rPr>
        <w:t>[11]</w:t>
      </w:r>
      <w:r w:rsidRPr="007F27A6">
        <w:rPr>
          <w:rFonts w:ascii="Times New Roman" w:hAnsi="Times New Roman" w:cs="Times New Roman"/>
          <w:sz w:val="24"/>
          <w:szCs w:val="24"/>
          <w:shd w:val="clear" w:color="auto" w:fill="FFFFFF"/>
        </w:rPr>
        <w:fldChar w:fldCharType="end"/>
      </w:r>
      <w:r w:rsidRPr="007F27A6">
        <w:rPr>
          <w:rFonts w:ascii="Times New Roman" w:hAnsi="Times New Roman" w:cs="Times New Roman"/>
          <w:sz w:val="24"/>
          <w:szCs w:val="24"/>
          <w:shd w:val="clear" w:color="auto" w:fill="FFFFFF"/>
        </w:rPr>
        <w:t xml:space="preserve"> as </w:t>
      </w:r>
      <w:r w:rsidRPr="007F27A6">
        <w:rPr>
          <w:rFonts w:ascii="Times New Roman" w:hAnsi="Times New Roman" w:cs="Times New Roman"/>
          <w:sz w:val="24"/>
          <w:szCs w:val="24"/>
          <w:shd w:val="clear" w:color="auto" w:fill="FFFFFF"/>
        </w:rPr>
        <w:lastRenderedPageBreak/>
        <w:t xml:space="preserve">follows:  “How many times per week does your child engage in vigorous physical activity long enough to make him/her breathe hard?”. Response options were ‘never or occasionally’, ‘once or twice per week’ and three or more times a week’. Regular exercise was defined as physical activity more than or equal to three times per week. </w:t>
      </w:r>
    </w:p>
    <w:p w:rsidR="0010412B" w:rsidRPr="007F27A6" w:rsidRDefault="0010412B" w:rsidP="0010412B">
      <w:pPr>
        <w:spacing w:line="360" w:lineRule="auto"/>
        <w:jc w:val="both"/>
        <w:rPr>
          <w:rFonts w:ascii="Times New Roman" w:hAnsi="Times New Roman" w:cs="Times New Roman"/>
          <w:b/>
          <w:sz w:val="24"/>
          <w:szCs w:val="24"/>
          <w:shd w:val="clear" w:color="auto" w:fill="FFFFFF"/>
        </w:rPr>
      </w:pPr>
      <w:r w:rsidRPr="007F27A6">
        <w:rPr>
          <w:rFonts w:ascii="Times New Roman" w:hAnsi="Times New Roman" w:cs="Times New Roman"/>
          <w:b/>
          <w:sz w:val="24"/>
          <w:szCs w:val="24"/>
          <w:shd w:val="clear" w:color="auto" w:fill="FFFFFF"/>
        </w:rPr>
        <w:t>Asthma medication therapy</w:t>
      </w:r>
    </w:p>
    <w:p w:rsidR="0010412B" w:rsidRDefault="0010412B" w:rsidP="0010412B">
      <w:pPr>
        <w:spacing w:line="360" w:lineRule="auto"/>
        <w:jc w:val="both"/>
        <w:rPr>
          <w:rFonts w:ascii="Times New Roman" w:hAnsi="Times New Roman" w:cs="Times New Roman"/>
          <w:sz w:val="24"/>
          <w:szCs w:val="24"/>
          <w:shd w:val="clear" w:color="auto" w:fill="FFFFFF"/>
        </w:rPr>
      </w:pPr>
      <w:r w:rsidRPr="007F27A6">
        <w:rPr>
          <w:rFonts w:ascii="Times New Roman" w:hAnsi="Times New Roman" w:cs="Times New Roman"/>
          <w:sz w:val="24"/>
          <w:szCs w:val="24"/>
          <w:shd w:val="clear" w:color="auto" w:fill="FFFFFF"/>
        </w:rPr>
        <w:t>Medication use in children was assessed by the following question ‘During the last month has your child taken asthma medication? Two response options were available ‘Yes’ or ‘No’.</w:t>
      </w:r>
    </w:p>
    <w:p w:rsidR="00F41BA8" w:rsidRPr="00325C7F" w:rsidRDefault="00F41BA8" w:rsidP="00325C7F">
      <w:pPr>
        <w:spacing w:before="240" w:line="360" w:lineRule="auto"/>
        <w:jc w:val="both"/>
        <w:rPr>
          <w:rFonts w:ascii="Times New Roman" w:hAnsi="Times New Roman" w:cs="Times New Roman"/>
          <w:sz w:val="24"/>
          <w:szCs w:val="24"/>
        </w:rPr>
      </w:pPr>
    </w:p>
    <w:p w:rsidR="00F41BA8" w:rsidRPr="00325C7F" w:rsidRDefault="00F41BA8" w:rsidP="00325C7F">
      <w:pPr>
        <w:spacing w:before="240" w:line="360" w:lineRule="auto"/>
        <w:jc w:val="both"/>
        <w:rPr>
          <w:rFonts w:ascii="Times New Roman" w:hAnsi="Times New Roman" w:cs="Times New Roman"/>
          <w:sz w:val="24"/>
          <w:szCs w:val="24"/>
        </w:rPr>
        <w:sectPr w:rsidR="00F41BA8" w:rsidRPr="00325C7F">
          <w:pgSz w:w="11906" w:h="16838"/>
          <w:pgMar w:top="1440" w:right="1440" w:bottom="1440" w:left="1440" w:header="708" w:footer="708" w:gutter="0"/>
          <w:cols w:space="708"/>
          <w:docGrid w:linePitch="360"/>
        </w:sectPr>
      </w:pPr>
    </w:p>
    <w:p w:rsidR="00F41BA8" w:rsidRPr="00325C7F" w:rsidRDefault="00325C7F" w:rsidP="00325C7F">
      <w:pPr>
        <w:spacing w:before="240" w:line="360" w:lineRule="auto"/>
        <w:jc w:val="both"/>
        <w:rPr>
          <w:rFonts w:ascii="Times New Roman" w:hAnsi="Times New Roman" w:cs="Times New Roman"/>
          <w:b/>
          <w:sz w:val="24"/>
          <w:szCs w:val="24"/>
        </w:rPr>
      </w:pPr>
      <w:r w:rsidRPr="00325C7F">
        <w:rPr>
          <w:rFonts w:ascii="Times New Roman" w:hAnsi="Times New Roman" w:cs="Times New Roman"/>
          <w:b/>
          <w:sz w:val="24"/>
          <w:szCs w:val="24"/>
        </w:rPr>
        <w:lastRenderedPageBreak/>
        <w:t>REFERENCES</w:t>
      </w:r>
    </w:p>
    <w:p w:rsidR="00325C7F" w:rsidRPr="00325C7F" w:rsidRDefault="00F41BA8" w:rsidP="00325C7F">
      <w:pPr>
        <w:pStyle w:val="EndNoteBibliography"/>
        <w:spacing w:before="240" w:after="0" w:line="360" w:lineRule="auto"/>
        <w:jc w:val="both"/>
        <w:rPr>
          <w:rFonts w:ascii="Times New Roman" w:hAnsi="Times New Roman" w:cs="Times New Roman"/>
          <w:sz w:val="24"/>
          <w:szCs w:val="24"/>
        </w:rPr>
      </w:pPr>
      <w:r w:rsidRPr="00325C7F">
        <w:rPr>
          <w:rFonts w:ascii="Times New Roman" w:hAnsi="Times New Roman" w:cs="Times New Roman"/>
          <w:sz w:val="24"/>
          <w:szCs w:val="24"/>
        </w:rPr>
        <w:fldChar w:fldCharType="begin"/>
      </w:r>
      <w:r w:rsidRPr="00325C7F">
        <w:rPr>
          <w:rFonts w:ascii="Times New Roman" w:hAnsi="Times New Roman" w:cs="Times New Roman"/>
          <w:sz w:val="24"/>
          <w:szCs w:val="24"/>
        </w:rPr>
        <w:instrText xml:space="preserve"> ADDIN EN.REFLIST </w:instrText>
      </w:r>
      <w:r w:rsidRPr="00325C7F">
        <w:rPr>
          <w:rFonts w:ascii="Times New Roman" w:hAnsi="Times New Roman" w:cs="Times New Roman"/>
          <w:sz w:val="24"/>
          <w:szCs w:val="24"/>
        </w:rPr>
        <w:fldChar w:fldCharType="separate"/>
      </w:r>
      <w:r w:rsidR="00325C7F" w:rsidRPr="00325C7F">
        <w:rPr>
          <w:rFonts w:ascii="Times New Roman" w:hAnsi="Times New Roman" w:cs="Times New Roman"/>
          <w:sz w:val="24"/>
          <w:szCs w:val="24"/>
        </w:rPr>
        <w:t xml:space="preserve">[1] Papamichael MM, Katsardis C, Lambert K, Tsoukalas D, Koutsilieris M, Erbas B, et al. Efficacy of a Mediterranean diet supplemented with fatty fish in ameliorating inflammation in paediatric asthma: a randomised controlled trial. </w:t>
      </w:r>
      <w:r w:rsidR="00325C7F" w:rsidRPr="00325C7F">
        <w:rPr>
          <w:rFonts w:ascii="Times New Roman" w:hAnsi="Times New Roman" w:cs="Times New Roman"/>
          <w:i/>
          <w:sz w:val="24"/>
          <w:szCs w:val="24"/>
        </w:rPr>
        <w:t>J Hum Nutr Diet.</w:t>
      </w:r>
      <w:r w:rsidR="00325C7F" w:rsidRPr="00325C7F">
        <w:rPr>
          <w:rFonts w:ascii="Times New Roman" w:hAnsi="Times New Roman" w:cs="Times New Roman"/>
          <w:sz w:val="24"/>
          <w:szCs w:val="24"/>
        </w:rPr>
        <w:t xml:space="preserve"> 2019;32:185-97.</w:t>
      </w:r>
    </w:p>
    <w:p w:rsidR="00325C7F" w:rsidRPr="00325C7F" w:rsidRDefault="00325C7F" w:rsidP="00325C7F">
      <w:pPr>
        <w:pStyle w:val="EndNoteBibliography"/>
        <w:spacing w:before="240" w:after="0" w:line="360" w:lineRule="auto"/>
        <w:jc w:val="both"/>
        <w:rPr>
          <w:rFonts w:ascii="Times New Roman" w:hAnsi="Times New Roman" w:cs="Times New Roman"/>
          <w:sz w:val="24"/>
          <w:szCs w:val="24"/>
        </w:rPr>
      </w:pPr>
      <w:r w:rsidRPr="00325C7F">
        <w:rPr>
          <w:rFonts w:ascii="Times New Roman" w:hAnsi="Times New Roman" w:cs="Times New Roman"/>
          <w:sz w:val="24"/>
          <w:szCs w:val="24"/>
        </w:rPr>
        <w:t>[2] GINA. Global Initiative for Asthma: Global Strategy for Asthma Management and Prevention (2020). Fontana, USA: Global Initiative for Asthma (GINA); 2020.</w:t>
      </w:r>
      <w:r w:rsidR="002D491A" w:rsidRPr="002D491A">
        <w:rPr>
          <w:rFonts w:asciiTheme="minorHAnsi" w:hAnsiTheme="minorHAnsi"/>
          <w:noProof w:val="0"/>
          <w:lang w:val="en-AU"/>
        </w:rPr>
        <w:t xml:space="preserve"> </w:t>
      </w:r>
      <w:hyperlink r:id="rId4" w:history="1">
        <w:r w:rsidR="002D491A" w:rsidRPr="002D491A">
          <w:rPr>
            <w:rFonts w:ascii="Times New Roman" w:hAnsi="Times New Roman" w:cs="Times New Roman"/>
            <w:noProof w:val="0"/>
            <w:sz w:val="24"/>
            <w:szCs w:val="24"/>
            <w:u w:val="single"/>
            <w:lang w:val="en-AU"/>
          </w:rPr>
          <w:t>https://ginasthma.org/gina-reports/</w:t>
        </w:r>
      </w:hyperlink>
    </w:p>
    <w:p w:rsidR="00325C7F" w:rsidRPr="00325C7F" w:rsidRDefault="00325C7F" w:rsidP="00325C7F">
      <w:pPr>
        <w:pStyle w:val="EndNoteBibliography"/>
        <w:spacing w:before="240" w:after="0" w:line="360" w:lineRule="auto"/>
        <w:jc w:val="both"/>
        <w:rPr>
          <w:rFonts w:ascii="Times New Roman" w:hAnsi="Times New Roman" w:cs="Times New Roman"/>
          <w:sz w:val="24"/>
          <w:szCs w:val="24"/>
        </w:rPr>
      </w:pPr>
      <w:r w:rsidRPr="00325C7F">
        <w:rPr>
          <w:rFonts w:ascii="Times New Roman" w:hAnsi="Times New Roman" w:cs="Times New Roman"/>
          <w:sz w:val="24"/>
          <w:szCs w:val="24"/>
        </w:rPr>
        <w:t xml:space="preserve">[3] Miller MR, Hankinson J, Brusasco V, Burgos F, Casaburi R, Coates A, et al. Standardisation of spirometry. </w:t>
      </w:r>
      <w:r w:rsidRPr="00325C7F">
        <w:rPr>
          <w:rFonts w:ascii="Times New Roman" w:hAnsi="Times New Roman" w:cs="Times New Roman"/>
          <w:i/>
          <w:sz w:val="24"/>
          <w:szCs w:val="24"/>
        </w:rPr>
        <w:t>Eur Respir J.</w:t>
      </w:r>
      <w:r w:rsidRPr="00325C7F">
        <w:rPr>
          <w:rFonts w:ascii="Times New Roman" w:hAnsi="Times New Roman" w:cs="Times New Roman"/>
          <w:sz w:val="24"/>
          <w:szCs w:val="24"/>
        </w:rPr>
        <w:t xml:space="preserve"> 2005;26:319-38.</w:t>
      </w:r>
    </w:p>
    <w:p w:rsidR="00325C7F" w:rsidRPr="00325C7F" w:rsidRDefault="00325C7F" w:rsidP="00325C7F">
      <w:pPr>
        <w:pStyle w:val="EndNoteBibliography"/>
        <w:spacing w:before="240" w:after="0" w:line="360" w:lineRule="auto"/>
        <w:jc w:val="both"/>
        <w:rPr>
          <w:rFonts w:ascii="Times New Roman" w:hAnsi="Times New Roman" w:cs="Times New Roman"/>
          <w:sz w:val="24"/>
          <w:szCs w:val="24"/>
        </w:rPr>
      </w:pPr>
      <w:r w:rsidRPr="00325C7F">
        <w:rPr>
          <w:rFonts w:ascii="Times New Roman" w:hAnsi="Times New Roman" w:cs="Times New Roman"/>
          <w:sz w:val="24"/>
          <w:szCs w:val="24"/>
        </w:rPr>
        <w:t xml:space="preserve">[4] Dweik RA, Boggs PB, Erzurum SC, Irvin CG, Leigh MW, Lundberg JO, et al. An official ATS clinical practice guideline: interpretation of exhaled nitric oxide levels (FENO) for clinical applications. </w:t>
      </w:r>
      <w:r w:rsidRPr="00B67F27">
        <w:rPr>
          <w:rFonts w:ascii="Times New Roman" w:hAnsi="Times New Roman" w:cs="Times New Roman"/>
          <w:i/>
          <w:sz w:val="24"/>
          <w:szCs w:val="24"/>
        </w:rPr>
        <w:t>Am J Respir Crit Care Med.</w:t>
      </w:r>
      <w:r w:rsidRPr="00325C7F">
        <w:rPr>
          <w:rFonts w:ascii="Times New Roman" w:hAnsi="Times New Roman" w:cs="Times New Roman"/>
          <w:sz w:val="24"/>
          <w:szCs w:val="24"/>
        </w:rPr>
        <w:t xml:space="preserve"> 2011;184:602-15.</w:t>
      </w:r>
    </w:p>
    <w:p w:rsidR="00325C7F" w:rsidRPr="00325C7F" w:rsidRDefault="00325C7F" w:rsidP="00325C7F">
      <w:pPr>
        <w:pStyle w:val="EndNoteBibliography"/>
        <w:spacing w:before="240" w:line="360" w:lineRule="auto"/>
        <w:jc w:val="both"/>
        <w:rPr>
          <w:rFonts w:ascii="Times New Roman" w:hAnsi="Times New Roman" w:cs="Times New Roman"/>
          <w:sz w:val="24"/>
          <w:szCs w:val="24"/>
        </w:rPr>
      </w:pPr>
      <w:r w:rsidRPr="00325C7F">
        <w:rPr>
          <w:rFonts w:ascii="Times New Roman" w:hAnsi="Times New Roman" w:cs="Times New Roman"/>
          <w:sz w:val="24"/>
          <w:szCs w:val="24"/>
        </w:rPr>
        <w:t xml:space="preserve">[5] Katsardis CV, Alexandraki S, Paraskakis E. Chapter 2: Spirometry in children </w:t>
      </w:r>
      <w:r w:rsidR="00D26C0D">
        <w:rPr>
          <w:rFonts w:ascii="Times New Roman" w:hAnsi="Times New Roman" w:cs="Times New Roman"/>
          <w:sz w:val="24"/>
          <w:szCs w:val="24"/>
        </w:rPr>
        <w:t>6-16 years old In: Katsardis Ch, Koumbourlis A</w:t>
      </w:r>
      <w:r w:rsidRPr="00325C7F">
        <w:rPr>
          <w:rFonts w:ascii="Times New Roman" w:hAnsi="Times New Roman" w:cs="Times New Roman"/>
          <w:sz w:val="24"/>
          <w:szCs w:val="24"/>
        </w:rPr>
        <w:t>, Anthracopoulos M &amp; Paraskakis E., editor. Paediatric Pulmonary Function Testing Indications and Interpretation. New York, USA NOVA Biomedical.; 2015. p. 15–42.</w:t>
      </w:r>
    </w:p>
    <w:p w:rsidR="00325C7F" w:rsidRPr="00325C7F" w:rsidRDefault="00325C7F" w:rsidP="00325C7F">
      <w:pPr>
        <w:pStyle w:val="EndNoteBibliography"/>
        <w:spacing w:before="240" w:after="0" w:line="360" w:lineRule="auto"/>
        <w:jc w:val="both"/>
        <w:rPr>
          <w:rFonts w:ascii="Times New Roman" w:hAnsi="Times New Roman" w:cs="Times New Roman"/>
          <w:sz w:val="24"/>
          <w:szCs w:val="24"/>
        </w:rPr>
      </w:pPr>
      <w:r w:rsidRPr="00325C7F">
        <w:rPr>
          <w:rFonts w:ascii="Times New Roman" w:hAnsi="Times New Roman" w:cs="Times New Roman"/>
          <w:sz w:val="24"/>
          <w:szCs w:val="24"/>
        </w:rPr>
        <w:t xml:space="preserve">[6] Cole TJ, Lobstein T. Extended international (IOTF) body mass index cut-offs for thinness, overweight and obesity. </w:t>
      </w:r>
      <w:r w:rsidRPr="00325C7F">
        <w:rPr>
          <w:rFonts w:ascii="Times New Roman" w:hAnsi="Times New Roman" w:cs="Times New Roman"/>
          <w:i/>
          <w:sz w:val="24"/>
          <w:szCs w:val="24"/>
        </w:rPr>
        <w:t xml:space="preserve">Pediatr Obes. </w:t>
      </w:r>
      <w:r w:rsidRPr="00325C7F">
        <w:rPr>
          <w:rFonts w:ascii="Times New Roman" w:hAnsi="Times New Roman" w:cs="Times New Roman"/>
          <w:sz w:val="24"/>
          <w:szCs w:val="24"/>
        </w:rPr>
        <w:t>2012;7:284-94.</w:t>
      </w:r>
    </w:p>
    <w:p w:rsidR="00325C7F" w:rsidRPr="00325C7F" w:rsidRDefault="00325C7F" w:rsidP="00370826">
      <w:pPr>
        <w:pStyle w:val="EndNoteBibliography"/>
        <w:spacing w:before="240" w:after="0" w:line="360" w:lineRule="auto"/>
        <w:rPr>
          <w:rFonts w:ascii="Times New Roman" w:hAnsi="Times New Roman" w:cs="Times New Roman"/>
          <w:sz w:val="24"/>
          <w:szCs w:val="24"/>
        </w:rPr>
      </w:pPr>
      <w:r w:rsidRPr="00325C7F">
        <w:rPr>
          <w:rFonts w:ascii="Times New Roman" w:hAnsi="Times New Roman" w:cs="Times New Roman"/>
          <w:sz w:val="24"/>
          <w:szCs w:val="24"/>
        </w:rPr>
        <w:t>[7] WHO. WHO Guidelines on Drawing Blood: Best Practices in Phlebotomy. In Chapter  6:  Paediatric</w:t>
      </w:r>
      <w:r>
        <w:rPr>
          <w:rFonts w:ascii="Times New Roman" w:hAnsi="Times New Roman" w:cs="Times New Roman"/>
          <w:sz w:val="24"/>
          <w:szCs w:val="24"/>
        </w:rPr>
        <w:t xml:space="preserve"> and neonatal blood sampling. </w:t>
      </w:r>
      <w:r w:rsidR="00370826" w:rsidRPr="00C0559F">
        <w:rPr>
          <w:rFonts w:ascii="Times New Roman" w:hAnsi="Times New Roman" w:cs="Times New Roman"/>
          <w:sz w:val="24"/>
          <w:szCs w:val="24"/>
        </w:rPr>
        <w:t xml:space="preserve">Geneva: World Health Organization; 2010. </w:t>
      </w:r>
      <w:r w:rsidR="00370826" w:rsidRPr="00F62A16">
        <w:rPr>
          <w:rFonts w:ascii="Times New Roman" w:hAnsi="Times New Roman" w:cs="Times New Roman"/>
          <w:sz w:val="24"/>
          <w:szCs w:val="24"/>
        </w:rPr>
        <w:t>http://www.apps.who.int/iris/bitstream/10665/75584/1/WHO_NMH_EPG_12.1_eng.pdf</w:t>
      </w:r>
    </w:p>
    <w:p w:rsidR="00325C7F" w:rsidRPr="0039303A" w:rsidRDefault="00325C7F" w:rsidP="00325C7F">
      <w:pPr>
        <w:pStyle w:val="EndNoteBibliography"/>
        <w:spacing w:before="240" w:after="0" w:line="360" w:lineRule="auto"/>
        <w:jc w:val="both"/>
        <w:rPr>
          <w:rFonts w:ascii="Times New Roman" w:hAnsi="Times New Roman" w:cs="Times New Roman"/>
          <w:sz w:val="24"/>
          <w:szCs w:val="24"/>
        </w:rPr>
      </w:pPr>
      <w:bookmarkStart w:id="0" w:name="_GoBack"/>
      <w:r w:rsidRPr="0039303A">
        <w:rPr>
          <w:rFonts w:ascii="Times New Roman" w:hAnsi="Times New Roman" w:cs="Times New Roman"/>
          <w:sz w:val="24"/>
          <w:szCs w:val="24"/>
        </w:rPr>
        <w:t>[8] IDS. OCTEIA 25-Hydroxy- Vitamin D. London, UK: Immunodiagnostic Systems</w:t>
      </w:r>
      <w:r w:rsidR="00370826" w:rsidRPr="0039303A">
        <w:rPr>
          <w:rFonts w:ascii="Times New Roman" w:hAnsi="Times New Roman" w:cs="Times New Roman"/>
          <w:sz w:val="24"/>
          <w:szCs w:val="24"/>
        </w:rPr>
        <w:t xml:space="preserve"> (IDS) Inc; 2019</w:t>
      </w:r>
      <w:r w:rsidRPr="0039303A">
        <w:rPr>
          <w:rFonts w:ascii="Times New Roman" w:hAnsi="Times New Roman" w:cs="Times New Roman"/>
          <w:sz w:val="24"/>
          <w:szCs w:val="24"/>
        </w:rPr>
        <w:t>.</w:t>
      </w:r>
      <w:r w:rsidR="00370826" w:rsidRPr="0039303A">
        <w:t xml:space="preserve"> </w:t>
      </w:r>
      <w:hyperlink r:id="rId5" w:history="1">
        <w:r w:rsidR="00370826" w:rsidRPr="0039303A">
          <w:rPr>
            <w:rStyle w:val="Hyperlink"/>
            <w:rFonts w:ascii="Times New Roman" w:hAnsi="Times New Roman" w:cs="Times New Roman"/>
            <w:color w:val="auto"/>
            <w:sz w:val="24"/>
            <w:szCs w:val="24"/>
          </w:rPr>
          <w:t>www.idsltd.com</w:t>
        </w:r>
      </w:hyperlink>
    </w:p>
    <w:p w:rsidR="00325C7F" w:rsidRPr="0039303A" w:rsidRDefault="00325C7F" w:rsidP="00325C7F">
      <w:pPr>
        <w:pStyle w:val="EndNoteBibliography"/>
        <w:spacing w:before="240" w:after="0" w:line="360" w:lineRule="auto"/>
        <w:jc w:val="both"/>
        <w:rPr>
          <w:rFonts w:ascii="Times New Roman" w:hAnsi="Times New Roman" w:cs="Times New Roman"/>
          <w:sz w:val="24"/>
          <w:szCs w:val="24"/>
        </w:rPr>
      </w:pPr>
      <w:r w:rsidRPr="0039303A">
        <w:rPr>
          <w:rFonts w:ascii="Times New Roman" w:hAnsi="Times New Roman" w:cs="Times New Roman"/>
          <w:sz w:val="24"/>
          <w:szCs w:val="24"/>
        </w:rPr>
        <w:t>[9] DEQUAS. Vitamin D External Quality Assessment Scheme. London, UK: Vitamin D External Quality Assessment Scheme; 2019.</w:t>
      </w:r>
      <w:r w:rsidR="00370826" w:rsidRPr="0039303A">
        <w:t xml:space="preserve"> </w:t>
      </w:r>
      <w:hyperlink r:id="rId6" w:history="1">
        <w:r w:rsidR="00370826" w:rsidRPr="0039303A">
          <w:rPr>
            <w:rStyle w:val="Hyperlink"/>
            <w:rFonts w:ascii="Times New Roman" w:hAnsi="Times New Roman" w:cs="Times New Roman"/>
            <w:color w:val="auto"/>
            <w:sz w:val="24"/>
            <w:szCs w:val="24"/>
          </w:rPr>
          <w:t>http://www.deqas.org/</w:t>
        </w:r>
      </w:hyperlink>
    </w:p>
    <w:bookmarkEnd w:id="0"/>
    <w:p w:rsidR="00325C7F" w:rsidRPr="00325C7F" w:rsidRDefault="00325C7F" w:rsidP="00325C7F">
      <w:pPr>
        <w:pStyle w:val="EndNoteBibliography"/>
        <w:spacing w:before="240" w:after="0" w:line="360" w:lineRule="auto"/>
        <w:jc w:val="both"/>
        <w:rPr>
          <w:rFonts w:ascii="Times New Roman" w:hAnsi="Times New Roman" w:cs="Times New Roman"/>
          <w:sz w:val="24"/>
          <w:szCs w:val="24"/>
        </w:rPr>
      </w:pPr>
      <w:r w:rsidRPr="00325C7F">
        <w:rPr>
          <w:rFonts w:ascii="Times New Roman" w:hAnsi="Times New Roman" w:cs="Times New Roman"/>
          <w:sz w:val="24"/>
          <w:szCs w:val="24"/>
        </w:rPr>
        <w:t xml:space="preserve">[10] Holick MF, Binkley NC, Bischoff-Ferrari HA, Gordon CM, Hanley DA, Heaney RP, et al. Evaluation, treatment, and prevention of vitamin D deficiency: an Endocrine Society clinical practice guideline. </w:t>
      </w:r>
      <w:r w:rsidRPr="00325C7F">
        <w:rPr>
          <w:rFonts w:ascii="Times New Roman" w:hAnsi="Times New Roman" w:cs="Times New Roman"/>
          <w:i/>
          <w:sz w:val="24"/>
          <w:szCs w:val="24"/>
        </w:rPr>
        <w:t xml:space="preserve">J Clin Endocrinol Metab. </w:t>
      </w:r>
      <w:r w:rsidRPr="00325C7F">
        <w:rPr>
          <w:rFonts w:ascii="Times New Roman" w:hAnsi="Times New Roman" w:cs="Times New Roman"/>
          <w:sz w:val="24"/>
          <w:szCs w:val="24"/>
        </w:rPr>
        <w:t>2011;96:1911-30.</w:t>
      </w:r>
      <w:r w:rsidR="00370826" w:rsidRPr="00C0559F">
        <w:rPr>
          <w:rFonts w:ascii="Times New Roman" w:hAnsi="Times New Roman" w:cs="Times New Roman"/>
          <w:sz w:val="24"/>
          <w:szCs w:val="24"/>
        </w:rPr>
        <w:t xml:space="preserve"> </w:t>
      </w:r>
      <w:r w:rsidR="00370826" w:rsidRPr="004957B9">
        <w:rPr>
          <w:rFonts w:ascii="Times New Roman" w:hAnsi="Times New Roman" w:cs="Times New Roman"/>
          <w:sz w:val="24"/>
          <w:szCs w:val="24"/>
        </w:rPr>
        <w:t>doi:10.1210/jc.2011-0385</w:t>
      </w:r>
    </w:p>
    <w:p w:rsidR="00325C7F" w:rsidRPr="00325C7F" w:rsidRDefault="00325C7F" w:rsidP="00325C7F">
      <w:pPr>
        <w:pStyle w:val="EndNoteBibliography"/>
        <w:spacing w:before="240" w:line="360" w:lineRule="auto"/>
        <w:jc w:val="both"/>
        <w:rPr>
          <w:rFonts w:ascii="Times New Roman" w:hAnsi="Times New Roman" w:cs="Times New Roman"/>
          <w:sz w:val="24"/>
          <w:szCs w:val="24"/>
        </w:rPr>
      </w:pPr>
      <w:r w:rsidRPr="00325C7F">
        <w:rPr>
          <w:rFonts w:ascii="Times New Roman" w:hAnsi="Times New Roman" w:cs="Times New Roman"/>
          <w:sz w:val="24"/>
          <w:szCs w:val="24"/>
        </w:rPr>
        <w:lastRenderedPageBreak/>
        <w:t>[11] ISSAC. Environmental Questionnaire 6-7 years (ISAAC PHASE 3). NZ: International Study for Asthma and Allergies in Childhood; 2012.</w:t>
      </w:r>
      <w:r w:rsidR="002D491A" w:rsidRPr="002D491A">
        <w:rPr>
          <w:rFonts w:asciiTheme="minorHAnsi" w:hAnsiTheme="minorHAnsi"/>
          <w:noProof w:val="0"/>
          <w:lang w:val="en-AU"/>
        </w:rPr>
        <w:t xml:space="preserve"> </w:t>
      </w:r>
      <w:hyperlink r:id="rId7" w:history="1">
        <w:r w:rsidR="002D491A" w:rsidRPr="002D491A">
          <w:rPr>
            <w:rFonts w:ascii="Times New Roman" w:hAnsi="Times New Roman" w:cs="Times New Roman"/>
            <w:noProof w:val="0"/>
            <w:sz w:val="24"/>
            <w:szCs w:val="24"/>
            <w:u w:val="single"/>
            <w:lang w:val="en-AU"/>
          </w:rPr>
          <w:t>www.isaac.auckland.ac.nz/phases/phasethree/environmentalquestionnaire/environmentalquestionnaire.html</w:t>
        </w:r>
      </w:hyperlink>
    </w:p>
    <w:p w:rsidR="0014397C" w:rsidRDefault="00F41BA8" w:rsidP="00325C7F">
      <w:pPr>
        <w:spacing w:before="240" w:line="360" w:lineRule="auto"/>
        <w:jc w:val="both"/>
      </w:pPr>
      <w:r w:rsidRPr="00325C7F">
        <w:rPr>
          <w:rFonts w:ascii="Times New Roman" w:hAnsi="Times New Roman" w:cs="Times New Roman"/>
          <w:sz w:val="24"/>
          <w:szCs w:val="24"/>
        </w:rPr>
        <w:fldChar w:fldCharType="end"/>
      </w:r>
    </w:p>
    <w:sectPr w:rsidR="001439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ExMTWwMDIzsDQwsjBQ0lEKTi0uzszPAykwqgUAsqF29ywAAAA="/>
    <w:docVar w:name="EN.Layout" w:val="&lt;ENLayout&gt;&lt;Style&gt;Nutrition J (Elsevi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ew2sr0t4wzt0mezvwmxzxfwwxffspwwfzz2&quot;&gt;2. EndNote Library MEDITERRANEAN ASTHMA 24.7.17 12.8.19 368 Copy Copy Copy Copy Copy Copy-Saved&lt;record-ids&gt;&lt;item&gt;517&lt;/item&gt;&lt;item&gt;677&lt;/item&gt;&lt;item&gt;726&lt;/item&gt;&lt;item&gt;740&lt;/item&gt;&lt;item&gt;753&lt;/item&gt;&lt;item&gt;821&lt;/item&gt;&lt;item&gt;1121&lt;/item&gt;&lt;item&gt;1122&lt;/item&gt;&lt;/record-ids&gt;&lt;/item&gt;&lt;/Libraries&gt;"/>
  </w:docVars>
  <w:rsids>
    <w:rsidRoot w:val="0010412B"/>
    <w:rsid w:val="0010412B"/>
    <w:rsid w:val="0014397C"/>
    <w:rsid w:val="002D2C72"/>
    <w:rsid w:val="002D491A"/>
    <w:rsid w:val="00325C7F"/>
    <w:rsid w:val="003535B8"/>
    <w:rsid w:val="00370826"/>
    <w:rsid w:val="0039303A"/>
    <w:rsid w:val="00B67F27"/>
    <w:rsid w:val="00BF3DDC"/>
    <w:rsid w:val="00C05B80"/>
    <w:rsid w:val="00D26C0D"/>
    <w:rsid w:val="00EC1A3B"/>
    <w:rsid w:val="00F41B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4538ED-B0C1-4FF7-8B90-42572609C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41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F41BA8"/>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F41BA8"/>
    <w:rPr>
      <w:rFonts w:ascii="Calibri" w:hAnsi="Calibri"/>
      <w:noProof/>
      <w:lang w:val="en-US"/>
    </w:rPr>
  </w:style>
  <w:style w:type="paragraph" w:customStyle="1" w:styleId="EndNoteBibliography">
    <w:name w:val="EndNote Bibliography"/>
    <w:basedOn w:val="Normal"/>
    <w:link w:val="EndNoteBibliographyChar"/>
    <w:rsid w:val="00F41BA8"/>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F41BA8"/>
    <w:rPr>
      <w:rFonts w:ascii="Calibri" w:hAnsi="Calibri"/>
      <w:noProof/>
      <w:lang w:val="en-US"/>
    </w:rPr>
  </w:style>
  <w:style w:type="character" w:styleId="Hyperlink">
    <w:name w:val="Hyperlink"/>
    <w:basedOn w:val="DefaultParagraphFont"/>
    <w:uiPriority w:val="99"/>
    <w:unhideWhenUsed/>
    <w:rsid w:val="003708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I:\POST%20DOC\vit%20D%20less%20than%2030%20base%2064%20BMI%20group%20%20lung%20fnt%20IMP\Upload%20Pediatric%20Obesity\www.isaac.auckland.ac.nz\phases\phasethree\environmentalquestionnaire\environmentalquestionnaire.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eqas.org/" TargetMode="External"/><Relationship Id="rId5" Type="http://schemas.openxmlformats.org/officeDocument/2006/relationships/hyperlink" Target="file:///I:\POST%20DOC\vit%20D%20less%20than%2030%20base%2064%20BMI%20group%20%20lung%20fnt%20IMP\Upload%20Nutrition%20J\www.idsltd.com" TargetMode="External"/><Relationship Id="rId4" Type="http://schemas.openxmlformats.org/officeDocument/2006/relationships/hyperlink" Target="https://ginasthma.org/gina-report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3297</Words>
  <Characters>18793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9</cp:revision>
  <dcterms:created xsi:type="dcterms:W3CDTF">2022-04-14T13:15:00Z</dcterms:created>
  <dcterms:modified xsi:type="dcterms:W3CDTF">2022-04-21T11:47:00Z</dcterms:modified>
</cp:coreProperties>
</file>