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FB092" w14:textId="77777777" w:rsidR="00B43AF8" w:rsidRDefault="00B43AF8" w:rsidP="00B43AF8">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Appendix S4:</w:t>
      </w:r>
      <w:r w:rsidR="003B720E">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CHEERS checklist per item for all included studies </w:t>
      </w:r>
    </w:p>
    <w:tbl>
      <w:tblPr>
        <w:tblW w:w="13953" w:type="dxa"/>
        <w:tblInd w:w="-5" w:type="dxa"/>
        <w:tblLayout w:type="fixed"/>
        <w:tblLook w:val="04A0" w:firstRow="1" w:lastRow="0" w:firstColumn="1" w:lastColumn="0" w:noHBand="0" w:noVBand="1"/>
      </w:tblPr>
      <w:tblGrid>
        <w:gridCol w:w="1473"/>
        <w:gridCol w:w="390"/>
        <w:gridCol w:w="390"/>
        <w:gridCol w:w="391"/>
        <w:gridCol w:w="390"/>
        <w:gridCol w:w="390"/>
        <w:gridCol w:w="391"/>
        <w:gridCol w:w="390"/>
        <w:gridCol w:w="390"/>
        <w:gridCol w:w="391"/>
        <w:gridCol w:w="390"/>
        <w:gridCol w:w="390"/>
        <w:gridCol w:w="391"/>
        <w:gridCol w:w="390"/>
        <w:gridCol w:w="390"/>
        <w:gridCol w:w="391"/>
        <w:gridCol w:w="390"/>
        <w:gridCol w:w="390"/>
        <w:gridCol w:w="391"/>
        <w:gridCol w:w="390"/>
        <w:gridCol w:w="390"/>
        <w:gridCol w:w="391"/>
        <w:gridCol w:w="390"/>
        <w:gridCol w:w="390"/>
        <w:gridCol w:w="391"/>
        <w:gridCol w:w="390"/>
        <w:gridCol w:w="390"/>
        <w:gridCol w:w="391"/>
        <w:gridCol w:w="390"/>
        <w:gridCol w:w="390"/>
        <w:gridCol w:w="391"/>
        <w:gridCol w:w="770"/>
      </w:tblGrid>
      <w:tr w:rsidR="009656BD" w:rsidRPr="00FA697F" w14:paraId="6AAC06F1" w14:textId="77777777" w:rsidTr="005836B5">
        <w:trPr>
          <w:trHeight w:val="1685"/>
          <w:tblHeader/>
        </w:trPr>
        <w:tc>
          <w:tcPr>
            <w:tcW w:w="1473"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A95D510" w14:textId="77777777" w:rsidR="00186F1E" w:rsidRPr="00FA697F" w:rsidRDefault="00186F1E" w:rsidP="00186F1E">
            <w:pPr>
              <w:spacing w:after="0" w:line="240" w:lineRule="auto"/>
              <w:rPr>
                <w:rFonts w:ascii="Times New Roman" w:eastAsia="Times New Roman" w:hAnsi="Times New Roman" w:cs="Times New Roman"/>
                <w:b/>
                <w:bCs/>
                <w:color w:val="000000"/>
                <w:sz w:val="16"/>
                <w:szCs w:val="16"/>
                <w:lang w:eastAsia="en-GB"/>
              </w:rPr>
            </w:pPr>
            <w:r w:rsidRPr="00FA697F">
              <w:rPr>
                <w:rFonts w:ascii="Times New Roman" w:eastAsia="Times New Roman" w:hAnsi="Times New Roman" w:cs="Times New Roman"/>
                <w:b/>
                <w:bCs/>
                <w:color w:val="000000"/>
                <w:sz w:val="16"/>
                <w:szCs w:val="16"/>
                <w:lang w:eastAsia="en-GB"/>
              </w:rPr>
              <w:t>Item No./Section/item</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511BA2C0"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Day</w:t>
            </w:r>
            <w:r w:rsidR="004C0EFF"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{"citationItems":[{"id":"ITEM-1","itemData":{"DOI":"10.4102/curationis.v21i4.684","ISSN":"03798577","PMID":"11040602","abstract":"The purpose of the study was to examine the cost-effectiveness of managed care interventions with respect to prescriptions for chronic illness sufferers enrolled with a specific medical scheme. The illnesses included, were epilepsy, hypertension, diabetes and asthma. The managed care interventions applied were a primary discount; the use of preferred provider pharmacies, and drug utilization review. It was concluded that the managed care interventions resulted in some real cost savings.","author":[{"dropping-particle":"","family":"Day","given":"K.","non-dropping-particle":"","parse-names":false,"suffix":""},{"dropping-particle":"","family":"Booyens","given":"S.","non-dropping-particle":"","parse-names":false,"suffix":""}],"container-title":"Curationis","id":"ITEM-1","issue":"4","issued":{"date-parts":[["1998"]]},"page":"65-70","title":"The cost-effectiveness of managed care regarding chronic medicine prescriptions in a selected medical scheme.","type":"article-journal","volume":"21"},"uris":["http://www.mendeley.com/documents/?uuid=57adad2b-3be3-4819-81a6-a24f4f847309"]}],"mendeley":{"formattedCitation":"&lt;sup&gt;1&lt;/sup&gt;","plainTextFormattedCitation":"1","previouslyFormattedCitation":"&lt;sup&gt;1&lt;/sup&gt;"},"properties":{"noteIndex":0},"schema":"https://github.com/citation-style-language/schema/raw/master/csl-citation.json"}</w:instrText>
            </w:r>
            <w:r w:rsidR="004C0EFF" w:rsidRPr="00FA697F">
              <w:rPr>
                <w:rFonts w:ascii="Times New Roman" w:eastAsia="Times New Roman" w:hAnsi="Times New Roman" w:cs="Times New Roman"/>
                <w:color w:val="000000"/>
                <w:sz w:val="16"/>
                <w:szCs w:val="16"/>
                <w:lang w:eastAsia="en-GB"/>
              </w:rPr>
              <w:fldChar w:fldCharType="separate"/>
            </w:r>
            <w:r w:rsidR="004C0EFF" w:rsidRPr="00FA697F">
              <w:rPr>
                <w:rFonts w:ascii="Times New Roman" w:eastAsia="Times New Roman" w:hAnsi="Times New Roman" w:cs="Times New Roman"/>
                <w:noProof/>
                <w:color w:val="000000"/>
                <w:sz w:val="16"/>
                <w:szCs w:val="16"/>
                <w:vertAlign w:val="superscript"/>
                <w:lang w:eastAsia="en-GB"/>
              </w:rPr>
              <w:t>1</w:t>
            </w:r>
            <w:r w:rsidR="004C0EFF" w:rsidRPr="00FA697F">
              <w:rPr>
                <w:rFonts w:ascii="Times New Roman" w:eastAsia="Times New Roman" w:hAnsi="Times New Roman" w:cs="Times New Roman"/>
                <w:color w:val="000000"/>
                <w:sz w:val="16"/>
                <w:szCs w:val="16"/>
                <w:lang w:eastAsia="en-GB"/>
              </w:rPr>
              <w:fldChar w:fldCharType="end"/>
            </w:r>
            <w:r w:rsidR="00986BF6" w:rsidRPr="00FA697F">
              <w:rPr>
                <w:rFonts w:ascii="Times New Roman" w:eastAsia="Times New Roman" w:hAnsi="Times New Roman" w:cs="Times New Roman"/>
                <w:color w:val="000000"/>
                <w:sz w:val="16"/>
                <w:szCs w:val="16"/>
                <w:lang w:eastAsia="en-GB"/>
              </w:rPr>
              <w:t xml:space="preserve"> </w:t>
            </w:r>
            <w:r w:rsidRPr="00FA697F">
              <w:rPr>
                <w:rFonts w:ascii="Times New Roman" w:eastAsia="Times New Roman" w:hAnsi="Times New Roman" w:cs="Times New Roman"/>
                <w:color w:val="000000"/>
                <w:sz w:val="16"/>
                <w:szCs w:val="16"/>
                <w:lang w:eastAsia="en-GB"/>
              </w:rPr>
              <w:t>(1998)</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C3F74B8"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Edwards</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{"citationItems":[{"id":"ITEM-1","itemData":{"ISSN":"0256-9574 (Print)","PMID":"9638122","abstract":"OBJECTIVES: To describe the pattern of prescribing for hypertension at a community health centre (CHC) and to evaluate the impact of introducing treatment guidelines and restricting availability of less cost-effective antihypertensive drugs on prescribing patterns, costs of drug treatment and blood pressure (BP) control. DESIGN: Before/after intervention study. SETTING: Medium-sized CHC in the Cape Flats area of Cape Town. SUBJECTS: 1,084 hypertensive patients attending the CHC, who had at least two prescriptions for antihypertensive drugs during a 1-year period starting on 1 January 1992. INTERVENTIONS: 1. Implementation of stepped-care guidelines for hypertension, specifying treatment with more cost-effective drugs and minimising drug treatment. 2. Reducing availability for routine prescribing by CHC doctors of 10 less cost-effective antihypertensive drugs or drug combinations. OUTCOME MEASURES: 1. Mean number of drugs prescribed per patient. 2. Proportion of prescriptions for: each major class of antihypertensive drug; restricted availability and freely prescribable drugs; and more and less cost-effective drugs. 3. Mean monthly cost of drugs prescribed per patient. 4. Mean blood pressure and proportion of BP readings controlled (&lt; 160/95 mmHg) or uncontrolled (&gt; or = 160/95 mmHg). RESULTS: A mean of 1.7 active drugs was prescribed per patient per visit. The most frequently prescribed drugs were thiazide-like diuretics (44.8%), centrally acting agents (28.4%) and b-blockers (13.2%). Mean monthly drug costs per patient decreased significantly by R1.99 (24.2%) from R8.24 to R6.25 between the first and last prescription for each patient (exclusive of any reduction due to withdrawal of treatment). This was attributable to reduced prescribing of more expensive drugs withdrawn from routine use and a 51.1% increase in prescribing of the most cost-effective drugs. The overall annual cost-saving of the changes in prescribing for this CHC are estimated at R75 150. Blood pressure control did not change significantly. CONCLUSION: The pattern of changes in prescribing and drug costs was consistent with a causal effect of the interventions. The study demonstrates the potential for improving cost-effectiveness of hypertension care in primary care in South Africa and the potential for research in this setting.","author":[{"dropping-particle":"","family":"Edwards","given":"P R","non-dropping-particle":"","parse-names":false,"suffix":""},{"dropping-particle":"","family":"Lunt","given":"D W","non-dropping-particle":"","parse-names":false,"suffix":""},{"dropping-particle":"","family":"Fehrsen","given":"G S","non-dropping-particle":"","parse-names":false,"suffix":""},{"dropping-particle":"","family":"Lombard","given":"C J","non-dropping-particle":"","parse-names":false,"suffix":""},{"dropping-particle":"","family":"Steyn","given":"K","non-dropping-particle":"","parse-names":false,"suffix":""}],"container-title":"South African medical journal = Suid-Afrikaanse tydskrif vir geneeskunde","id":"ITEM-1","issue":"5","issued":{"date-parts":[["1998","5"]]},"language":"eng","page":"549-554","publisher-place":"South Africa","title":"Improving cost-effectiveness of hypertension management at a community health centre.","type":"article-journal","volume":"88"},"uris":["http://www.mendeley.com/documents/?uuid=d1c960a0-72ec-4718-a8a0-b0b09a42a688"]}],"mendeley":{"formattedCitation":"&lt;sup&gt;2&lt;/sup&gt;","plainTextFormattedCitation":"2","previouslyFormattedCitation":"&lt;sup&gt;2&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2</w:t>
            </w:r>
            <w:r w:rsidR="00986BF6" w:rsidRPr="00FA697F">
              <w:rPr>
                <w:rFonts w:ascii="Times New Roman" w:eastAsia="Times New Roman" w:hAnsi="Times New Roman" w:cs="Times New Roman"/>
                <w:color w:val="000000"/>
                <w:sz w:val="16"/>
                <w:szCs w:val="16"/>
                <w:lang w:eastAsia="en-GB"/>
              </w:rPr>
              <w:fldChar w:fldCharType="end"/>
            </w:r>
            <w:r w:rsidR="00986BF6" w:rsidRPr="00FA697F">
              <w:rPr>
                <w:rFonts w:ascii="Times New Roman" w:eastAsia="Times New Roman" w:hAnsi="Times New Roman" w:cs="Times New Roman"/>
                <w:color w:val="000000"/>
                <w:sz w:val="16"/>
                <w:szCs w:val="16"/>
                <w:lang w:eastAsia="en-GB"/>
              </w:rPr>
              <w:t xml:space="preserve"> </w:t>
            </w:r>
            <w:r w:rsidRPr="00FA697F">
              <w:rPr>
                <w:rFonts w:ascii="Times New Roman" w:eastAsia="Times New Roman" w:hAnsi="Times New Roman" w:cs="Times New Roman"/>
                <w:color w:val="000000"/>
                <w:sz w:val="16"/>
                <w:szCs w:val="16"/>
                <w:lang w:eastAsia="en-GB"/>
              </w:rPr>
              <w:t>(1998)</w:t>
            </w:r>
          </w:p>
        </w:tc>
        <w:tc>
          <w:tcPr>
            <w:tcW w:w="391"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96D8FF0"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Anderson</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{"citationItems":[{"id":"ITEM-1","itemData":{"ISSN":"0256-9574 (Print)","PMID":"10901822","abstract":"OBJECTIVES: Hypertension is a leading chronic disease in South Africa, Significant mortality results from this condition and from stroke and ischaemic heart disease in which hypertension plays a major role. The objective of this study was to evaluate the evidence for the clinically effective and cost-effective treatment of hypertension, given that the clinician has decided to administer an AT1 receptor blocker. METHODOLOGY: A cost-effectiveness analysis was undertaken from the perspective of the funder of health care in the private sector. A predetermined protocol defined the study scope, the comparators (candesartan, losartan, valsartan and irbesartan) and the inclusion criteria for peer-reviewed data. Data for the clinical efficacy of the comparators, measured as the reduction (mmHg) in sitting diastolic blood pressure (SDBP) achieved, were extracted, statistically assessed and reported. The combinability of the data from different clinical trials was confirmed using analyses of variance. A pharmacoeconomic model was developed by combining these clinical results with South African retail prices and testing the results at a 95% confidence level. RESULTS: Significant difference in clinical effectiveness was found among the comparators, with the following mean reductions in SDBP observed: candesartan 10.57, irbesartan 9.07, losartan 8.89 and valsartan 7.11 mmHg. Candesartan was found to be significantly more effective than losartan. Valsartan was found to be less effective than the other 3 comparators. No significant difference was found between irbesartan and either candesartan or losartan. The reduction in SDBP per R100 spent indicated that candesartan was more cost-effective than the other comparators, among which there were no significant differences. Incremental savings of R5.0 million annually could be achieved by the funders of private health care for every 100,000 successfully treated patients using candesartan. CONCLUSION: Significant differences exist in both the clinical and cost-effectiveness measures used in this study for the comparators. The findings from the analysis will be valuable in decision-making processes for both the funders and providers of health care. This analysis can be enhanced further by the inclusion of additional clinical benefits and long-term health outcomes when the relevant data become available.","author":[{"dropping-particle":"","family":"Anderson","given":"A N","non-dropping-particle":"","parse-names":false,"suffix":""},{"dropping-particle":"","family":"Wessels","given":"F","non-dropping-particle":"","parse-names":false,"suffix":""},{"dropping-particle":"","family":"Moodley","given":"I","non-dropping-particle":"","parse-names":false,"suffix":""},{"dropping-particle":"","family":"Kropman","given":"K","non-dropping-particle":"","parse-names":false,"suffix":""}],"container-title":"South African medical journal = Suid-Afrikaanse tydskrif vir geneeskunde","id":"ITEM-1","issue":"5","issued":{"date-parts":[["2000","5"]]},"language":"eng","page":"494-498","publisher-place":"South Africa","title":"AT1 receptor blockers--cost-effectiveness within the South African context.","type":"article-journal","volume":"90"},"uris":["http://www.mendeley.com/documents/?uuid=f0202040-6a8c-4551-a92d-4e2db23a041d"]}],"mendeley":{"formattedCitation":"&lt;sup&gt;3&lt;/sup&gt;","plainTextFormattedCitation":"3","previouslyFormattedCitation":"&lt;sup&gt;3&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3</w:t>
            </w:r>
            <w:r w:rsidR="00986BF6" w:rsidRPr="00FA697F">
              <w:rPr>
                <w:rFonts w:ascii="Times New Roman" w:eastAsia="Times New Roman" w:hAnsi="Times New Roman" w:cs="Times New Roman"/>
                <w:color w:val="000000"/>
                <w:sz w:val="16"/>
                <w:szCs w:val="16"/>
                <w:lang w:eastAsia="en-GB"/>
              </w:rPr>
              <w:fldChar w:fldCharType="end"/>
            </w:r>
            <w:r w:rsidR="00986BF6" w:rsidRPr="00FA697F">
              <w:rPr>
                <w:rFonts w:ascii="Times New Roman" w:eastAsia="Times New Roman" w:hAnsi="Times New Roman" w:cs="Times New Roman"/>
                <w:color w:val="000000"/>
                <w:sz w:val="16"/>
                <w:szCs w:val="16"/>
                <w:lang w:eastAsia="en-GB"/>
              </w:rPr>
              <w:t xml:space="preserve"> </w:t>
            </w:r>
            <w:r w:rsidRPr="00FA697F">
              <w:rPr>
                <w:rFonts w:ascii="Times New Roman" w:eastAsia="Times New Roman" w:hAnsi="Times New Roman" w:cs="Times New Roman"/>
                <w:color w:val="000000"/>
                <w:sz w:val="16"/>
                <w:szCs w:val="16"/>
                <w:lang w:eastAsia="en-GB"/>
              </w:rPr>
              <w:t>(2000b)</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B379C8B"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Ker</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{"citationItems":[{"id":"ITEM-1","itemData":{"ISSN":"19951892","PMID":"18516355","abstract":"Background: Many clinical guidelines have adopted a multifactorial cardiovascular risk assessment to identify high-risk individuals for treatment. The F ramingham risk chart is a widely used risk engine to calculate the absolute cardiovascular risk of an individual. Cost-effective analyses are typically used to evaluate therapeutic strategies, but it is more problematic for a clinician when faced with alternative therapeutic strategies to calculate cost effectiveness. Aim: We used a single simulated-patient model to explore the effect of different drug treatments on the calculated absolute cardiovascular risk. Methods: The F ramingham risk score was calculated on a hypothetical patient, and drug treatment was initiated. After every drug introduced, the score was recalculated. Single-exit pricing of the various drugs in South Africa was used to calculate the cost of reducing predicted cardiovascular risk. Results: The cost-effective ratio of an antihypertensive treatment strategy was calculated to be R21.35 per percentage of risk reduction. That of a statin treatment strategy was R22.93 per percentage of risk reduction. U sing a high-dose statin, the cost-effective ratio was R12.81 per percentage of risk reduction. Combining the antihypertensive and statin strategy demonstrated a cost-effective ratio of R23.84 per percentage of risk reduction. A combination of several drugs enabled the hypothetical patient to reduce the risk to 14% at a cost-effective ratio of R17.18 per percentage of risk reduction. Conclusion: This model demonstrates a method to compare different therapeutic strategies to reduce cardiovascular risk with their cost-effective ratios.","author":[{"dropping-particle":"","family":"Ker","given":"J. A.","non-dropping-particle":"","parse-names":false,"suffix":""},{"dropping-particle":"","family":"Oosthuizen","given":"H.","non-dropping-particle":"","parse-names":false,"suffix":""},{"dropping-particle":"","family":"Rheeder","given":"P.","non-dropping-particle":"","parse-names":false,"suffix":""}],"container-title":"Cardiovascular Journal of Africa","id":"ITEM-1","issue":"2","issued":{"date-parts":[["2008"]]},"page":"97-101","title":"Decision-making using absolute cardiovascular risk reduction and incremental cost-effectiveness ratios: A case study","type":"article-journal","volume":"19"},"uris":["http://www.mendeley.com/documents/?uuid=2e4642b3-6f9b-4c35-9930-1a6962b94a78"]}],"mendeley":{"formattedCitation":"&lt;sup&gt;4&lt;/sup&gt;","plainTextFormattedCitation":"4","previouslyFormattedCitation":"&lt;sup&gt;4&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4</w:t>
            </w:r>
            <w:r w:rsidR="00986BF6" w:rsidRPr="00FA697F">
              <w:rPr>
                <w:rFonts w:ascii="Times New Roman" w:eastAsia="Times New Roman" w:hAnsi="Times New Roman" w:cs="Times New Roman"/>
                <w:color w:val="000000"/>
                <w:sz w:val="16"/>
                <w:szCs w:val="16"/>
                <w:lang w:eastAsia="en-GB"/>
              </w:rPr>
              <w:fldChar w:fldCharType="end"/>
            </w:r>
            <w:r w:rsidR="00986BF6" w:rsidRPr="00FA697F">
              <w:rPr>
                <w:rFonts w:ascii="Times New Roman" w:eastAsia="Times New Roman" w:hAnsi="Times New Roman" w:cs="Times New Roman"/>
                <w:color w:val="000000"/>
                <w:sz w:val="16"/>
                <w:szCs w:val="16"/>
                <w:lang w:eastAsia="en-GB"/>
              </w:rPr>
              <w:t xml:space="preserve"> </w:t>
            </w:r>
            <w:r w:rsidRPr="00FA697F">
              <w:rPr>
                <w:rFonts w:ascii="Times New Roman" w:eastAsia="Times New Roman" w:hAnsi="Times New Roman" w:cs="Times New Roman"/>
                <w:color w:val="000000"/>
                <w:sz w:val="16"/>
                <w:szCs w:val="16"/>
                <w:lang w:eastAsia="en-GB"/>
              </w:rPr>
              <w:t>(2008)</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3F7D365F"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Makkink</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{"citationItems":[{"id":"ITEM-1","itemData":{"DOI":"10.7196/samj.7593","ISSN":"0256-9574 (Print)","PMID":"25118555","abstract":"BACKGROUND: Hypertension poses a huge financial risk to any funder/medical aid, including the risk-mitigating strategies provided by the managed care organisations that are required to manage patients with hypertension. The South African Hypertension Guideline states that the choice of therapy--an angiotensin converting enzyme inhibitor (ACEI) or an angiotensin receptor blocker (ARB)--should be based on cost and tolerability. OBJECTIVE: To assess the costs of ACEIs v. ARBs in the management of hypertensive patients and the prevention of cardiovascular complications for a private medical aid scheme in South Africa. METHOD: A Phase IV observational, retrospective cohort study of over 480 000 beneficiaries between 2010 and 2011 was undertaken. Hypertensive patients were identified by their chronic medication authorisation and were categorised into three groups: ACEI, ARB and combined groups. A cost-benefit analysis was performed on the claims data, comparing the input costs in rand against the downstream costs using analysis of variance. RESULTS: Data from 28 165 patients were included in the study. Based on the health economic analysis that was performed, there was no statistically significant difference in the input costs between the ACEI and the ARB groups. However, a statistically significant reduction in the downstream costs was observed in the ACEI group v. the ARB and combined groups (p &lt; 0.0001). CONCLUSION: It is more cost beneficial to treat chronic hypertensive patients with an ACEI than ARBs in preventing cardiovascular-related complications. It is recommended that managed care companies continue recommending ACEIs rather than ARBs in the treatment of hypertensive patients.","author":[{"dropping-particle":"","family":"Makkink","given":"J L","non-dropping-particle":"","parse-names":false,"suffix":""},{"dropping-particle":"","family":"Greeff","given":"O B W","non-dropping-particle":"","parse-names":false,"suffix":""}],"container-title":"South African medical journal = Suid-Afrikaanse tydskrif vir geneeskunde","id":"ITEM-1","issue":"4","issued":{"date-parts":[["2014","4"]]},"language":"eng","page":"292-294","publisher-place":"South Africa","title":"Angiotensin converting enzyme inhibitors v. angiotensin receptor blockers in the management of hypertension: a funder's perspective.","type":"article-journal","volume":"104"},"uris":["http://www.mendeley.com/documents/?uuid=d9fed4b4-5aba-4b32-a912-3a029ef98760"]}],"mendeley":{"formattedCitation":"&lt;sup&gt;5&lt;/sup&gt;","plainTextFormattedCitation":"5","previouslyFormattedCitation":"&lt;sup&gt;5&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5</w:t>
            </w:r>
            <w:r w:rsidR="00986BF6"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(2014)</w:t>
            </w:r>
          </w:p>
        </w:tc>
        <w:tc>
          <w:tcPr>
            <w:tcW w:w="391"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419BA4FE"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Gaziano</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{"citationItems":[{"id":"ITEM-1","itemData":{"DOI":"10.1186/1471-2458-14-240","ISSN":"1471-2458 (Electronic)","PMID":"24606986","abstract":"BACKGROUND: To determine whether training community health workers (CHWs) about hypertension in order to improve adherence to medications is a cost-effective intervention among community members in South Africa. METHODS: We used an established Markov model with age-varying probabilities of cardiovascular disease (CVD) events to assess the benefits and costs of using CHW home visits to increase hypertension adherence for individuals with hypertension and aged 25-74 in South Africa. Subjects considered for CHW intervention were those with a previous diagnosis of hypertension and on medications but who had not achieved control of their blood pressure. We report our results in incremental cost-effectiveness ratios (ICERs) in US dollars per disability-adjusted life-year (DALY) averted. RESULTS: The annual cost of the CHW intervention is about $8 per patient. This would lead to over a 2% reduction in CVD events over a life-time and decrease DALY burden. Due to reductions in non-fatal CVD events, lifetime costs are only $6.56 per patient. The CHW intervention leads to an incremental cost-effectiveness ratio of $320/DALY averted. At an annual cost of $6.50 or if the blood pressure reduction is 5 mmHg or greater per patient the intervention is cost-saving. CONCLUSIONS: Additional training for CHWs on hypertension management could be a cost-effective strategy for CVD in South Africa and a very good purchase according to World Health Organization (WHO) standards. The intervention could also lead to reduced visits at the health centres freeing up more time for new patients or reducing the burden of an overworked staff at many facilities.","author":[{"dropping-particle":"","family":"Gaziano","given":"Thomas A","non-dropping-particle":"","parse-names":false,"suffix":""},{"dropping-particle":"","family":"Bertram","given":"Melanie","non-dropping-particle":"","parse-names":false,"suffix":""},{"dropping-particle":"","family":"Tollman","given":"Stephen M","non-dropping-particle":"","parse-names":false,"suffix":""},{"dropping-particle":"","family":"Hofman","given":"Karen J","non-dropping-particle":"","parse-names":false,"suffix":""}],"container-title":"BMC public health","id":"ITEM-1","issued":{"date-parts":[["2014","3"]]},"language":"eng","page":"240","title":"Hypertension education and adherence in South Africa: a cost-effectiveness analysis of community health workers.","type":"article-journal","volume":"14"},"uris":["http://www.mendeley.com/documents/?uuid=8c64be07-4f7b-41ef-9f7a-ab673c750260"]}],"mendeley":{"formattedCitation":"&lt;sup&gt;6&lt;/sup&gt;","plainTextFormattedCitation":"6","previouslyFormattedCitation":"&lt;sup&gt;6&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6</w:t>
            </w:r>
            <w:r w:rsidR="00986BF6"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(2014)</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0B156CE2"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Gaziano</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DOI":"10.1377/hlthaff.2015.0349","author":[{"dropping-particle":"","family":"Gaziano","given":"T","non-dropping-particle":"","parse-names":false,"suffix":""},{"dropping-particle":"","family":"Abrahams-Gessel","given":"S","non-dropping-particle":"","parse-names":false,"suffix":""},{"dropping-particle":"","family":"Surka","given":"S","non-dropping-particle":"","parse-names":false,"suffix":""},{"dropping-particle":"","family":"Sy","given":"S","non-dropping-particle":"","parse-names":false,"suffix":""},{"dropping-particle":"","family":"Pandya","given":"A","non-dropping-particle":"","parse-names":false,"suffix":""},{"dropping-particle":"","family":"Denman","given":"C A","non-dropping-particle":"","parse-names":false,"suffix":""},{"dropping-particle":"","family":"Mendoza","given":"C","non-dropping-particle":"","parse-names":false,"suffix":""},{"dropping-particle":"","family":"Puoane","given":"T","non-dropping-particle":"","parse-names":false,"suffix":""}],"container-title":"Health Affairs","id":"ITEM-1","issue":"9","issued":{"date-parts":[["2015"]]},"note":"Cited By :19\n\nExport Date: 31 May 2021","page":"1538-1545","title":"Cardiovascular disease screening by community health workers can be cost-effective in low- resource countries","type":"article-journal","volume":"34"},"uris":["http://www.mendeley.com/documents/?uuid=d2507643-121f-493d-9599-f1e10a2bba2e"]}],"mendeley":{"formattedCitation":"&lt;sup&gt;7&lt;/sup&gt;","plainTextFormattedCitation":"7","previouslyFormattedCitation":"&lt;sup&gt;7&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7</w:t>
            </w:r>
            <w:r w:rsidR="00986BF6"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(2015a)</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4FFECDF4"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Basu</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{"citationItems":[{"id":"ITEM-1","itemData":{"DOI":"10.1016/S2214-109X(18)30450-9","ISSN":"2214-109X (Electronic)","PMID":"30528531","abstract":"BACKGROUND: Cardiovascular diseases and their risk factors-particularly hypertension, dyslipidaemia, and diabetes-have become an increasing concern for middle-income countries. Using newly available, nationally representative data, we assessed how cardiovascular risk factors are distributed across subpopulations within South Africa and identified which cardiovascular treatments should be prioritised. METHODS: We created a demographically representative simulated population for South Africa and used data from 17 743 respondents aged 15 years or older of the 2012 South African National Health and Nutrition Examination Survey (SANHANES) to assign information on cardiovascular risk factors to each member of the simulated population. We created a microsimulation model to estimate the health and economic implications of two globally recognised treatment recommendations: WHO's package of essential non-communicable disease interventions (PEN) and South Africa's Primary Care 101 (SA PC 101) guidelines. The primary outcome was total disability-adjusted life-years (DALYs) averted through treatment of all cardiovascular disease or microvascular type 2 diabetes complications per 1000 population. We compared outcomes at the aspirational level of achieving access to treatment among 70% of the population. FINDINGS: Based on the SANHANES data, South Africans had a high prevalence of hypertension (24·8%), dyslipidaemia (17·5%), and diabetes (15·3%). Prevalence was disproportionately high and treatment low among male, black, and poor populations. Our simulated population experienced a burden of 40·0 DALYs (95% CI 29·5-52·0) per 1000 population per year from cardiovascular disease or type 2 diabetes complications at current treatment levels, which lowered to 32·9 DALYs (24·4-44·7) under WHO PEN implementation and to 32·5 (24·4-44·8) under SA PC 101 implementation. Under both guidelines, there were increases in blood pressure treatment (4·2 percentage points under WHO PEN vs 12·6 percentage points under SA PC 101), lipid treatment (16·0 vs 14·9), and glucose control medications (1·2 vs 0·6). The incremental cost-effectiveness of implementing SA PC 101 over current treatment would be a saving of US$24 902 (95% CI 14 666-62 579) per DALY averted compared with a saving of $17 587 (1840-42 589) under WHO PEN guidelines. INTERPRETATION: Cardiovascular risk factors are common and disproportionate among disadvantaged populations in South Africa. Treatment with blood pressure agent…","author":[{"dropping-particle":"","family":"Basu","given":"Sanjay","non-dropping-particle":"","parse-names":false,"suffix":""},{"dropping-particle":"","family":"Wagner","given":"Ryan G","non-dropping-particle":"","parse-names":false,"suffix":""},{"dropping-particle":"","family":"Sewpaul","given":"Ronel","non-dropping-particle":"","parse-names":false,"suffix":""},{"dropping-particle":"","family":"Reddy","given":"Priscilla","non-dropping-particle":"","parse-names":false,"suffix":""},{"dropping-particle":"","family":"Davies","given":"Justine","non-dropping-particle":"","parse-names":false,"suffix":""}],"container-title":"The Lancet. Global health","id":"ITEM-1","issue":"2","issued":{"date-parts":[["2019","2"]]},"language":"eng","page":"e270-e280","publisher-place":"England","title":"Implications of scaling up cardiovascular disease treatment in South Africa: a microsimulation and cost-effectiveness analysis.","type":"article-journal","volume":"7"},"uris":["http://www.mendeley.com/documents/?uuid=f875019a-9c08-40c1-a78a-2094bd08ccfb"]}],"mendeley":{"formattedCitation":"&lt;sup&gt;8&lt;/sup&gt;","plainTextFormattedCitation":"8","previouslyFormattedCitation":"&lt;sup&gt;8&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8</w:t>
            </w:r>
            <w:r w:rsidR="00986BF6"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(2019)</w:t>
            </w:r>
          </w:p>
        </w:tc>
        <w:tc>
          <w:tcPr>
            <w:tcW w:w="391"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7D2FD7CA"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Nomame</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{"citationItems":[{"id":"ITEM-1","itemData":{"author":[{"dropping-particle":"","family":"Nomame","given":"S","non-dropping-particle":"","parse-names":false,"suffix":""}],"id":"ITEM-1","issued":{"date-parts":[["0"]]},"title":"Development of a Model To Predict the Cost of Management of Diabetes Mellitus and Its Complications At Groote Schuur Hospital","type":"article-journal"},"uris":["http://www.mendeley.com/documents/?uuid=c2ccd82e-09b8-45c9-9598-3095c9d5b487"]}],"mendeley":{"formattedCitation":"&lt;sup&gt;9&lt;/sup&gt;","plainTextFormattedCitation":"9","previouslyFormattedCitation":"&lt;sup&gt;9&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9</w:t>
            </w:r>
            <w:r w:rsidR="00986BF6"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(2012)</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F764B88"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Volmink</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{"citationItems":[{"id":"ITEM-1","itemData":{"DOI":"10.1186/1472-6963-14-444","abstract":"Background: Diabetes mellitus contributes substantially to the non-communicable disease burden in South Africa. The proposed National Health Insurance system provides an opportunity to consider the development of a cost-effective capitation model of care for patients with type 2 diabetes. The objective of the study was to determine the potential cost-effectiveness of adapting a private sector diabetes management programme (DMP) to the South African public sector. Methods. Cost-effectiveness analysis was undertaken with a public sector model of the DMP as the intervention and a usual practice model as the comparator. Probabilistic modelling was utilized for incremental cost-effectiveness ratio analysis with life years gained selected as the outcome. Secondary data were used to design the model while cost information was obtained from various sources, taking into account public sector billing. Results: Modelling found an incremental cost-effectiveness ratio (ICER) of ZAR 8 356 (USD 1018) per life year gained (LYG) for the DMP against the usual practice model. This fell substantially below the Willingness-to-Pay threshold with bootstrapping analysis. Furthermore, a national implementation of the intervention could potentially result in an estimated cumulative gain of 96 997 years of life (95% CI 71 073 years - 113 994 years). Conclusions: Probabilistic modelling found the capitation intervention to be cost-effective, with an ICER of ZAR 8 356 (USD 1018) per LYG. Piloting the service within the public sector is recommended as an initial step, as this would provide data for more accurate economic evaluation, and would also allow for qualitative analysis of the programme. © 2014 Volmink et al.; licensee BioMed Central Ltd.","author":[{"dropping-particle":"","family":"Volmink","given":"H C","non-dropping-particle":"","parse-names":false,"suffix":""},{"dropping-particle":"","family":"Bertram","given":"M Y","non-dropping-particle":"","parse-names":false,"suffix":""},{"dropping-particle":"","family":"Jina","given":"R","non-dropping-particle":"","parse-names":false,"suffix":""},{"dropping-particle":"","family":"Wade","given":"A N","non-dropping-particle":"","parse-names":false,"suffix":""},{"dropping-particle":"","family":"Hofman","given":"K J","non-dropping-particle":"","parse-names":false,"suffix":""}],"container-title":"BMC Health Services Research","id":"ITEM-1","issue":"1","issued":{"date-parts":[["2014"]]},"note":"Cited By :6\n\nExport Date: 19 April 2021","publisher-place":"Gauteng Department of Health, Chris Hani Baragwanath Academic Hospital, Johannesburg, South Africa","title":"Applying a private sector capitation model to the management of type 2 diabetes in the South African public sector: A cost-effectiveness analysis","type":"article-journal","volume":"14"},"uris":["http://www.mendeley.com/documents/?uuid=ac95e386-6cbe-4e71-8ba3-757496b98670"]}],"mendeley":{"formattedCitation":"&lt;sup&gt;10&lt;/sup&gt;","plainTextFormattedCitation":"10","previouslyFormattedCitation":"&lt;sup&gt;10&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10</w:t>
            </w:r>
            <w:r w:rsidR="00986BF6"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(2014)</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83C70A7"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Erzse</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{"citationItems":[{"id":"ITEM-1","itemData":{"DOI":"10.1080/16549716.2019.1636611","ISSN":"16549880","PMID":"31282315","abstract":"Background: Type 2 diabetes mellitus (T2DM) is known to require continuous clinical care and management that consumes significant health-care resources. These costs are not well understood, particularly in low- and middle-income countries. Objective: The aim of this study was to estimate the direct medical costs associated with T2DM in the South African public health sector and to project an estimate of the future direct costs of T2DM by 2030. Methods: A cost of illness study was conducted to estimate the direct medical costs of T2DM in South Africa in 2018 and to make projections for potential costs in 2030. Costs were estimated for diagnosis and management of T2DM, and related complications. Analyses were implemented in Microsoft Excel, with sensitivity analysis conducted on particular parameters. Results: In 2018, public sector costs of diagnosed T2DM patients were approximately ZAR 2.7 bn and ZAR 21.8 bn if both diagnosed and undiagnosed patients are considered. In real terms, the 2030 cost of all T2DM cases is estimated to be ZAR 35.1 bn. Approximately 51% of these estimated costs for 2030 are attributable to the management of T2DM, and 49% are attributable to complications. Conclusion: T2DM imposes a significant financial burden on the public healthcare system in South Africa. Treatment of all prevalent cases would incur a cost equivalent to approximately 12% of the total national health budget in 2018. With rising prevalence, direct costs will grow if current care regimes are maintained and case-finding improved. Increased financial resources are necessary in order to deliver effective services to people with T2DM.","author":[{"dropping-particle":"","family":"Erzse","given":"Agnes","non-dropping-particle":"","parse-names":false,"suffix":""},{"dropping-particle":"","family":"Stacey","given":"Nicholas","non-dropping-particle":"","parse-names":false,"suffix":""},{"dropping-particle":"","family":"Chola","given":"Lumbwe","non-dropping-particle":"","parse-names":false,"suffix":""},{"dropping-particle":"","family":"Tugendhaft","given":"Aviva","non-dropping-particle":"","parse-names":false,"suffix":""},{"dropping-particle":"","family":"Freeman","given":"Melvyn","non-dropping-particle":"","parse-names":false,"suffix":""},{"dropping-particle":"","family":"Hofman","given":"Karen","non-dropping-particle":"","parse-names":false,"suffix":""}],"container-title":"Global Health Action","id":"ITEM-1","issue":"1","issued":{"date-parts":[["2019"]]},"page":"1-9","title":"The direct medical cost of type 2 diabetes mellitus in South Africa: a cost of illness study","type":"article-journal","volume":"12"},"uris":["http://www.mendeley.com/documents/?uuid=c3d8c560-9c19-4b84-9be5-8bfe99d443ce"]}],"mendeley":{"formattedCitation":"&lt;sup&gt;11&lt;/sup&gt;","plainTextFormattedCitation":"11","previouslyFormattedCitation":"&lt;sup&gt;11&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11</w:t>
            </w:r>
            <w:r w:rsidR="00986BF6"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(2019)</w:t>
            </w:r>
          </w:p>
        </w:tc>
        <w:tc>
          <w:tcPr>
            <w:tcW w:w="391"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71BAA51C"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Ncube-Zulu</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{"citationItems":[{"id":"ITEM-1","itemData":{"DOI":"10.1007/s13410-013-0173-8","ISSN":"19983832","abstract":"The study compared the costs and length of hospitalization between patients with diabetes and patients without diabetes for a cross-section of patients (N = 407) discharged with cerebrovascular diseases, ophthalmic conditions, cardiovascular diseases, renal conditions, neurological diseases, and peripheral vascular diseases. A cross-sectional retrospective audit of medical records of all patients discharged from a Tertiary Hospital in Johannesburg with those conditions in December 2009 was conducted. Patients were grouped by ICD-10 codes from the hospital’s database. Medical records were analyzed to determine, the diabetes status of the patients, laboratory tests conducted, medical procedures performed, drugs prescribed, and frequency of hospitalization during the 2009 admission period. Average total hospitalization costs per patient were significantly higher for the patients with diabetes cohorts; R27,216 ± R19,476 compared to R18,185 ± R16,726 for the patients without diabetes, (P &lt; 0.00001). The average length of stay for patients with diabetes was longer, 13.04 ± 9.29 days vs. 8.86 ± 8.33 days (P &lt; 0.00001) than for patients without diabetes. Average admission rate per patient per year in 2009 was higher in the patients with diabetes; 1.8 ± 0.8 times vs. 1.5 ± 0.6 times than in patients without diabetes, (P &lt; 0.00004). Results should be used to advocate for improved diabetes prevention awareness, improved patient understanding of the reasons for strict diabetes control measures, and keen attendance in out-patient clinics to avoid unnecessary hospitalization costs.","author":[{"dropping-particle":"","family":"Ncube-Zulu","given":"Tryphine","non-dropping-particle":"","parse-names":false,"suffix":""},{"dropping-particle":"","family":"Danckwerts","given":"Michael P.","non-dropping-particle":"","parse-names":false,"suffix":""}],"container-title":"International Journal of Diabetes in Developing Countries","id":"ITEM-1","issue":"3","issued":{"date-parts":[["2014"]]},"page":"156-162","title":"Comparative hospitalization cost and length of stay between patients with and without diabetes in a large tertiary hospital in Johannesburg, South Africa","type":"article-journal","volume":"34"},"uris":["http://www.mendeley.com/documents/?uuid=0e1d91a5-0d33-4ee3-b0aa-1f75c4071e52"]}],"mendeley":{"formattedCitation":"&lt;sup&gt;12&lt;/sup&gt;","plainTextFormattedCitation":"12","previouslyFormattedCitation":"&lt;sup&gt;12&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12</w:t>
            </w:r>
            <w:r w:rsidR="00986BF6"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(2014)</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05D1956"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Joannou</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{"citationItems":[{"id":"ITEM-1","itemData":{"DOI":"10.1046/j.1365-2796.1996.413755000.x","ISSN":"09546820","PMID":"8551199","abstract":"Objectives. Comparison of 60° mydriatic retinal photography, in screening for diabetic retinopathy, with diabetes clinic doctors, formal ophthalmological assessment, and with one or two 45° fields. Design. Consecutive subjects screened by clinicians and photography, and selected eyes evaluated by an ophthalmologist. Randomized photographs assessed through one or two 45° fields (by masking the slides), and at 60°. Setting. The first 663 patients attending for routine clinic visits and screened for retinopathy. Main outcome measures. The relative diagnostic sensitivity of screening methods, the utility of screening one eye only, and the costs of photographic screening. Results. Compared to an ophthalmologist's assessment, retinal photography had a sensitivity of 93% and a specificity of 89% for any retinopathy, and 100 and 75%, respectively, for severe retinopathy. Photography detected 28% more retinopathy (16% severe) than the clinicians. Compared to a 60° field, one 45° field missed 31%, and 2 x 45° fields 11% of retinopathy. Of 57 patients with retinopathy meeting referral criteria, 31 pairs of eyes had substantially discordant scores. The cost of diagnosis in a patient requiring referral to ophthalmologist was about US$ 37.00. Conclusions. 60° retinal photography compares well with an ophthalmologists screening, and is better than clinical and one to two 45° field assessments. Both retinae should be screened. This method is cost-effective in our hands.","author":[{"dropping-particle":"","family":"Joannou","given":"J.","non-dropping-particle":"","parse-names":false,"suffix":""},{"dropping-particle":"","family":"Kalk","given":"W. J.","non-dropping-particle":"","parse-names":false,"suffix":""},{"dropping-particle":"","family":"Mahomed","given":"I.","non-dropping-particle":"","parse-names":false,"suffix":""},{"dropping-particle":"","family":"Ntsepo","given":"S.","non-dropping-particle":"","parse-names":false,"suffix":""},{"dropping-particle":"","family":"Berzin","given":"M.","non-dropping-particle":"","parse-names":false,"suffix":""},{"dropping-particle":"","family":"Joffe","given":"B. I.","non-dropping-particle":"","parse-names":false,"suffix":""},{"dropping-particle":"","family":"Raal","given":"F. J.","non-dropping-particle":"","parse-names":false,"suffix":""},{"dropping-particle":"","family":"Sachs","given":"E.","non-dropping-particle":"","parse-names":false,"suffix":""},{"dropping-particle":"","family":"Merwe","given":"M. T.","non-dropping-particle":"Van Der","parse-names":false,"suffix":""},{"dropping-particle":"","family":"Wing","given":"J. R.","non-dropping-particle":"","parse-names":false,"suffix":""}],"container-title":"Journal of Internal Medicine","id":"ITEM-1","issue":"1","issued":{"date-parts":[["1996"]]},"page":"43-47","title":"Screening for diabetic retinopathy in South Africa with 60° retinal colour photography","type":"article-journal","volume":"239"},"uris":["http://www.mendeley.com/documents/?uuid=a28261d2-7bde-4f59-9038-293409eaeb88"]}],"mendeley":{"formattedCitation":"&lt;sup&gt;13&lt;/sup&gt;","plainTextFormattedCitation":"13","previouslyFormattedCitation":"&lt;sup&gt;13&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13</w:t>
            </w:r>
            <w:r w:rsidR="00986BF6"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(1996)</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EA1BCF4"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Khan</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{"citationItems":[{"id":"ITEM-1","itemData":{"DOI":"10.1016/j.diabres.2013.05.006","abstract":"Background: South Africa like many other developing countries is experiencing an epidemiologic transition with a marked increase in the non-communicable disease (NCD) burden. Diabetic retinopathy is the most common cause of incidental blindness in adults. A screening programme using a mobile fundal camera in a primary care setting has been shown to be effective in the country. Information on affordability and cost is essential for policymakers to consider its adoption. Methods: Economic evaluation is the comparative analysis of competing alternative interventions in terms of costs and consequences. A cost effectiveness analysis was done using actual costs from the primary care screening programme. Results: A total of 14,541 patients were screened in three primary healthcare facilities in the Western Cape. Photographs were taken by a trained technician with supervision by an ophthalmic nurse. The photographs were then read by a medical officer with ophthalmic experience. A cost effective ratio of $1206 per blindness case averted was obtained. This included costs for screening and treating an individual. The cost just to screen a patient for retinopathy was $22. The costs of screening and treating all incident cases of blindness due to diabetes in South Africa would be 168,000,000 ZAR ($19,310,344) per annum. Conclusion: Non mydriatic digital fundoscopy is a cost effective measure in the screening and diagnosis of diabetic retinopathy in a primary care setting in South Africa. The major savings in the long term are a result of avoiding government disability grant for people who suffer loss of vision. © 2013 Elsevier Ireland Ltd.","author":[{"dropping-particle":"","family":"Khan","given":"T","non-dropping-particle":"","parse-names":false,"suffix":""},{"dropping-particle":"","family":"Bertram","given":"M Y","non-dropping-particle":"","parse-names":false,"suffix":""},{"dropping-particle":"","family":"Jina","given":"R","non-dropping-particle":"","parse-names":false,"suffix":""},{"dropping-particle":"","family":"Mash","given":"B","non-dropping-particle":"","parse-names":false,"suffix":""},{"dropping-particle":"","family":"Levitt","given":"N","non-dropping-particle":"","parse-names":false,"suffix":""},{"dropping-particle":"","family":"Hofman","given":"K","non-dropping-particle":"","parse-names":false,"suffix":""}],"container-title":"Diabetes Research and Clinical Practice","id":"ITEM-1","issue":"2","issued":{"date-parts":[["2013"]]},"note":"Cited By :43\n\nExport Date: 18 April 2021","page":"170-176","publisher-place":"Gauteng Health Department, Charlotte Maxeke Academic Hospital, Johannesburg, South Africa","title":"Preventing diabetes blindness: Cost effectiveness of a screening programme using digital non-mydriatic fundus photography for diabetic retinopathy in a primary health care setting in South Africa","type":"article-journal","volume":"101"},"uris":["http://www.mendeley.com/documents/?uuid=e4847daf-8c9d-461f-b3aa-5549a5fe1c45"]}],"mendeley":{"formattedCitation":"&lt;sup&gt;14&lt;/sup&gt;","plainTextFormattedCitation":"14","previouslyFormattedCitation":"&lt;sup&gt;14&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14</w:t>
            </w:r>
            <w:r w:rsidR="00986BF6"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(2013)</w:t>
            </w:r>
          </w:p>
        </w:tc>
        <w:tc>
          <w:tcPr>
            <w:tcW w:w="391"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0DDAA5C6"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Pepper</w:t>
            </w:r>
            <w:r w:rsidR="00986BF6" w:rsidRPr="00FA697F">
              <w:rPr>
                <w:rFonts w:ascii="Times New Roman" w:eastAsia="Times New Roman" w:hAnsi="Times New Roman" w:cs="Times New Roman"/>
                <w:color w:val="000000"/>
                <w:sz w:val="16"/>
                <w:szCs w:val="16"/>
                <w:lang w:eastAsia="en-GB"/>
              </w:rPr>
              <w:fldChar w:fldCharType="begin" w:fldLock="1"/>
            </w:r>
            <w:r w:rsidR="00986BF6" w:rsidRPr="00FA697F">
              <w:rPr>
                <w:rFonts w:ascii="Times New Roman" w:eastAsia="Times New Roman" w:hAnsi="Times New Roman" w:cs="Times New Roman"/>
                <w:color w:val="000000"/>
                <w:sz w:val="16"/>
                <w:szCs w:val="16"/>
                <w:lang w:eastAsia="en-GB"/>
              </w:rPr>
              <w:instrText>ADDIN CSL_CITATION {"citationItems":[{"id":"ITEM-1","itemData":{"DOI":"10.1080/22201009.2007.10872157","ISSN":"02569574","PMID":"18000580","abstract":"Background and objectives. Diabetes affects approximately 1 million South Africans. Hospital admissions, the largest single item of diabetes expenditure, are often precipitated by hyperglycaemic emergencies. A recent survey of a 200-bed hospital, serving approximately 1.3 million Cape Town residents, showed that hyperglycaemic emergencies comprised 25.6% of high-care unit admissions. A study was undertaken to determine the reasons for, and financial cost of, these admissions. Methods. All hyperglycaemic admissions during a 2-month period (1 September - 31 October 2005) were surveyed prospectively. Admissions were classified using the American Diabetes Association classification of hyperglycaemic emergencies. Demographic data, and the reason for, duration of and primary outcome of admission, were recorded. The following costs per admission were calculated using public- sector pricing: (i) total costs; (ii) patient-specific costs; (iii) non-patient-specific costs; and (iv) capital costs. Results. Sepsis (36%), non-compliance with therapy (32%) and a new diagnosis of diabetes (11%) were the predominant reasons for admission of 53 hyperglycaemic emergency cases. Mean duration of hospital stay was 4 days, with an in-hospital mortality of 7.5%. Mean cost per admission was R5 309. Clinical staff (25.8%), capital (25.6%) and overhead (34%) costs comprised 85.4% of expenditure. Discussion and recommendations. Hyperglycaemic admissions, costing more than R5 300 per patient, represent a health burden that has remained unchanged over the past 20 years. Urgently required primary care preventive strategies include early diagnosis of diabetes, timely identification and treatment of precipitating causes, specifically sepsis, and education to improve compliance.","author":[{"dropping-particle":"","family":"Pepper","given":"Dominique J.","non-dropping-particle":"","parse-names":false,"suffix":""},{"dropping-particle":"","family":"Levitt","given":"N. S.","non-dropping-particle":"","parse-names":false,"suffix":""},{"dropping-particle":"","family":"Cleary","given":"S.","non-dropping-particle":"","parse-names":false,"suffix":""},{"dropping-particle":"","family":"Burch","given":"V. C.","non-dropping-particle":"","parse-names":false,"suffix":""}],"container-title":"South African Medical Journal","id":"ITEM-1","issue":"10 I","issued":{"date-parts":[["2007"]]},"page":"963-967","title":"Hyperglycaemic emergency admissions to a secondary-level hospital - An unnecessary financial burden","type":"article-journal","volume":"97"},"uris":["http://www.mendeley.com/documents/?uuid=8382e4e6-063d-4238-8176-0c300a7a0ba7"]}],"mendeley":{"formattedCitation":"&lt;sup&gt;15&lt;/sup&gt;","plainTextFormattedCitation":"15","previouslyFormattedCitation":"&lt;sup&gt;15&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15</w:t>
            </w:r>
            <w:r w:rsidR="00986BF6"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(2007)</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8165B33"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Wessels</w:t>
            </w:r>
            <w:r w:rsidR="00986BF6" w:rsidRPr="00FA697F">
              <w:rPr>
                <w:rFonts w:ascii="Times New Roman" w:eastAsia="Times New Roman" w:hAnsi="Times New Roman" w:cs="Times New Roman"/>
                <w:color w:val="000000"/>
                <w:sz w:val="16"/>
                <w:szCs w:val="16"/>
                <w:lang w:eastAsia="en-GB"/>
              </w:rPr>
              <w:fldChar w:fldCharType="begin" w:fldLock="1"/>
            </w:r>
            <w:r w:rsidR="0040415A" w:rsidRPr="00FA697F">
              <w:rPr>
                <w:rFonts w:ascii="Times New Roman" w:eastAsia="Times New Roman" w:hAnsi="Times New Roman" w:cs="Times New Roman"/>
                <w:color w:val="000000"/>
                <w:sz w:val="16"/>
                <w:szCs w:val="16"/>
                <w:lang w:eastAsia="en-GB"/>
              </w:rPr>
              <w:instrText>ADDIN CSL_CITATION {"citationItems":[{"id":"ITEM-1","itemData":{"DOI":"10.5830/CVJA-2010-001","ISSN":"19951892","abstract":"Introduction: This project was based on the FIELD trial.1 It is a localisation of the study by Carrington and Stewart.2 The aim of the original study was to determine the impact of fenofibrate therapy on healthcare costs of middle-aged patients with type 2 diabetes at high risk of future cardiovascular events. Methods: The methodology used in the Carrington article2 was adopted for this study. The clinical foundation for the analysis was derived from the findings of the FIELD study.1 All costs were sourced from electronic databases obtained from private-sector South African funders of healthcare. Event costs for the cardiovascular events were determined and added to the treatment costs for the individual treatment arms. The cost saving was determined as the difference between the event costs saved and the additional treatment costs associated with fenofibrate treatment. All costs were reported as 2008 ZAR and a discount rate of 10% was used. The study adopted a South African private-sector funder perspective. Results: If the same approach is followed as in the Carrington and Stewart study,2 a cost saving of 18% results. This is the difference between the total costs associated with the placebo and fenofibrate arms, respectively (R3 480 471 compared to R2 858 598 per 1 000 patient years for the placebo and fenofibrate arms, respectively). The total costs were determined as the sum of associated event costs and treatment costs for each of the comparators. Conclusions: Based on this exploratory analysis, it seems that Lipanthyl® treatment in middle-aged patients resulted in a cost saving due to the prevention of cardiovascular events when it was used in the treatment of type 2 diabetics, as in the FIELD study. It should therefore be considered to be cost effective, even when just the cardiovascular risk reduction effect is considered.","author":[{"dropping-particle":"","family":"Wessels","given":"Francois","non-dropping-particle":"","parse-names":false,"suffix":""}],"container-title":"Cardiovascular Journal of Africa","id":"ITEM-1","issue":"1","issued":{"date-parts":[["2010"]]},"page":"43-46","title":"Is fenofibrate a cost-saving treatment for middle-aged individuals with type 2 diabetes? A South African private-sector perspective","type":"article-journal","volume":"21"},"uris":["http://www.mendeley.com/documents/?uuid=a65f1554-b1c5-4281-839b-d4e1bab9b2ab"]}],"mendeley":{"formattedCitation":"&lt;sup&gt;16&lt;/sup&gt;","plainTextFormattedCitation":"16","previouslyFormattedCitation":"&lt;sup&gt;16&lt;/sup&gt;"},"properties":{"noteIndex":0},"schema":"https://github.com/citation-style-language/schema/raw/master/csl-citation.json"}</w:instrText>
            </w:r>
            <w:r w:rsidR="00986BF6" w:rsidRPr="00FA697F">
              <w:rPr>
                <w:rFonts w:ascii="Times New Roman" w:eastAsia="Times New Roman" w:hAnsi="Times New Roman" w:cs="Times New Roman"/>
                <w:color w:val="000000"/>
                <w:sz w:val="16"/>
                <w:szCs w:val="16"/>
                <w:lang w:eastAsia="en-GB"/>
              </w:rPr>
              <w:fldChar w:fldCharType="separate"/>
            </w:r>
            <w:r w:rsidR="00986BF6" w:rsidRPr="00FA697F">
              <w:rPr>
                <w:rFonts w:ascii="Times New Roman" w:eastAsia="Times New Roman" w:hAnsi="Times New Roman" w:cs="Times New Roman"/>
                <w:noProof/>
                <w:color w:val="000000"/>
                <w:sz w:val="16"/>
                <w:szCs w:val="16"/>
                <w:vertAlign w:val="superscript"/>
                <w:lang w:eastAsia="en-GB"/>
              </w:rPr>
              <w:t>16</w:t>
            </w:r>
            <w:r w:rsidR="00986BF6"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(2010)</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CB564D5"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Gaziano</w:t>
            </w:r>
            <w:r w:rsidR="0040415A" w:rsidRPr="00FA697F">
              <w:rPr>
                <w:rFonts w:ascii="Times New Roman" w:eastAsia="Times New Roman" w:hAnsi="Times New Roman" w:cs="Times New Roman"/>
                <w:color w:val="000000"/>
                <w:sz w:val="16"/>
                <w:szCs w:val="16"/>
                <w:lang w:eastAsia="en-GB"/>
              </w:rPr>
              <w:fldChar w:fldCharType="begin" w:fldLock="1"/>
            </w:r>
            <w:r w:rsidR="0040415A" w:rsidRPr="00FA697F">
              <w:rPr>
                <w:rFonts w:ascii="Times New Roman" w:eastAsia="Times New Roman" w:hAnsi="Times New Roman" w:cs="Times New Roman"/>
                <w:color w:val="000000"/>
                <w:sz w:val="16"/>
                <w:szCs w:val="16"/>
                <w:lang w:eastAsia="en-GB"/>
              </w:rPr>
              <w:instrText>ADDIN CSL_CITATION {"citationItems":[{"id":"ITEM-1","itemData":{"DOI":"10.1377/hlthaff.2015.0351","ISSN":"15445208","PMID":"26355061","abstract":"South Africa's rates of statin use are among the world's lowest, despite statins' demonstrated effectiveness for people with a high blood cholesterol level or history of cardiovascular disease. Almost 5 percent of the country's total mortality has been attributed to high cholesterol levels, fueled in part by low levels of statin adherence. Drawing upon experience elsewhere, we used a microsimulation model of cardiovascular disease to investigate the health and economic impacts of increasing prescription length from the standard thirty days to either sixty or ninety days, for South African adults on a stable statin regimen. Increasing prescription length to sixty or ninety days could save 1,694 or 2,553 lives per million adults, respectively. In addition, annual per patient costs related to cardiovascular disease would decrease by $152.41 and $210.29, respectively. Savings would largely accrue to patients in the form of time savings and reduced transportation costs, as a result of less frequent trips to the pharmacy. Increasing statin prescription length would both save resources and improve health outcomes in South Africa.","author":[{"dropping-particle":"","family":"Gaziano","given":"Thomas","non-dropping-particle":"","parse-names":false,"suffix":""},{"dropping-particle":"","family":"Cho","given":"Sylvia","non-dropping-particle":"","parse-names":false,"suffix":""},{"dropping-particle":"","family":"Sy","given":"Stephen","non-dropping-particle":"","parse-names":false,"suffix":""},{"dropping-particle":"","family":"Pandya","given":"Ankur","non-dropping-particle":"","parse-names":false,"suffix":""},{"dropping-particle":"","family":"Levitt","given":"Naomi S.","non-dropping-particle":"","parse-names":false,"suffix":""},{"dropping-particle":"","family":"Steyn","given":"Krisela","non-dropping-particle":"","parse-names":false,"suffix":""}],"container-title":"Health Affairs","id":"ITEM-1","issue":"9","issued":{"date-parts":[["2015"]]},"page":"1578-1585","title":"Increasing prescription length could cut cardiovascular disease burden and produce savings in south africa","type":"article-journal","volume":"34"},"uris":["http://www.mendeley.com/documents/?uuid=34db10da-0f1f-4a11-80c3-e0b878729d34"]}],"mendeley":{"formattedCitation":"&lt;sup&gt;17&lt;/sup&gt;","plainTextFormattedCitation":"17","previouslyFormattedCitation":"&lt;sup&gt;17&lt;/sup&gt;"},"properties":{"noteIndex":0},"schema":"https://github.com/citation-style-language/schema/raw/master/csl-citation.json"}</w:instrText>
            </w:r>
            <w:r w:rsidR="0040415A" w:rsidRPr="00FA697F">
              <w:rPr>
                <w:rFonts w:ascii="Times New Roman" w:eastAsia="Times New Roman" w:hAnsi="Times New Roman" w:cs="Times New Roman"/>
                <w:color w:val="000000"/>
                <w:sz w:val="16"/>
                <w:szCs w:val="16"/>
                <w:lang w:eastAsia="en-GB"/>
              </w:rPr>
              <w:fldChar w:fldCharType="separate"/>
            </w:r>
            <w:r w:rsidR="0040415A" w:rsidRPr="00FA697F">
              <w:rPr>
                <w:rFonts w:ascii="Times New Roman" w:eastAsia="Times New Roman" w:hAnsi="Times New Roman" w:cs="Times New Roman"/>
                <w:noProof/>
                <w:color w:val="000000"/>
                <w:sz w:val="16"/>
                <w:szCs w:val="16"/>
                <w:vertAlign w:val="superscript"/>
                <w:lang w:eastAsia="en-GB"/>
              </w:rPr>
              <w:t>17</w:t>
            </w:r>
            <w:r w:rsidR="0040415A"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(2015b)</w:t>
            </w:r>
          </w:p>
        </w:tc>
        <w:tc>
          <w:tcPr>
            <w:tcW w:w="391"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45EA06C9"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Golovaty</w:t>
            </w:r>
            <w:r w:rsidR="0040415A" w:rsidRPr="00FA697F">
              <w:rPr>
                <w:rFonts w:ascii="Times New Roman" w:eastAsia="Times New Roman" w:hAnsi="Times New Roman" w:cs="Times New Roman"/>
                <w:color w:val="000000"/>
                <w:sz w:val="16"/>
                <w:szCs w:val="16"/>
                <w:lang w:eastAsia="en-GB"/>
              </w:rPr>
              <w:fldChar w:fldCharType="begin" w:fldLock="1"/>
            </w:r>
            <w:r w:rsidR="0040415A" w:rsidRPr="00FA697F">
              <w:rPr>
                <w:rFonts w:ascii="Times New Roman" w:eastAsia="Times New Roman" w:hAnsi="Times New Roman" w:cs="Times New Roman"/>
                <w:color w:val="000000"/>
                <w:sz w:val="16"/>
                <w:szCs w:val="16"/>
                <w:lang w:eastAsia="en-GB"/>
              </w:rPr>
              <w:instrText>ADDIN CSL_CITATION {"citationItems":[{"id":"ITEM-1","itemData":{"DOI":"10.1097/QAI.0000000000001713","ISBN":"0000000000","ISSN":"10779450","PMID":"29771779","abstract":"Introduction: Integrated HIV-noncommunicable disease (NCD) services have the potential to avert death and disability but require data on program costs to assess the impact of integrated services on affordability. Methods: We estimated the incremental costs of NCD screening as part of home-based HIV testing and counseling (HTC) and referral to care in KwaZulu-Natal, South Africa. All adults in the households were offered integrated HIV-NCD screening (for HIV, diabetes, hypertension, hypercholesterolemia, obesity, depression, tobacco, and alcohol use), counseling, and linkage to care. We conducted comprehensive program microcosting including ingredient-based and activity-based costing, staff interviews, and time assessment studies. Sensitivity analyses varied cost inputs and screening efficiency. Results: Integrating all-inclusive NCD screening as part of home-based HTC in a high HIV prevalence setting increased program costs by $3.95 (42%) per person screened (from $9.36 to $13.31 per person). Integrated NCD screening, excluding point-of-care cholesterol testing, increased program costs by $2.24 (24%). Furthermore, NCD screening integrated into HTC services reduced the number of persons tested by 15%-20% per day. Conclusions: Integrated HIV-NCD screening has the potential to efficiently use resources compared with stand-alone services. Although all-inclusive NCD screening could increase the incremental cost per person screened for integrated HIV-NCD services over 40%, a less costly lipid assay or targeted screening would result in a modest increase in costs with the potential to avert NCD death and disability. Our analysis highlights the need for implementation science studies to estimate the cost-effectiveness of integrated HIV-NCD screening and linkage per disability-adjusted life year and death averted.","author":[{"dropping-particle":"","family":"Golovaty","given":"Ilya","non-dropping-particle":"","parse-names":false,"suffix":""},{"dropping-particle":"","family":"Sharma","given":"Monisha","non-dropping-particle":"","parse-names":false,"suffix":""},{"dropping-particle":"","family":"Heerden","given":"Alastair","non-dropping-particle":"Van","parse-names":false,"suffix":""},{"dropping-particle":"","family":"Rooyen","given":"Heidi","non-dropping-particle":"Van","parse-names":false,"suffix":""},{"dropping-particle":"","family":"Baeten","given":"Jared M.","non-dropping-particle":"","parse-names":false,"suffix":""},{"dropping-particle":"","family":"Celum","given":"Connie","non-dropping-particle":"","parse-names":false,"suffix":""},{"dropping-particle":"V.","family":"Barnabas","given":"Ruanne","non-dropping-particle":"","parse-names":false,"suffix":""}],"container-title":"Journal of Acquired Immune Deficiency Syndromes","id":"ITEM-1","issue":"5","issued":{"date-parts":[["2018"]]},"page":"522-526","title":"Cost of integrating noncommunicable disease screening into home-based HIV testing and counseling in South Africa","type":"article-journal","volume":"78"},"uris":["http://www.mendeley.com/documents/?uuid=b3dfde91-d6cb-4356-880e-8721341e12b7"]}],"mendeley":{"formattedCitation":"&lt;sup&gt;18&lt;/sup&gt;","plainTextFormattedCitation":"18","previouslyFormattedCitation":"&lt;sup&gt;18&lt;/sup&gt;"},"properties":{"noteIndex":0},"schema":"https://github.com/citation-style-language/schema/raw/master/csl-citation.json"}</w:instrText>
            </w:r>
            <w:r w:rsidR="0040415A" w:rsidRPr="00FA697F">
              <w:rPr>
                <w:rFonts w:ascii="Times New Roman" w:eastAsia="Times New Roman" w:hAnsi="Times New Roman" w:cs="Times New Roman"/>
                <w:color w:val="000000"/>
                <w:sz w:val="16"/>
                <w:szCs w:val="16"/>
                <w:lang w:eastAsia="en-GB"/>
              </w:rPr>
              <w:fldChar w:fldCharType="separate"/>
            </w:r>
            <w:r w:rsidR="0040415A" w:rsidRPr="00FA697F">
              <w:rPr>
                <w:rFonts w:ascii="Times New Roman" w:eastAsia="Times New Roman" w:hAnsi="Times New Roman" w:cs="Times New Roman"/>
                <w:noProof/>
                <w:color w:val="000000"/>
                <w:sz w:val="16"/>
                <w:szCs w:val="16"/>
                <w:vertAlign w:val="superscript"/>
                <w:lang w:eastAsia="en-GB"/>
              </w:rPr>
              <w:t>18</w:t>
            </w:r>
            <w:r w:rsidR="0040415A"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(2018)</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3E132AD5"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Laas</w:t>
            </w:r>
            <w:r w:rsidR="0040415A" w:rsidRPr="00FA697F">
              <w:rPr>
                <w:rFonts w:ascii="Times New Roman" w:eastAsia="Times New Roman" w:hAnsi="Times New Roman" w:cs="Times New Roman"/>
                <w:color w:val="000000"/>
                <w:sz w:val="16"/>
                <w:szCs w:val="16"/>
                <w:lang w:eastAsia="en-GB"/>
              </w:rPr>
              <w:fldChar w:fldCharType="begin" w:fldLock="1"/>
            </w:r>
            <w:r w:rsidR="0040415A" w:rsidRPr="00FA697F">
              <w:rPr>
                <w:rFonts w:ascii="Times New Roman" w:eastAsia="Times New Roman" w:hAnsi="Times New Roman" w:cs="Times New Roman"/>
                <w:color w:val="000000"/>
                <w:sz w:val="16"/>
                <w:szCs w:val="16"/>
                <w:lang w:eastAsia="en-GB"/>
              </w:rPr>
              <w:instrText>ADDIN CSL_CITATION {"citationItems":[{"id":"ITEM-1","itemData":{"DOI":"10.7196/SAMJ.2018.v108i12.13256","author":[{"dropping-particle":"","family":"Laäs","given":"D J","non-dropping-particle":"","parse-names":false,"suffix":""},{"dropping-particle":"","family":"Naidoo","given":"M","non-dropping-particle":"","parse-names":false,"suffix":""}],"container-title":"South African Medical Journal","id":"ITEM-1","issue":"12","issued":{"date-parts":[["2018"]]},"note":"Cited By :4\n\nExport Date: 11 August 2021","page":"1046-1050","title":"An evaluation of warfarin use at an urban district-level hospital in Kwazulu-natal Province, South Africa","type":"article-journal","volume":"108"},"uris":["http://www.mendeley.com/documents/?uuid=e6cf25dd-8477-4c35-bcb8-5cddd68b8863"]}],"mendeley":{"formattedCitation":"&lt;sup&gt;19&lt;/sup&gt;","plainTextFormattedCitation":"19","previouslyFormattedCitation":"&lt;sup&gt;19&lt;/sup&gt;"},"properties":{"noteIndex":0},"schema":"https://github.com/citation-style-language/schema/raw/master/csl-citation.json"}</w:instrText>
            </w:r>
            <w:r w:rsidR="0040415A" w:rsidRPr="00FA697F">
              <w:rPr>
                <w:rFonts w:ascii="Times New Roman" w:eastAsia="Times New Roman" w:hAnsi="Times New Roman" w:cs="Times New Roman"/>
                <w:color w:val="000000"/>
                <w:sz w:val="16"/>
                <w:szCs w:val="16"/>
                <w:lang w:eastAsia="en-GB"/>
              </w:rPr>
              <w:fldChar w:fldCharType="separate"/>
            </w:r>
            <w:r w:rsidR="0040415A" w:rsidRPr="00FA697F">
              <w:rPr>
                <w:rFonts w:ascii="Times New Roman" w:eastAsia="Times New Roman" w:hAnsi="Times New Roman" w:cs="Times New Roman"/>
                <w:noProof/>
                <w:color w:val="000000"/>
                <w:sz w:val="16"/>
                <w:szCs w:val="16"/>
                <w:vertAlign w:val="superscript"/>
                <w:lang w:eastAsia="en-GB"/>
              </w:rPr>
              <w:t>19</w:t>
            </w:r>
            <w:r w:rsidR="0040415A"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(2018)</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005EF0BE"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Lin</w:t>
            </w:r>
            <w:r w:rsidR="0040415A" w:rsidRPr="00FA697F">
              <w:rPr>
                <w:rFonts w:ascii="Times New Roman" w:eastAsia="Times New Roman" w:hAnsi="Times New Roman" w:cs="Times New Roman"/>
                <w:color w:val="000000"/>
                <w:sz w:val="16"/>
                <w:szCs w:val="16"/>
                <w:lang w:eastAsia="en-GB"/>
              </w:rPr>
              <w:fldChar w:fldCharType="begin" w:fldLock="1"/>
            </w:r>
            <w:r w:rsidR="0040415A" w:rsidRPr="00FA697F">
              <w:rPr>
                <w:rFonts w:ascii="Times New Roman" w:eastAsia="Times New Roman" w:hAnsi="Times New Roman" w:cs="Times New Roman"/>
                <w:color w:val="000000"/>
                <w:sz w:val="16"/>
                <w:szCs w:val="16"/>
                <w:lang w:eastAsia="en-GB"/>
              </w:rPr>
              <w:instrText>ADDIN CSL_CITATION {"citationItems":[{"id":"ITEM-1","itemData":{"DOI":"10.1016/S2214-109X(19)30339-0","ISSN":"2214109X","PMID":"31477544","abstract":"Background: Fewer than 25% of patients with atherosclerotic cardiovascular disease in countries of low and middle income (LMICs) use guideline-directed drugs for secondary prevention. A fixed-dose combination polypill might improve cardiovascular outcomes by increasing prescription rates and adherence, but the cost-effectiveness of this approach is uncertain. Methods: We developed microsimulation models to assess the cost-effectiveness of a polypill containing aspirin, lisinopril, atenolol, and simvastatin for secondary prevention of atherosclerotic cardiovascular disease compared with current care in China, India, Mexico, Nigeria, and South Africa. We modelled baseline use of secondary prevention drugs on the Prospective Urban Rural Epidemiological study. In the intervention arm, we assumed that patients currently prescribed any prevention drug for atherosclerotic cardiovascular disease would receive the polypill instead, which would improve adherence by 32% (from a meta-analysis of two randomised trials in LMICs). We assessed the cost-effectiveness of the polypill at prices in the public sector and on the retail market. Key outcomes were major adverse cardiovascular events (cardiovascular death, non-fatal myocardial infarction, or non-fatal stroke) over a 5-year period and the incremental cost-effectiveness ratio (ICER) from the perspective of the health-care sector and a lifetime analytical horizon. We assumed a cost-effectiveness threshold equal to each country's per capita gross domestic product (GDP) per disability-adjusted life-year (DALY) averted. In sensitivity analyses, we examined the population health effect achievable by increasing the uptake of the polypill in the eligible population. Findings: Among adults aged 30–84 years with established atherosclerotic cardiovascular disease, adoption of the polypill for secondary prevention compared with current care was projected to avert 40–54 major adverse cardiovascular events for every 1000 patients treated for 5 years and produce between three and ten additional serious adverse events. Assuming public-sector pharmaceutical prices, the ICER of the polypill compared with current care over a lifetime analytical horizon was Int$168 (95% UI 55 to 337) per DALY averted in China, $154 (57 to 289) in India, $88 (15 to 193) in Mexico, $364 (147 to 692) in Nigeria, and $64 (cost-saving to 203) in South Africa, amounting to 0·4–6·2% of the per capita GDP in these countries. The ICER of the polypill compare…","author":[{"dropping-particle":"","family":"Lin","given":"John K.","non-dropping-particle":"","parse-names":false,"suffix":""},{"dropping-particle":"","family":"Moran","given":"Andrew E.","non-dropping-particle":"","parse-names":false,"suffix":""},{"dropping-particle":"","family":"Bibbins-Domingo","given":"Kirsten","non-dropping-particle":"","parse-names":false,"suffix":""},{"dropping-particle":"","family":"Falase","given":"Bode","non-dropping-particle":"","parse-names":false,"suffix":""},{"dropping-particle":"","family":"Pedroza Tobias","given":"Andrea","non-dropping-particle":"","parse-names":false,"suffix":""},{"dropping-particle":"","family":"Mandke","given":"Charuta N.","non-dropping-particle":"","parse-names":false,"suffix":""},{"dropping-particle":"","family":"Kazi","given":"Dhruv S.","non-dropping-particle":"","parse-names":false,"suffix":""}],"container-title":"The Lancet Global Health","id":"ITEM-1","issue":"10","issued":{"date-parts":[["2019"]]},"page":"e1346-e1358","publisher":"The Author(s). Published by Elsevier Ltd. This is an Open Access article under the CC BY 4.0 license","title":"Cost-effectiveness of a fixed-dose combination pill for secondary prevention of cardiovascular disease in China, India, Mexico, Nigeria, and South Africa: a modelling study","type":"article-journal","volume":"7"},"uris":["http://www.mendeley.com/documents/?uuid=584247ec-47f8-4f79-8dff-341667f00853"]}],"mendeley":{"formattedCitation":"&lt;sup&gt;20&lt;/sup&gt;","plainTextFormattedCitation":"20","previouslyFormattedCitation":"&lt;sup&gt;20&lt;/sup&gt;"},"properties":{"noteIndex":0},"schema":"https://github.com/citation-style-language/schema/raw/master/csl-citation.json"}</w:instrText>
            </w:r>
            <w:r w:rsidR="0040415A" w:rsidRPr="00FA697F">
              <w:rPr>
                <w:rFonts w:ascii="Times New Roman" w:eastAsia="Times New Roman" w:hAnsi="Times New Roman" w:cs="Times New Roman"/>
                <w:color w:val="000000"/>
                <w:sz w:val="16"/>
                <w:szCs w:val="16"/>
                <w:lang w:eastAsia="en-GB"/>
              </w:rPr>
              <w:fldChar w:fldCharType="separate"/>
            </w:r>
            <w:r w:rsidR="0040415A" w:rsidRPr="00FA697F">
              <w:rPr>
                <w:rFonts w:ascii="Times New Roman" w:eastAsia="Times New Roman" w:hAnsi="Times New Roman" w:cs="Times New Roman"/>
                <w:noProof/>
                <w:color w:val="000000"/>
                <w:sz w:val="16"/>
                <w:szCs w:val="16"/>
                <w:vertAlign w:val="superscript"/>
                <w:lang w:eastAsia="en-GB"/>
              </w:rPr>
              <w:t>20</w:t>
            </w:r>
            <w:r w:rsidR="0040415A"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(2019)</w:t>
            </w:r>
          </w:p>
        </w:tc>
        <w:tc>
          <w:tcPr>
            <w:tcW w:w="391"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554667D0"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Wessels</w:t>
            </w:r>
            <w:r w:rsidR="0040415A" w:rsidRPr="00FA697F">
              <w:rPr>
                <w:rFonts w:ascii="Times New Roman" w:eastAsia="Times New Roman" w:hAnsi="Times New Roman" w:cs="Times New Roman"/>
                <w:color w:val="000000"/>
                <w:sz w:val="16"/>
                <w:szCs w:val="16"/>
                <w:lang w:eastAsia="en-GB"/>
              </w:rPr>
              <w:fldChar w:fldCharType="begin" w:fldLock="1"/>
            </w:r>
            <w:r w:rsidR="0040415A" w:rsidRPr="00FA697F">
              <w:rPr>
                <w:rFonts w:ascii="Times New Roman" w:eastAsia="Times New Roman" w:hAnsi="Times New Roman" w:cs="Times New Roman"/>
                <w:color w:val="000000"/>
                <w:sz w:val="16"/>
                <w:szCs w:val="16"/>
                <w:lang w:eastAsia="en-GB"/>
              </w:rPr>
              <w:instrText>ADDIN CSL_CITATION {"citationItems":[{"id":"ITEM-1","itemData":{"ISSN":"10159657","PMID":"17497046","author":[{"dropping-particle":"","family":"Wessels","given":"Francois","non-dropping-particle":"","parse-names":false,"suffix":""}],"container-title":"Cardiovascular Journal of South Africa","id":"ITEM-1","issue":"2","issued":{"date-parts":[["2007"]]},"page":"95-96","title":"Eprosartan in secondary prevention of stroke: The economic evidence","type":"article-journal","volume":"18"},"uris":["http://www.mendeley.com/documents/?uuid=e453681c-8242-4036-88e7-8d5bf98e20d9"]}],"mendeley":{"formattedCitation":"&lt;sup&gt;21&lt;/sup&gt;","plainTextFormattedCitation":"21","previouslyFormattedCitation":"&lt;sup&gt;21&lt;/sup&gt;"},"properties":{"noteIndex":0},"schema":"https://github.com/citation-style-language/schema/raw/master/csl-citation.json"}</w:instrText>
            </w:r>
            <w:r w:rsidR="0040415A" w:rsidRPr="00FA697F">
              <w:rPr>
                <w:rFonts w:ascii="Times New Roman" w:eastAsia="Times New Roman" w:hAnsi="Times New Roman" w:cs="Times New Roman"/>
                <w:color w:val="000000"/>
                <w:sz w:val="16"/>
                <w:szCs w:val="16"/>
                <w:lang w:eastAsia="en-GB"/>
              </w:rPr>
              <w:fldChar w:fldCharType="separate"/>
            </w:r>
            <w:r w:rsidR="0040415A" w:rsidRPr="00FA697F">
              <w:rPr>
                <w:rFonts w:ascii="Times New Roman" w:eastAsia="Times New Roman" w:hAnsi="Times New Roman" w:cs="Times New Roman"/>
                <w:noProof/>
                <w:color w:val="000000"/>
                <w:sz w:val="16"/>
                <w:szCs w:val="16"/>
                <w:vertAlign w:val="superscript"/>
                <w:lang w:eastAsia="en-GB"/>
              </w:rPr>
              <w:t>21</w:t>
            </w:r>
            <w:r w:rsidR="0040415A"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(2007)</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090978A6"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Bergh</w:t>
            </w:r>
            <w:r w:rsidR="0040415A" w:rsidRPr="00FA697F">
              <w:rPr>
                <w:rFonts w:ascii="Times New Roman" w:eastAsia="Times New Roman" w:hAnsi="Times New Roman" w:cs="Times New Roman"/>
                <w:color w:val="000000"/>
                <w:sz w:val="16"/>
                <w:szCs w:val="16"/>
                <w:lang w:eastAsia="en-GB"/>
              </w:rPr>
              <w:fldChar w:fldCharType="begin" w:fldLock="1"/>
            </w:r>
            <w:r w:rsidR="0040415A" w:rsidRPr="00FA697F">
              <w:rPr>
                <w:rFonts w:ascii="Times New Roman" w:eastAsia="Times New Roman" w:hAnsi="Times New Roman" w:cs="Times New Roman"/>
                <w:color w:val="000000"/>
                <w:sz w:val="16"/>
                <w:szCs w:val="16"/>
                <w:lang w:eastAsia="en-GB"/>
              </w:rPr>
              <w:instrText>ADDIN CSL_CITATION {"citationItems":[{"id":"ITEM-1","itemData":{"DOI":"10.7196/samj.6471","ISSN":"0256-9574 (Print)","PMID":"23547700","abstract":"BACKGROUND: Dabigatran is an oral anticoagulant direct thrombin inhibitor recently registered in South Africa (SA) to reduce the risk of stroke and systemic embolism in patients with atrial fibrillation (AF). Owing to the price disparity between warfarin (the current gold standard for treatment of patients with AF) and dabigatran, we conducted an economic appraisal of the use of dabigatran compared with warfarin from a payer perspective in the South African private healthcare setting. OBJECTIVES: To estimate the cost-effectiveness (CE) and budget impact of dabigatran compared with warfarin for the prevention of stroke in AF patients. Methods. A previously published Markov model was populated with SA cost and mortality data to estimate the CE and budget impact analysis of dabigatran over a lifetime horizon. The model population consisted of a cohort of patients of whom those aged younger than 80 years used dabigatran 150 mg twice daily and those older than 80 years 110 mg twice daily. Modelled outcomes included total cost, quality-adjusted life years (QALYs) and incremental CE ratio (ICER), with the effectiveness measured by QALYs gained. RESULTS: Dabigatran compared with warfarin as first-line treatment was estimated to have an ICER of R93 290 and an average incremental cost per beneficiary per month of R0.39 over a 5-year period. Conservative assumptions were made regarding the number of international normalised ratio monitoring tests for patients on warfarin, and the ICER is estimated to decrease by as much as 15.7% under less stringent assumptions. A robust sensitivity analysis was also performed. CONCLUSION: Dabigatran as first-line treatment compared with warfarin for the use of stroke prevention in patients with AF is deemed cost-effective when used in accordance with its registered indication in the SA private sector.","author":[{"dropping-particle":"","family":"Bergh","given":"M","non-dropping-particle":"","parse-names":false,"suffix":""},{"dropping-particle":"","family":"Marais","given":"C A","non-dropping-particle":"","parse-names":false,"suffix":""},{"dropping-particle":"","family":"Miller-Jansön","given":"H","non-dropping-particle":"","parse-names":false,"suffix":""},{"dropping-particle":"","family":"Salie","given":"F","non-dropping-particle":"","parse-names":false,"suffix":""},{"dropping-particle":"","family":"Stander","given":"M P","non-dropping-particle":"","parse-names":false,"suffix":""}],"container-title":"South African medical journal = Suid-Afrikaanse tydskrif vir geneeskunde","id":"ITEM-1","issue":"4","issued":{"date-parts":[["2013","2"]]},"language":"eng","page":"241-245","publisher-place":"South Africa","title":"Economic appraisal of dabigatran as first-line therapy for stroke prevention in atrial fibrillation.","type":"article-journal","volume":"103"},"uris":["http://www.mendeley.com/documents/?uuid=dc97fc53-8bdd-4f3c-a3f7-88f90f370f7d"]}],"mendeley":{"formattedCitation":"&lt;sup&gt;22&lt;/sup&gt;","plainTextFormattedCitation":"22","previouslyFormattedCitation":"&lt;sup&gt;22&lt;/sup&gt;"},"properties":{"noteIndex":0},"schema":"https://github.com/citation-style-language/schema/raw/master/csl-citation.json"}</w:instrText>
            </w:r>
            <w:r w:rsidR="0040415A" w:rsidRPr="00FA697F">
              <w:rPr>
                <w:rFonts w:ascii="Times New Roman" w:eastAsia="Times New Roman" w:hAnsi="Times New Roman" w:cs="Times New Roman"/>
                <w:color w:val="000000"/>
                <w:sz w:val="16"/>
                <w:szCs w:val="16"/>
                <w:lang w:eastAsia="en-GB"/>
              </w:rPr>
              <w:fldChar w:fldCharType="separate"/>
            </w:r>
            <w:r w:rsidR="0040415A" w:rsidRPr="00FA697F">
              <w:rPr>
                <w:rFonts w:ascii="Times New Roman" w:eastAsia="Times New Roman" w:hAnsi="Times New Roman" w:cs="Times New Roman"/>
                <w:noProof/>
                <w:color w:val="000000"/>
                <w:sz w:val="16"/>
                <w:szCs w:val="16"/>
                <w:vertAlign w:val="superscript"/>
                <w:lang w:eastAsia="en-GB"/>
              </w:rPr>
              <w:t>22</w:t>
            </w:r>
            <w:r w:rsidR="0040415A"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(2013)</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4B663140"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Viljoen</w:t>
            </w:r>
            <w:r w:rsidR="0040415A" w:rsidRPr="00FA697F">
              <w:rPr>
                <w:rFonts w:ascii="Times New Roman" w:eastAsia="Times New Roman" w:hAnsi="Times New Roman" w:cs="Times New Roman"/>
                <w:color w:val="000000"/>
                <w:sz w:val="16"/>
                <w:szCs w:val="16"/>
                <w:lang w:eastAsia="en-GB"/>
              </w:rPr>
              <w:fldChar w:fldCharType="begin" w:fldLock="1"/>
            </w:r>
            <w:r w:rsidR="0040415A" w:rsidRPr="00FA697F">
              <w:rPr>
                <w:rFonts w:ascii="Times New Roman" w:eastAsia="Times New Roman" w:hAnsi="Times New Roman" w:cs="Times New Roman"/>
                <w:color w:val="000000"/>
                <w:sz w:val="16"/>
                <w:szCs w:val="16"/>
                <w:lang w:eastAsia="en-GB"/>
              </w:rPr>
              <w:instrText>ADDIN CSL_CITATION {"citationItems":[{"id":"ITEM-1","itemData":{"author":[{"dropping-particle":"","family":"Viljoen","given":"C A","non-dropping-particle":"","parse-names":false,"suffix":""},{"dropping-particle":"","family":"Dalmeyer","given":"L","non-dropping-particle":"","parse-names":false,"suffix":""},{"dropping-particle":"","family":"Villiers","given":"L","non-dropping-particle":"de","parse-names":false,"suffix":""}],"container-title":"Stroke","id":"ITEM-1","issue":"1","issued":{"date-parts":[["2013"]]},"note":"Cited By :1\n\nExport Date: 11 August 2021","page":"3-4","title":"Cost of acute stroke care in South Africa","type":"article-journal","volume":"8"},"uris":["http://www.mendeley.com/documents/?uuid=0b1070f5-c3dc-48ae-b357-725c88082a2e"]}],"mendeley":{"formattedCitation":"&lt;sup&gt;23&lt;/sup&gt;","plainTextFormattedCitation":"23","previouslyFormattedCitation":"&lt;sup&gt;23&lt;/sup&gt;"},"properties":{"noteIndex":0},"schema":"https://github.com/citation-style-language/schema/raw/master/csl-citation.json"}</w:instrText>
            </w:r>
            <w:r w:rsidR="0040415A" w:rsidRPr="00FA697F">
              <w:rPr>
                <w:rFonts w:ascii="Times New Roman" w:eastAsia="Times New Roman" w:hAnsi="Times New Roman" w:cs="Times New Roman"/>
                <w:color w:val="000000"/>
                <w:sz w:val="16"/>
                <w:szCs w:val="16"/>
                <w:lang w:eastAsia="en-GB"/>
              </w:rPr>
              <w:fldChar w:fldCharType="separate"/>
            </w:r>
            <w:r w:rsidR="0040415A" w:rsidRPr="00FA697F">
              <w:rPr>
                <w:rFonts w:ascii="Times New Roman" w:eastAsia="Times New Roman" w:hAnsi="Times New Roman" w:cs="Times New Roman"/>
                <w:noProof/>
                <w:color w:val="000000"/>
                <w:sz w:val="16"/>
                <w:szCs w:val="16"/>
                <w:vertAlign w:val="superscript"/>
                <w:lang w:eastAsia="en-GB"/>
              </w:rPr>
              <w:t>23</w:t>
            </w:r>
            <w:r w:rsidR="0040415A"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(2014)</w:t>
            </w:r>
          </w:p>
        </w:tc>
        <w:tc>
          <w:tcPr>
            <w:tcW w:w="391"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A7C3FE4"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Maredza</w:t>
            </w:r>
            <w:r w:rsidR="0040415A" w:rsidRPr="00FA697F">
              <w:rPr>
                <w:rFonts w:ascii="Times New Roman" w:eastAsia="Times New Roman" w:hAnsi="Times New Roman" w:cs="Times New Roman"/>
                <w:color w:val="000000"/>
                <w:sz w:val="16"/>
                <w:szCs w:val="16"/>
                <w:lang w:eastAsia="en-GB"/>
              </w:rPr>
              <w:fldChar w:fldCharType="begin" w:fldLock="1"/>
            </w:r>
            <w:r w:rsidR="0040415A" w:rsidRPr="00FA697F">
              <w:rPr>
                <w:rFonts w:ascii="Times New Roman" w:eastAsia="Times New Roman" w:hAnsi="Times New Roman" w:cs="Times New Roman"/>
                <w:color w:val="000000"/>
                <w:sz w:val="16"/>
                <w:szCs w:val="16"/>
                <w:lang w:eastAsia="en-GB"/>
              </w:rPr>
              <w:instrText>ADDIN CSL_CITATION {"citationItems":[{"id":"ITEM-1","itemData":{"DOI":"10.1016/j.ensci.2016.01.001","author":[{"dropping-particle":"","family":"Maredza","given":"M","non-dropping-particle":"","parse-names":false,"suffix":""},{"dropping-particle":"","family":"Chola","given":"L","non-dropping-particle":"","parse-names":false,"suffix":""}],"container-title":"eNeurologicalSci","id":"ITEM-1","issued":{"date-parts":[["2016"]]},"note":"Cited By :8\n\nExport Date: 3 June 2021","page":"26-32","title":"Economic burden of stroke in a rural South African setting","type":"article-journal","volume":"3"},"uris":["http://www.mendeley.com/documents/?uuid=26264d7b-406a-44d3-a462-ddc0aebb569e"]}],"mendeley":{"formattedCitation":"&lt;sup&gt;24&lt;/sup&gt;","plainTextFormattedCitation":"24","previouslyFormattedCitation":"&lt;sup&gt;24&lt;/sup&gt;"},"properties":{"noteIndex":0},"schema":"https://github.com/citation-style-language/schema/raw/master/csl-citation.json"}</w:instrText>
            </w:r>
            <w:r w:rsidR="0040415A" w:rsidRPr="00FA697F">
              <w:rPr>
                <w:rFonts w:ascii="Times New Roman" w:eastAsia="Times New Roman" w:hAnsi="Times New Roman" w:cs="Times New Roman"/>
                <w:color w:val="000000"/>
                <w:sz w:val="16"/>
                <w:szCs w:val="16"/>
                <w:lang w:eastAsia="en-GB"/>
              </w:rPr>
              <w:fldChar w:fldCharType="separate"/>
            </w:r>
            <w:r w:rsidR="0040415A" w:rsidRPr="00FA697F">
              <w:rPr>
                <w:rFonts w:ascii="Times New Roman" w:eastAsia="Times New Roman" w:hAnsi="Times New Roman" w:cs="Times New Roman"/>
                <w:noProof/>
                <w:color w:val="000000"/>
                <w:sz w:val="16"/>
                <w:szCs w:val="16"/>
                <w:vertAlign w:val="superscript"/>
                <w:lang w:eastAsia="en-GB"/>
              </w:rPr>
              <w:t>24</w:t>
            </w:r>
            <w:r w:rsidR="0040415A"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(2016)</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7BABC6EC"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Manyema</w:t>
            </w:r>
            <w:r w:rsidR="0040415A" w:rsidRPr="00FA697F">
              <w:rPr>
                <w:rFonts w:ascii="Times New Roman" w:eastAsia="Times New Roman" w:hAnsi="Times New Roman" w:cs="Times New Roman"/>
                <w:color w:val="000000"/>
                <w:sz w:val="16"/>
                <w:szCs w:val="16"/>
                <w:lang w:eastAsia="en-GB"/>
              </w:rPr>
              <w:fldChar w:fldCharType="begin" w:fldLock="1"/>
            </w:r>
            <w:r w:rsidR="0040415A" w:rsidRPr="00FA697F">
              <w:rPr>
                <w:rFonts w:ascii="Times New Roman" w:eastAsia="Times New Roman" w:hAnsi="Times New Roman" w:cs="Times New Roman"/>
                <w:color w:val="000000"/>
                <w:sz w:val="16"/>
                <w:szCs w:val="16"/>
                <w:lang w:eastAsia="en-GB"/>
              </w:rPr>
              <w:instrText>ADDIN CSL_CITATION {"citationItems":[{"id":"ITEM-1","itemData":{"DOI":"10.1186/s12889-016-3085-y","ISSN":"1471-2458 (Electronic)","PMID":"27240422","abstract":"BACKGROUND: Stroke poses a growing human and economic burden in South Africa. Excess sugar consumption, especially from sugar-sweetened beverages (SSBs), has been associated with increased obesity and stroke risk. Research shows that price increases for SSBs can influence consumption and modelling evidence suggests that taxing SSBs has the potential to reduce obesity and related diseases. This study estimates the potential impact of an SSB tax on stroke-related mortality, costs and health-adjusted life years in South Africa. METHODS: A proportional multi-state life table-based model was constructed in Microsoft Excel (2010). We used consumption data from the 2012 South African National Health and Nutrition Examination Survey, previously published own and cross price elasticities of SSBs and energy balance equations to estimate changes in daily energy intake and BMI arising from increased SSB prices. Stroke relative risk, and prevalent years lived with disability estimates from the Global Burden of Disease Study and modelled disease epidemiology estimates from a previous study, were used to estimate the effect of the BMI changes on the burden of stroke. RESULTS: Our model predicts that an SSB tax may avert approximately 72 000 deaths, 550 000 stroke-related health-adjusted life years and over ZAR5 billion, (USD400 million) in health care costs over 20 years (USD296-576 million). Over 20 years, the number of incident stroke cases may be reduced by approximately 85 000 and prevalent cases by about 13 000. CONCLUSIONS: Fiscal policy has the potential, as part of a multi-faceted approach, to mitigate the growing burden of stroke in South Africa and contribute to the achievement of the target set by the Department of Health to reduce relative premature mortality (less than 60 years) from non-communicable diseases by the year 2020.","author":[{"dropping-particle":"","family":"Manyema","given":"Mercy","non-dropping-particle":"","parse-names":false,"suffix":""},{"dropping-particle":"","family":"Veerman","given":"Lennert J","non-dropping-particle":"","parse-names":false,"suffix":""},{"dropping-particle":"","family":"Tugendhaft","given":"Aviva","non-dropping-particle":"","parse-names":false,"suffix":""},{"dropping-particle":"","family":"Labadarios","given":"Demetre","non-dropping-particle":"","parse-names":false,"suffix":""},{"dropping-particle":"","family":"Hofman","given":"Karen J","non-dropping-particle":"","parse-names":false,"suffix":""}],"container-title":"BMC public health","id":"ITEM-1","issued":{"date-parts":[["2016","5"]]},"language":"eng","page":"405","title":"Modelling the potential impact of a sugar-sweetened beverage tax on stroke mortality, costs and health-adjusted life years in South Africa.","type":"article-journal","volume":"16"},"uris":["http://www.mendeley.com/documents/?uuid=7fef5182-fe27-4523-b639-b83ca371e7a9"]}],"mendeley":{"formattedCitation":"&lt;sup&gt;25&lt;/sup&gt;","plainTextFormattedCitation":"25","previouslyFormattedCitation":"&lt;sup&gt;25&lt;/sup&gt;"},"properties":{"noteIndex":0},"schema":"https://github.com/citation-style-language/schema/raw/master/csl-citation.json"}</w:instrText>
            </w:r>
            <w:r w:rsidR="0040415A" w:rsidRPr="00FA697F">
              <w:rPr>
                <w:rFonts w:ascii="Times New Roman" w:eastAsia="Times New Roman" w:hAnsi="Times New Roman" w:cs="Times New Roman"/>
                <w:color w:val="000000"/>
                <w:sz w:val="16"/>
                <w:szCs w:val="16"/>
                <w:lang w:eastAsia="en-GB"/>
              </w:rPr>
              <w:fldChar w:fldCharType="separate"/>
            </w:r>
            <w:r w:rsidR="0040415A" w:rsidRPr="00FA697F">
              <w:rPr>
                <w:rFonts w:ascii="Times New Roman" w:eastAsia="Times New Roman" w:hAnsi="Times New Roman" w:cs="Times New Roman"/>
                <w:noProof/>
                <w:color w:val="000000"/>
                <w:sz w:val="16"/>
                <w:szCs w:val="16"/>
                <w:vertAlign w:val="superscript"/>
                <w:lang w:eastAsia="en-GB"/>
              </w:rPr>
              <w:t>25</w:t>
            </w:r>
            <w:r w:rsidR="0040415A"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(2016)</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07FB3550"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Louw</w:t>
            </w:r>
            <w:r w:rsidR="0040415A" w:rsidRPr="00FA697F">
              <w:rPr>
                <w:rFonts w:ascii="Times New Roman" w:eastAsia="Times New Roman" w:hAnsi="Times New Roman" w:cs="Times New Roman"/>
                <w:color w:val="000000"/>
                <w:sz w:val="16"/>
                <w:szCs w:val="16"/>
                <w:lang w:eastAsia="en-GB"/>
              </w:rPr>
              <w:fldChar w:fldCharType="begin" w:fldLock="1"/>
            </w:r>
            <w:r w:rsidR="0040415A" w:rsidRPr="00FA697F">
              <w:rPr>
                <w:rFonts w:ascii="Times New Roman" w:eastAsia="Times New Roman" w:hAnsi="Times New Roman" w:cs="Times New Roman"/>
                <w:color w:val="000000"/>
                <w:sz w:val="16"/>
                <w:szCs w:val="16"/>
                <w:lang w:eastAsia="en-GB"/>
              </w:rPr>
              <w:instrText>ADDIN CSL_CITATION {"citationItems":[{"id":"ITEM-1","itemData":{"DOI":"10.1111/jep.13287","ISSN":"13652753","PMID":"31503395","abstract":"Objective: This paper explores the economic value of rehabilitation to South Africa, using a costed example of cerebrovascular accident (CVA) (stroke) rehabilitation. Design: We report an economic modelling approach using a worked cost-effectiveness to validate the argument for the cost-saving benefits of stroke rehabilitation. Setting: South African health care, employing analysis of available secondary data from South African research and government reports. Participants: In line with international trends in stroke epidemiology, we focused on people who were employed prior to having their stroke, with return-to-work as the desired rehabilitation outcome. Interventions: Not applicable. Main outcome measure(s): We used information on stroke rehabilitation and secondary data derived from grey and published literature, to determine if early stroke rehabilitation represents value for money from the government perspective. For our worked example, we used return-to-work rates, intervention costs, and the cost of rehabilitation services to estimate cost-savings as a result of an individualized workplace intervention. Results: The cost of delivering the individualized intervention was estimated at R5633/patient. Combining survivor rates, return-to-work rate, and costs of the programme, a work intervention programme could result in a net saving of R133.1 million over 5 years (or about R26.6 per year (discount 3%). Conclusion: The value of rehabilitation should not be considered in terms of cost-effectiveness alone, but also as an investment for the country. A staged, prioritized approach should be considered in future South African national health budget.","author":[{"dropping-particle":"","family":"Louw","given":"Quinette","non-dropping-particle":"","parse-names":false,"suffix":""},{"dropping-particle":"","family":"Twizeyemariya","given":"Asterie","non-dropping-particle":"","parse-names":false,"suffix":""},{"dropping-particle":"","family":"Grimmer","given":"Karen","non-dropping-particle":"","parse-names":false,"suffix":""},{"dropping-particle":"","family":"Leibbrandt","given":"Dominique","non-dropping-particle":"","parse-names":false,"suffix":""}],"container-title":"Journal of Evaluation in Clinical Practice","id":"ITEM-1","issue":"4","issued":{"date-parts":[["2020"]]},"page":"1181-1187","title":"Estimating the costs and benefits of stroke rehabilitation in South Africa","type":"article-journal","volume":"26"},"uris":["http://www.mendeley.com/documents/?uuid=c9aacf2d-f401-44a5-82c4-91982fb7e477"]}],"mendeley":{"formattedCitation":"&lt;sup&gt;26&lt;/sup&gt;","plainTextFormattedCitation":"26","previouslyFormattedCitation":"&lt;sup&gt;26&lt;/sup&gt;"},"properties":{"noteIndex":0},"schema":"https://github.com/citation-style-language/schema/raw/master/csl-citation.json"}</w:instrText>
            </w:r>
            <w:r w:rsidR="0040415A" w:rsidRPr="00FA697F">
              <w:rPr>
                <w:rFonts w:ascii="Times New Roman" w:eastAsia="Times New Roman" w:hAnsi="Times New Roman" w:cs="Times New Roman"/>
                <w:color w:val="000000"/>
                <w:sz w:val="16"/>
                <w:szCs w:val="16"/>
                <w:lang w:eastAsia="en-GB"/>
              </w:rPr>
              <w:fldChar w:fldCharType="separate"/>
            </w:r>
            <w:r w:rsidR="0040415A" w:rsidRPr="00FA697F">
              <w:rPr>
                <w:rFonts w:ascii="Times New Roman" w:eastAsia="Times New Roman" w:hAnsi="Times New Roman" w:cs="Times New Roman"/>
                <w:noProof/>
                <w:color w:val="000000"/>
                <w:sz w:val="16"/>
                <w:szCs w:val="16"/>
                <w:vertAlign w:val="superscript"/>
                <w:lang w:eastAsia="en-GB"/>
              </w:rPr>
              <w:t>26</w:t>
            </w:r>
            <w:r w:rsidR="0040415A"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(2019)</w:t>
            </w:r>
          </w:p>
        </w:tc>
        <w:tc>
          <w:tcPr>
            <w:tcW w:w="391"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4B38EEFE"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Anderson</w:t>
            </w:r>
            <w:r w:rsidR="0040415A" w:rsidRPr="00FA697F">
              <w:rPr>
                <w:rFonts w:ascii="Times New Roman" w:eastAsia="Times New Roman" w:hAnsi="Times New Roman" w:cs="Times New Roman"/>
                <w:color w:val="000000"/>
                <w:sz w:val="16"/>
                <w:szCs w:val="16"/>
                <w:lang w:eastAsia="en-GB"/>
              </w:rPr>
              <w:fldChar w:fldCharType="begin" w:fldLock="1"/>
            </w:r>
            <w:r w:rsidR="0040415A" w:rsidRPr="00FA697F">
              <w:rPr>
                <w:rFonts w:ascii="Times New Roman" w:eastAsia="Times New Roman" w:hAnsi="Times New Roman" w:cs="Times New Roman"/>
                <w:color w:val="000000"/>
                <w:sz w:val="16"/>
                <w:szCs w:val="16"/>
                <w:lang w:eastAsia="en-GB"/>
              </w:rPr>
              <w:instrText>ADDIN CSL_CITATION {"citationItems":[{"id":"ITEM-1","itemData":{"ISSN":"10159657","PMID":"11447469","abstract":"Objectives. Heart failure (HF) is a serious, prevalent health condition in industrialised countries where the incidence has been on the increase. The economic repercussions are costly, and therefore cost-effective medication is important in the overall management of the condition. It has been shown that angiotensin-converting enzyme (ACE) inhibitors are clinically effective in the management of HF. Ramipril has been shown to reduce mortality and the probability of hospitalisation in post-myocardial infarction (MI) patients. Internationally, the use of this drug has proved to be cost-effective. The objective of this study was to investigate the economic implications of using ramipril in South Africa for post-MI patients with HF. Methodology. An incremental cost-effectiveness analysis was performed comparing the use of ramipril and placebo in post-MI patients with HF who were receiving standard therapy. The economic impacts included drug acquisition costs and savings on hospitalisation; these were evaluated based on the clinical benefits of using ramipril in terms of life-years gained (LYG). The cost-utility of the use of ramipril was determined to provide an incremental cost per quality-adjusted life-year (QALY). Sensitivity analyses were performed on the major economic variables; discounting of future costs and savings was performed at rates of 0%, 5% and 10%. Results. The use of ramipril results in an incremental cost/LYG of R16 808 and a total incremental cost per patient per month of R107 over 3.8 years. When the quality of life of the patients is taken into account, the cost-utility analysis shows an incremental cost/QALY of R21 382 for those younger than 65 years of age and R18 029 for those older than 65 years. The pharmacoeconomic model was robust and consistent when tested at the extremes of the major variables, including costs, savings and discount rates. Conclusion. The results indicate that it is cost-effective to administer ramipril in addition to standard therapy for post-MI patients with HF in South Africa.","author":[{"dropping-particle":"","family":"Nixon Anderson","given":"A.","non-dropping-particle":"","parse-names":false,"suffix":""},{"dropping-particle":"","family":"Moodley","given":"Indres","non-dropping-particle":"","parse-names":false,"suffix":""},{"dropping-particle":"","family":"Kropman","given":"Keith","non-dropping-particle":"","parse-names":false,"suffix":""}],"container-title":"Cardiovascular Journal of South Africa","id":"ITEM-1","issue":"2","issued":{"date-parts":[["2000"]]},"page":"89-94","title":"A South African pharmaco-economic analysis of the acute infarction ramipril efficacy (AIRE) Study","type":"article-journal","volume":"11"},"uris":["http://www.mendeley.com/documents/?uuid=1dd3c8e0-868b-45c0-9d59-ffe82c7716ca"]}],"mendeley":{"formattedCitation":"&lt;sup&gt;27&lt;/sup&gt;","plainTextFormattedCitation":"27","previouslyFormattedCitation":"&lt;sup&gt;27&lt;/sup&gt;"},"properties":{"noteIndex":0},"schema":"https://github.com/citation-style-language/schema/raw/master/csl-citation.json"}</w:instrText>
            </w:r>
            <w:r w:rsidR="0040415A" w:rsidRPr="00FA697F">
              <w:rPr>
                <w:rFonts w:ascii="Times New Roman" w:eastAsia="Times New Roman" w:hAnsi="Times New Roman" w:cs="Times New Roman"/>
                <w:color w:val="000000"/>
                <w:sz w:val="16"/>
                <w:szCs w:val="16"/>
                <w:lang w:eastAsia="en-GB"/>
              </w:rPr>
              <w:fldChar w:fldCharType="separate"/>
            </w:r>
            <w:r w:rsidR="0040415A" w:rsidRPr="00FA697F">
              <w:rPr>
                <w:rFonts w:ascii="Times New Roman" w:eastAsia="Times New Roman" w:hAnsi="Times New Roman" w:cs="Times New Roman"/>
                <w:noProof/>
                <w:color w:val="000000"/>
                <w:sz w:val="16"/>
                <w:szCs w:val="16"/>
                <w:vertAlign w:val="superscript"/>
                <w:lang w:eastAsia="en-GB"/>
              </w:rPr>
              <w:t>27</w:t>
            </w:r>
            <w:r w:rsidR="0040415A"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(2000a)</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2355133"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Mabin</w:t>
            </w:r>
            <w:r w:rsidR="0040415A" w:rsidRPr="00FA697F">
              <w:rPr>
                <w:rFonts w:ascii="Times New Roman" w:eastAsia="Times New Roman" w:hAnsi="Times New Roman" w:cs="Times New Roman"/>
                <w:color w:val="000000"/>
                <w:sz w:val="16"/>
                <w:szCs w:val="16"/>
                <w:lang w:eastAsia="en-GB"/>
              </w:rPr>
              <w:fldChar w:fldCharType="begin" w:fldLock="1"/>
            </w:r>
            <w:r w:rsidR="009E61E2" w:rsidRPr="00FA697F">
              <w:rPr>
                <w:rFonts w:ascii="Times New Roman" w:eastAsia="Times New Roman" w:hAnsi="Times New Roman" w:cs="Times New Roman"/>
                <w:color w:val="000000"/>
                <w:sz w:val="16"/>
                <w:szCs w:val="16"/>
                <w:lang w:eastAsia="en-GB"/>
              </w:rPr>
              <w:instrText>ADDIN CSL_CITATION {"citationItems":[{"id":"ITEM-1","itemData":{"DOI":"10.5830/CVJA-2013-090","ISSN":"1680-0745 (Electronic)","PMID":"24626516","abstract":"OBJECTIVE: Transcatheter aortic valve implantation (TAVI) has become the standard of care for inoperable patients with severe aortic stenosis and is an alternative to conventional surgery for high-risk aortic valve replacement (AVR) patients. There is a positive correlation between severity of pre-operative patients and hospital costs. The aim of this study was to compare empirically derived costs of the two therapies in South Africa. METHODS: The cost-comparison analysis was performed with a MediClinic database including 239 conventional isolated AVR (cAVR) and 75 TAVI cases. All costs are given in 2011 ZAR. The subset of cAVR patients were derived from the relevant and available information in the database and their costs were compared with TAVI costs. RESULTS: From the 75 available subjects, mean TAVI costs were ZAR 335.5k ± 47.9k, (median ZAR 326.5k) with a mean (median) ICU and hospital length of stay (LoS) of 2.7 (2.0) and 7.6 (6.5) days, respectively. The mean cAVR cost was lower at ZAR 213.9 ± 87.5k (median ZAR 193.6k) but this included the entire population costs (i.e. low to high surgical risk). When estimating cAVR costs, defined by LoS of more than six and 13 days in the ICU and hospital, respectively, and being over 75 years of age, the estimate increased to ZAR 337.9k, which was above the TAVI mean costs. In-hospital mortality was 5.3 and 7.9% for TAVI and the entire cAVR group, respectively. When considering the subset of cAVR patients most likely to be high risk, it increased to 21.4%. CONCLUSION: Within the context of limited clinical data we performed the first attempt at cost-effective analysis of TAVI vs cAVR in South Africa. Treatment of aortic stenosis with cAVR in a post hoc defined high-risk patient segment was more expensive than TAVI in South African centres. Despite common perceptions on costs, adoption of TAVI as an alternative, less-invasive therapy that has been clinically proven and recommended by an FDA advisory panel (Partner A) to be at least as effective as cAVR, has a viable economic argument in appropriate patients.","author":[{"dropping-particle":"","family":"Mabin","given":"Thomas A","non-dropping-particle":"","parse-names":false,"suffix":""},{"dropping-particle":"","family":"Condolfi","given":"Pascal","non-dropping-particle":"","parse-names":false,"suffix":""}],"container-title":"Cardiovascular journal of Africa","id":"ITEM-1","issue":"1","issued":{"date-parts":[["2014"]]},"language":"eng","page":"21-26","title":"An analysis of real-world cost-effectiveness of TAVI in South Africa.","type":"article-journal","volume":"25"},"uris":["http://www.mendeley.com/documents/?uuid=a1417c8e-60ea-40fb-9562-dd62e2abfcb0"]}],"mendeley":{"formattedCitation":"&lt;sup&gt;28&lt;/sup&gt;","plainTextFormattedCitation":"28","previouslyFormattedCitation":"&lt;sup&gt;28&lt;/sup&gt;"},"properties":{"noteIndex":0},"schema":"https://github.com/citation-style-language/schema/raw/master/csl-citation.json"}</w:instrText>
            </w:r>
            <w:r w:rsidR="0040415A" w:rsidRPr="00FA697F">
              <w:rPr>
                <w:rFonts w:ascii="Times New Roman" w:eastAsia="Times New Roman" w:hAnsi="Times New Roman" w:cs="Times New Roman"/>
                <w:color w:val="000000"/>
                <w:sz w:val="16"/>
                <w:szCs w:val="16"/>
                <w:lang w:eastAsia="en-GB"/>
              </w:rPr>
              <w:fldChar w:fldCharType="separate"/>
            </w:r>
            <w:r w:rsidR="0040415A" w:rsidRPr="00FA697F">
              <w:rPr>
                <w:rFonts w:ascii="Times New Roman" w:eastAsia="Times New Roman" w:hAnsi="Times New Roman" w:cs="Times New Roman"/>
                <w:noProof/>
                <w:color w:val="000000"/>
                <w:sz w:val="16"/>
                <w:szCs w:val="16"/>
                <w:vertAlign w:val="superscript"/>
                <w:lang w:eastAsia="en-GB"/>
              </w:rPr>
              <w:t>28</w:t>
            </w:r>
            <w:r w:rsidR="0040415A"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(2014)</w:t>
            </w:r>
          </w:p>
        </w:tc>
        <w:tc>
          <w:tcPr>
            <w:tcW w:w="39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327903F2"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Pestana</w:t>
            </w:r>
            <w:r w:rsidR="009E61E2" w:rsidRPr="00FA697F">
              <w:rPr>
                <w:rFonts w:ascii="Times New Roman" w:eastAsia="Times New Roman" w:hAnsi="Times New Roman" w:cs="Times New Roman"/>
                <w:color w:val="000000"/>
                <w:sz w:val="16"/>
                <w:szCs w:val="16"/>
                <w:lang w:eastAsia="en-GB"/>
              </w:rPr>
              <w:fldChar w:fldCharType="begin" w:fldLock="1"/>
            </w:r>
            <w:r w:rsidR="009E61E2" w:rsidRPr="00FA697F">
              <w:rPr>
                <w:rFonts w:ascii="Times New Roman" w:eastAsia="Times New Roman" w:hAnsi="Times New Roman" w:cs="Times New Roman"/>
                <w:color w:val="000000"/>
                <w:sz w:val="16"/>
                <w:szCs w:val="16"/>
                <w:lang w:eastAsia="en-GB"/>
              </w:rPr>
              <w:instrText>ADDIN CSL_CITATION {"citationItems":[{"id":"ITEM-1","itemData":{"author":[{"dropping-particle":"","family":"Pestana","given":"J A X","non-dropping-particle":"","parse-names":false,"suffix":""},{"dropping-particle":"","family":"Steyn","given":"K","non-dropping-particle":"","parse-names":false,"suffix":""},{"dropping-particle":"","family":"Leiman","given":"A","non-dropping-particle":"","parse-names":false,"suffix":""},{"dropping-particle":"","family":"Hartzenberg","given":"G M","non-dropping-particle":"","parse-names":false,"suffix":""}],"container-title":"South African Medical Journal","id":"ITEM-1","issue":"6","issued":{"date-parts":[["1996"]]},"note":"Cited By :44\n\nExport Date: 1 June 2021","page":"679-684","title":"The direct and indirect costs of cardiovascular disease in South Africa in 1991","type":"article-journal","volume":"86"},"uris":["http://www.mendeley.com/documents/?uuid=06437706-0b9f-4f39-87a7-51491d9d957d"]}],"mendeley":{"formattedCitation":"&lt;sup&gt;29&lt;/sup&gt;","plainTextFormattedCitation":"29","previouslyFormattedCitation":"&lt;sup&gt;29&lt;/sup&gt;"},"properties":{"noteIndex":0},"schema":"https://github.com/citation-style-language/schema/raw/master/csl-citation.json"}</w:instrText>
            </w:r>
            <w:r w:rsidR="009E61E2" w:rsidRPr="00FA697F">
              <w:rPr>
                <w:rFonts w:ascii="Times New Roman" w:eastAsia="Times New Roman" w:hAnsi="Times New Roman" w:cs="Times New Roman"/>
                <w:color w:val="000000"/>
                <w:sz w:val="16"/>
                <w:szCs w:val="16"/>
                <w:lang w:eastAsia="en-GB"/>
              </w:rPr>
              <w:fldChar w:fldCharType="separate"/>
            </w:r>
            <w:r w:rsidR="009E61E2" w:rsidRPr="00FA697F">
              <w:rPr>
                <w:rFonts w:ascii="Times New Roman" w:eastAsia="Times New Roman" w:hAnsi="Times New Roman" w:cs="Times New Roman"/>
                <w:noProof/>
                <w:color w:val="000000"/>
                <w:sz w:val="16"/>
                <w:szCs w:val="16"/>
                <w:vertAlign w:val="superscript"/>
                <w:lang w:eastAsia="en-GB"/>
              </w:rPr>
              <w:t>29</w:t>
            </w:r>
            <w:r w:rsidR="009E61E2"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(1996)</w:t>
            </w:r>
          </w:p>
        </w:tc>
        <w:tc>
          <w:tcPr>
            <w:tcW w:w="391"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7991C66"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Biccard</w:t>
            </w:r>
            <w:r w:rsidR="009E61E2" w:rsidRPr="00FA697F">
              <w:rPr>
                <w:rFonts w:ascii="Times New Roman" w:eastAsia="Times New Roman" w:hAnsi="Times New Roman" w:cs="Times New Roman"/>
                <w:color w:val="000000"/>
                <w:sz w:val="16"/>
                <w:szCs w:val="16"/>
                <w:lang w:eastAsia="en-GB"/>
              </w:rPr>
              <w:fldChar w:fldCharType="begin" w:fldLock="1"/>
            </w:r>
            <w:r w:rsidR="009E61E2" w:rsidRPr="00FA697F">
              <w:rPr>
                <w:rFonts w:ascii="Times New Roman" w:eastAsia="Times New Roman" w:hAnsi="Times New Roman" w:cs="Times New Roman"/>
                <w:color w:val="000000"/>
                <w:sz w:val="16"/>
                <w:szCs w:val="16"/>
                <w:lang w:eastAsia="en-GB"/>
              </w:rPr>
              <w:instrText>ADDIN CSL_CITATION {"citationItems":[{"id":"ITEM-1","itemData":{"ISSN":"0256-9574 (Print)","PMID":"17167708","abstract":"We conducted a pharmaco-economic analysis of the prospective peri-operative studies of beta-blocker and statin administration for major elective non-cardiac surgery, using the Discovery Health claims costs for 2004. This analysis shows that acute peri-operative beta-blockade and statin therapy could result in a cost saving through a reduction in major perioperative cardiovascular complications in patients with an expected peri-operative major cardiovascular complication rate exceeding 10% following elective major non-cardiac surgery. The validity of these findings is dependent on whether the incidence of cardiovascular complications following major noncardiac surgery reported in the international literature is found to be similar in South Africa.","author":[{"dropping-particle":"","family":"Biccard","given":"B M","non-dropping-particle":"","parse-names":false,"suffix":""},{"dropping-particle":"","family":"Sear","given":"J W","non-dropping-particle":"","parse-names":false,"suffix":""},{"dropping-particle":"","family":"Foëx","given":"P","non-dropping-particle":"","parse-names":false,"suffix":""}],"container-title":"South African medical journal = Suid-Afrikaanse tydskrif vir geneeskunde","id":"ITEM-1","issue":"11","issued":{"date-parts":[["2006","11"]]},"language":"eng","page":"1199-1202","publisher-place":"South Africa","title":"The pharmaco-economics of peri-operative beta-blocker and statin therapy in South Africa.","type":"article-journal","volume":"96"},"uris":["http://www.mendeley.com/documents/?uuid=01ce8f0b-ed3c-4ced-a575-4052f2d91451"]}],"mendeley":{"formattedCitation":"&lt;sup&gt;30&lt;/sup&gt;","plainTextFormattedCitation":"30"},"properties":{"noteIndex":0},"schema":"https://github.com/citation-style-language/schema/raw/master/csl-citation.json"}</w:instrText>
            </w:r>
            <w:r w:rsidR="009E61E2" w:rsidRPr="00FA697F">
              <w:rPr>
                <w:rFonts w:ascii="Times New Roman" w:eastAsia="Times New Roman" w:hAnsi="Times New Roman" w:cs="Times New Roman"/>
                <w:color w:val="000000"/>
                <w:sz w:val="16"/>
                <w:szCs w:val="16"/>
                <w:lang w:eastAsia="en-GB"/>
              </w:rPr>
              <w:fldChar w:fldCharType="separate"/>
            </w:r>
            <w:r w:rsidR="009E61E2" w:rsidRPr="00FA697F">
              <w:rPr>
                <w:rFonts w:ascii="Times New Roman" w:eastAsia="Times New Roman" w:hAnsi="Times New Roman" w:cs="Times New Roman"/>
                <w:noProof/>
                <w:color w:val="000000"/>
                <w:sz w:val="16"/>
                <w:szCs w:val="16"/>
                <w:vertAlign w:val="superscript"/>
                <w:lang w:eastAsia="en-GB"/>
              </w:rPr>
              <w:t>30</w:t>
            </w:r>
            <w:r w:rsidR="009E61E2" w:rsidRPr="00FA697F">
              <w:rPr>
                <w:rFonts w:ascii="Times New Roman" w:eastAsia="Times New Roman" w:hAnsi="Times New Roman" w:cs="Times New Roman"/>
                <w:color w:val="000000"/>
                <w:sz w:val="16"/>
                <w:szCs w:val="16"/>
                <w:lang w:eastAsia="en-GB"/>
              </w:rPr>
              <w:fldChar w:fldCharType="end"/>
            </w:r>
            <w:r w:rsidRPr="00FA697F">
              <w:rPr>
                <w:rFonts w:ascii="Times New Roman" w:eastAsia="Times New Roman" w:hAnsi="Times New Roman" w:cs="Times New Roman"/>
                <w:color w:val="000000"/>
                <w:sz w:val="16"/>
                <w:szCs w:val="16"/>
                <w:lang w:eastAsia="en-GB"/>
              </w:rPr>
              <w:t xml:space="preserve"> (2006)</w:t>
            </w:r>
          </w:p>
        </w:tc>
        <w:tc>
          <w:tcPr>
            <w:tcW w:w="770" w:type="dxa"/>
            <w:tcBorders>
              <w:top w:val="single" w:sz="4" w:space="0" w:color="auto"/>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77E36BD0" w14:textId="77777777" w:rsidR="00186F1E" w:rsidRPr="00FA697F" w:rsidRDefault="00186F1E" w:rsidP="00186F1E">
            <w:pPr>
              <w:spacing w:after="0" w:line="240" w:lineRule="auto"/>
              <w:jc w:val="center"/>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 of papers reporting item</w:t>
            </w:r>
          </w:p>
        </w:tc>
      </w:tr>
      <w:tr w:rsidR="00186F1E" w:rsidRPr="00FA697F" w14:paraId="7F109C56" w14:textId="77777777" w:rsidTr="00B43AF8">
        <w:trPr>
          <w:trHeight w:val="154"/>
        </w:trPr>
        <w:tc>
          <w:tcPr>
            <w:tcW w:w="13953" w:type="dxa"/>
            <w:gridSpan w:val="32"/>
            <w:tcBorders>
              <w:top w:val="single" w:sz="4" w:space="0" w:color="auto"/>
              <w:left w:val="single" w:sz="4" w:space="0" w:color="auto"/>
              <w:bottom w:val="single" w:sz="4" w:space="0" w:color="auto"/>
              <w:right w:val="single" w:sz="4" w:space="0" w:color="000000"/>
            </w:tcBorders>
            <w:shd w:val="clear" w:color="auto" w:fill="auto"/>
            <w:noWrap/>
            <w:tcMar>
              <w:left w:w="57" w:type="dxa"/>
              <w:right w:w="57" w:type="dxa"/>
            </w:tcMar>
            <w:vAlign w:val="bottom"/>
            <w:hideMark/>
          </w:tcPr>
          <w:p w14:paraId="64933978" w14:textId="77777777" w:rsidR="00186F1E" w:rsidRPr="00FA697F" w:rsidRDefault="00186F1E" w:rsidP="00186F1E">
            <w:pPr>
              <w:spacing w:after="0" w:line="240" w:lineRule="auto"/>
              <w:rPr>
                <w:rFonts w:ascii="Times New Roman" w:eastAsia="Times New Roman" w:hAnsi="Times New Roman" w:cs="Times New Roman"/>
                <w:b/>
                <w:bCs/>
                <w:color w:val="000000"/>
                <w:sz w:val="16"/>
                <w:szCs w:val="16"/>
                <w:lang w:eastAsia="en-GB"/>
              </w:rPr>
            </w:pPr>
            <w:r w:rsidRPr="00FA697F">
              <w:rPr>
                <w:rFonts w:ascii="Times New Roman" w:eastAsia="Times New Roman" w:hAnsi="Times New Roman" w:cs="Times New Roman"/>
                <w:b/>
                <w:bCs/>
                <w:color w:val="000000"/>
                <w:sz w:val="16"/>
                <w:szCs w:val="16"/>
                <w:lang w:eastAsia="en-GB"/>
              </w:rPr>
              <w:t>Title and abstract</w:t>
            </w:r>
          </w:p>
        </w:tc>
      </w:tr>
      <w:tr w:rsidR="009656BD" w:rsidRPr="00FA697F" w14:paraId="16D93BF3"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B4A971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1.Title</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930CF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65681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57776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8C689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95F95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8C7D0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A5C61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AC676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086DA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6299B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AF243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70C668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C65D7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FCE4B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DF20A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F5E27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AFDEA0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A08506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0095C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7E7C0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6A2F0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C9B08D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AE1BA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66EA4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37344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DDA3B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DEA38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34828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7F707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0B859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11AAFB"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97%</w:t>
            </w:r>
          </w:p>
        </w:tc>
      </w:tr>
      <w:tr w:rsidR="009656BD" w:rsidRPr="00FA697F" w14:paraId="0E90DF13"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6DD87C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2.Abstract</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AFE25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8A40A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DE15F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FE58E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A5BFD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BE0CE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01B35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48E32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3EEF8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78469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38F74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744D1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BF535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EBEE9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2DF2F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CF108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BABFB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35AEA0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D056F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A4644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A87E0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F83BF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20859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B0A64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E7B7C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8219C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246C0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51C00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40CB2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BF2FC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98A223"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100%</w:t>
            </w:r>
          </w:p>
        </w:tc>
      </w:tr>
      <w:tr w:rsidR="00186F1E" w:rsidRPr="00FA697F" w14:paraId="072448CC" w14:textId="77777777" w:rsidTr="00B43AF8">
        <w:trPr>
          <w:trHeight w:val="154"/>
        </w:trPr>
        <w:tc>
          <w:tcPr>
            <w:tcW w:w="13953" w:type="dxa"/>
            <w:gridSpan w:val="32"/>
            <w:tcBorders>
              <w:top w:val="single" w:sz="4" w:space="0" w:color="auto"/>
              <w:left w:val="single" w:sz="4" w:space="0" w:color="auto"/>
              <w:bottom w:val="single" w:sz="4" w:space="0" w:color="auto"/>
              <w:right w:val="single" w:sz="4" w:space="0" w:color="000000"/>
            </w:tcBorders>
            <w:shd w:val="clear" w:color="auto" w:fill="auto"/>
            <w:noWrap/>
            <w:tcMar>
              <w:left w:w="57" w:type="dxa"/>
              <w:right w:w="57" w:type="dxa"/>
            </w:tcMar>
            <w:vAlign w:val="bottom"/>
            <w:hideMark/>
          </w:tcPr>
          <w:p w14:paraId="66CAA4E1" w14:textId="77777777" w:rsidR="00186F1E" w:rsidRPr="00FA697F" w:rsidRDefault="00186F1E" w:rsidP="00186F1E">
            <w:pPr>
              <w:spacing w:after="0" w:line="240" w:lineRule="auto"/>
              <w:rPr>
                <w:rFonts w:ascii="Times New Roman" w:eastAsia="Times New Roman" w:hAnsi="Times New Roman" w:cs="Times New Roman"/>
                <w:b/>
                <w:bCs/>
                <w:color w:val="000000"/>
                <w:sz w:val="16"/>
                <w:szCs w:val="16"/>
                <w:lang w:eastAsia="en-GB"/>
              </w:rPr>
            </w:pPr>
            <w:r w:rsidRPr="00FA697F">
              <w:rPr>
                <w:rFonts w:ascii="Times New Roman" w:eastAsia="Times New Roman" w:hAnsi="Times New Roman" w:cs="Times New Roman"/>
                <w:b/>
                <w:bCs/>
                <w:color w:val="000000"/>
                <w:sz w:val="16"/>
                <w:szCs w:val="16"/>
                <w:lang w:eastAsia="en-GB"/>
              </w:rPr>
              <w:t>Introduction</w:t>
            </w:r>
          </w:p>
        </w:tc>
      </w:tr>
      <w:tr w:rsidR="009656BD" w:rsidRPr="00FA697F" w14:paraId="78972522"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160973A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3.Background and objectives</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A6BAB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54D6C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C0EFF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C2450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DFBC4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47686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27D2B7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F9F56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47996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D5C8D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38766B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7CE05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B80DB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F460E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367C5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4C400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4188F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C31251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6861E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81D65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09344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2866A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F812F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FBEA2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52363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F63B8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56DE0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9056A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595A0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DE8C3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B5E821"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100%</w:t>
            </w:r>
          </w:p>
        </w:tc>
      </w:tr>
      <w:tr w:rsidR="00186F1E" w:rsidRPr="00FA697F" w14:paraId="7ECC2F24" w14:textId="77777777" w:rsidTr="00B43AF8">
        <w:trPr>
          <w:trHeight w:val="154"/>
        </w:trPr>
        <w:tc>
          <w:tcPr>
            <w:tcW w:w="13953" w:type="dxa"/>
            <w:gridSpan w:val="32"/>
            <w:tcBorders>
              <w:top w:val="single" w:sz="4" w:space="0" w:color="auto"/>
              <w:left w:val="single" w:sz="4" w:space="0" w:color="auto"/>
              <w:bottom w:val="single" w:sz="4" w:space="0" w:color="auto"/>
              <w:right w:val="single" w:sz="4" w:space="0" w:color="000000"/>
            </w:tcBorders>
            <w:shd w:val="clear" w:color="auto" w:fill="auto"/>
            <w:noWrap/>
            <w:tcMar>
              <w:left w:w="57" w:type="dxa"/>
              <w:right w:w="57" w:type="dxa"/>
            </w:tcMar>
            <w:vAlign w:val="bottom"/>
            <w:hideMark/>
          </w:tcPr>
          <w:p w14:paraId="59787FD0" w14:textId="77777777" w:rsidR="00186F1E" w:rsidRPr="00FA697F" w:rsidRDefault="00186F1E" w:rsidP="00186F1E">
            <w:pPr>
              <w:spacing w:after="0" w:line="240" w:lineRule="auto"/>
              <w:rPr>
                <w:rFonts w:ascii="Times New Roman" w:eastAsia="Times New Roman" w:hAnsi="Times New Roman" w:cs="Times New Roman"/>
                <w:b/>
                <w:bCs/>
                <w:color w:val="000000"/>
                <w:sz w:val="16"/>
                <w:szCs w:val="16"/>
                <w:lang w:eastAsia="en-GB"/>
              </w:rPr>
            </w:pPr>
            <w:r w:rsidRPr="00FA697F">
              <w:rPr>
                <w:rFonts w:ascii="Times New Roman" w:eastAsia="Times New Roman" w:hAnsi="Times New Roman" w:cs="Times New Roman"/>
                <w:b/>
                <w:bCs/>
                <w:color w:val="000000"/>
                <w:sz w:val="16"/>
                <w:szCs w:val="16"/>
                <w:lang w:eastAsia="en-GB"/>
              </w:rPr>
              <w:t>Methods</w:t>
            </w:r>
          </w:p>
        </w:tc>
      </w:tr>
      <w:tr w:rsidR="009656BD" w:rsidRPr="00FA697F" w14:paraId="4F0D5854"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A397D7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4.Target population and subgroups</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8E8AE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73AFF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3152D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44EFD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B1886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CAE94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6521E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D2D9E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FE998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55DB9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D6051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8F6B3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D11584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755FB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E5858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3FB58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22D13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C0B2B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944BB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29079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315057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7FAFB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8531F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DA777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260CE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CA2A1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BCF62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3C8C3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DCD80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59470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06F5B8"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97%</w:t>
            </w:r>
          </w:p>
        </w:tc>
      </w:tr>
      <w:tr w:rsidR="009656BD" w:rsidRPr="00FA697F" w14:paraId="6FB9765F"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4E02691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5.Setting and location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86FB7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68CE3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BC7F6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7087A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12025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EFAAA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73931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DF27A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D004DD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B7F33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EFAA6A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D913F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DEB6E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51B982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A9010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9898B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26BEE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758BE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846EA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972D0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A672D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90055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29714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ECBEF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C66C65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D41C2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48B32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0D8E5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1BBCF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2DEDA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C032545"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93%</w:t>
            </w:r>
          </w:p>
        </w:tc>
      </w:tr>
      <w:tr w:rsidR="009656BD" w:rsidRPr="00FA697F" w14:paraId="360BC8FB"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8FEFE1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6.Study perspective</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66A1A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537F3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43759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03B05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91158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F3DC0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4C8EF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14BFA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F09D03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85F10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7C569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1379E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39A8C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0DBEB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5AC1E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CCCC8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D001B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DE575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C9959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7CE51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6ECE9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F892A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1E1C8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39697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90E9A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61891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3D3DDE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F52F3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20A58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7AD20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D85A43"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77%</w:t>
            </w:r>
          </w:p>
        </w:tc>
      </w:tr>
      <w:tr w:rsidR="009656BD" w:rsidRPr="00FA697F" w14:paraId="19E25152"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D2A1CC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7.Comparators</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9EBEB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C07EDD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3D20A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19CF8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3B3E5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D46B3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214F3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E8694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1B145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E8481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2359B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3507B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75A93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EA2DA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E624C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1CC5B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DA1A3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2D22F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A3869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70454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31E5B2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9BE75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07F92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EF597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347F87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136C4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2D02F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D748E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14558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D21075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224CA0"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100%</w:t>
            </w:r>
          </w:p>
        </w:tc>
      </w:tr>
      <w:tr w:rsidR="009656BD" w:rsidRPr="00FA697F" w14:paraId="55F62E90"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1A567D4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8.Time horizon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11A38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BB407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A6026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3B832F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C87207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F64C8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E3A1B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BF401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0BB4E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282BB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21892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97AB8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9C5EB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EB6CC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B9BCC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8C030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5BCF4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2B73B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0311A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2C98D0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3469C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CB23D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2B484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7F81D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A5C11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EE80D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D1123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B3BF1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B68E4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7DFB9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2A6F21"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83%</w:t>
            </w:r>
          </w:p>
        </w:tc>
      </w:tr>
      <w:tr w:rsidR="009656BD" w:rsidRPr="00FA697F" w14:paraId="2B1349E3"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065219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9.Discount rate</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2C7023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ADAA3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67C17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75E8F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782E5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979AA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15A01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AC340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54D2E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2C949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4DD53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F9E08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272F0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44CC6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618A1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FB80E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08DE58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AA64C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E9C54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41B5C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E707E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2711B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E0844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3FAB5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9C81F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31DEE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403FE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E00C1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3C74F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5F304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3CC98EC"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48%</w:t>
            </w:r>
          </w:p>
        </w:tc>
      </w:tr>
      <w:tr w:rsidR="009656BD" w:rsidRPr="00FA697F" w14:paraId="0D95231A"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1E064D2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10.Choice of health outcomes</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C99F4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F0AB7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AEF602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499E0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4039C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F63D6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9F2AC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3A011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49C56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26AA4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603A6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ADEAD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3164CD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8F743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69D86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9F449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16A9D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7EB9A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A4409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4D9D7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9DDCA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27D6E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6B3D2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15924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988AF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18579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E5DDE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7EC5C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763BA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DA95B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AD40A1"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100%</w:t>
            </w:r>
          </w:p>
        </w:tc>
      </w:tr>
      <w:tr w:rsidR="009656BD" w:rsidRPr="00FA697F" w14:paraId="79E095AC"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tcMar>
              <w:left w:w="57" w:type="dxa"/>
              <w:right w:w="57" w:type="dxa"/>
            </w:tcMar>
            <w:vAlign w:val="bottom"/>
            <w:hideMark/>
          </w:tcPr>
          <w:p w14:paraId="2D70624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11a.Measurement of effectiveness (single study-based estimates)</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7722B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7BE06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5BECE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9B9FC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4D4A9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327C2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D10E1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15D40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74FF2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6DE59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0EC5C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C7166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B41BF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A231A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57490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99737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3EFD24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63E30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08BA6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E4438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0090A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B9358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462E2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64EF3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43A36E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57E8B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F86CCC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6ADF8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0D69C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9EB76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EEBD49"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90%</w:t>
            </w:r>
          </w:p>
        </w:tc>
      </w:tr>
      <w:tr w:rsidR="009656BD" w:rsidRPr="00FA697F" w14:paraId="3A2EE85F"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7DAE6F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11b.Measurement of effectiveness</w:t>
            </w:r>
            <w:r w:rsidR="00A60DD8" w:rsidRPr="00FA697F">
              <w:rPr>
                <w:rFonts w:ascii="Times New Roman" w:eastAsia="Times New Roman" w:hAnsi="Times New Roman" w:cs="Times New Roman"/>
                <w:color w:val="000000"/>
                <w:sz w:val="16"/>
                <w:szCs w:val="16"/>
                <w:lang w:eastAsia="en-GB"/>
              </w:rPr>
              <w:t xml:space="preserve"> </w:t>
            </w:r>
            <w:r w:rsidRPr="00FA697F">
              <w:rPr>
                <w:rFonts w:ascii="Times New Roman" w:eastAsia="Times New Roman" w:hAnsi="Times New Roman" w:cs="Times New Roman"/>
                <w:color w:val="000000"/>
                <w:sz w:val="16"/>
                <w:szCs w:val="16"/>
                <w:lang w:eastAsia="en-GB"/>
              </w:rPr>
              <w:t>(synthesis-based estimates)</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DA5DF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54230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D089E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472BE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6BED6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47F298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69518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6A4D7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2A8D6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7F3A5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ED6BC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4D75A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A7943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EE925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711DE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95CC9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D5846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4475C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67F6E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7846C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3F022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415F5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F26A2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DF888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85709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3D50F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589E6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C19A8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510C7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584DF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B46FBA"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100%</w:t>
            </w:r>
          </w:p>
        </w:tc>
      </w:tr>
      <w:tr w:rsidR="009656BD" w:rsidRPr="00FA697F" w14:paraId="65B5A32B"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495480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12.Measurement and valuation of preference-based outcomes</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F8DAE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F2D01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2706E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41D83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10843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ACB10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0F65C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C06B2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DB3AF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72DFD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0306F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2EF7F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EA939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A2D0D2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5E705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08143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FC69A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6F210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53348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130C3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3C8666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0D881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2B7C5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34D7A8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6383E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AC851D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F7A66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B7915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4F7AD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295C5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C80004"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25%</w:t>
            </w:r>
          </w:p>
        </w:tc>
      </w:tr>
      <w:tr w:rsidR="009656BD" w:rsidRPr="00FA697F" w14:paraId="5B517F98"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441A36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13a.Estimating resources and costs (single study-based economic evaluation)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2781A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A5196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CCD11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7F756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C7631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30E9E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89411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920B5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7C993C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36C8E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C5312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FCC2E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CEB25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9BE4C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A4A33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15AD9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B0B64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4D550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C4A15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6EB41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FEB6C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B60E5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51D01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A9C99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5A6A22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A6BFC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171AF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71627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DC7EF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2FFF25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00001CA"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90%</w:t>
            </w:r>
          </w:p>
        </w:tc>
      </w:tr>
      <w:tr w:rsidR="009656BD" w:rsidRPr="00FA697F" w14:paraId="55A051C4"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098C28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lastRenderedPageBreak/>
              <w:t>13b.Estimating resources and costs (model-based economic evaluation)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6CC7B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3649D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BB83D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BD949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F940C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365A9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3F612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7FC5E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D7FE9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4DDDB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40661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985BC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0718E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52FD6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D04E0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4F4FA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B03D9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237CE5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F34BC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ADD96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7AC17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5C41F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5BEE8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DBC7F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93AE7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A98F39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C65C3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CBD0A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10F62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C1164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7FA9C1"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92%</w:t>
            </w:r>
          </w:p>
        </w:tc>
      </w:tr>
      <w:tr w:rsidR="009656BD" w:rsidRPr="00FA697F" w14:paraId="4F9B1167"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26DA16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14.Currency, price date, and conversion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D58DB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A9654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9FBC4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059A1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F5896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A5D41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C5764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5857E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31943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108EA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3E446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D3479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6E1E5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8F733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44870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FD2DA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CC264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E5FCE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24658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258326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91858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BBB6F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684E9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9CF88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F68FD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F8BAD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24A97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871A0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FE041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EFAAC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76F4D2"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83%</w:t>
            </w:r>
          </w:p>
        </w:tc>
      </w:tr>
      <w:tr w:rsidR="009656BD" w:rsidRPr="00FA697F" w14:paraId="465C1CF7"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AF7729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15.Choice of model</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F3B9F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32DC0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30C0F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672F7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9619B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646D3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BE057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E441B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BA6FE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631FE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CC6D0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7EE27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C3732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25A3A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03A9C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9670B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6E384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C72C16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73828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F6398F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F0E5D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AF6C4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D90E6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0B152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387EA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5F603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FB544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DD255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EF97D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A0BCE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7C447B"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67%</w:t>
            </w:r>
          </w:p>
        </w:tc>
      </w:tr>
      <w:tr w:rsidR="009656BD" w:rsidRPr="00FA697F" w14:paraId="6456E979"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6D01A5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16.Assumptions</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8FDAB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C7820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D3A8D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024F8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B2943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ECBA1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AC533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01EBD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C1055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F6FF4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ACEA0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9B5CE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47A02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D88FC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1180D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87A77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C31773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B889F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292DAD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E371A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E8D03C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D7459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953FD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3C0003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D50C4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44F8E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0C979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20837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60B05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58FAD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9B63F9"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73%</w:t>
            </w:r>
          </w:p>
        </w:tc>
      </w:tr>
      <w:tr w:rsidR="009656BD" w:rsidRPr="00FA697F" w14:paraId="2AD55FC5"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547B2A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17.Analytic methods</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9CB07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2AA75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6178F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6B3BF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E8DD4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7CF4F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CF306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7FC1F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42156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A3CBC8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188CC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3DCDDE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3977D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B7C1F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299A79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BEBA1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F6290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49194C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05E4A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2170E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F5E58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74279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1EBB3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0223F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02BCBB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343D9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2CD16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6B4CB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69F31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9EF26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C60C5E"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88%</w:t>
            </w:r>
          </w:p>
        </w:tc>
      </w:tr>
      <w:tr w:rsidR="00186F1E" w:rsidRPr="00FA697F" w14:paraId="4BC732A7" w14:textId="77777777" w:rsidTr="00B43AF8">
        <w:trPr>
          <w:trHeight w:val="154"/>
        </w:trPr>
        <w:tc>
          <w:tcPr>
            <w:tcW w:w="13953" w:type="dxa"/>
            <w:gridSpan w:val="32"/>
            <w:tcBorders>
              <w:top w:val="single" w:sz="4" w:space="0" w:color="auto"/>
              <w:left w:val="single" w:sz="4" w:space="0" w:color="auto"/>
              <w:bottom w:val="single" w:sz="4" w:space="0" w:color="auto"/>
              <w:right w:val="single" w:sz="4" w:space="0" w:color="000000"/>
            </w:tcBorders>
            <w:shd w:val="clear" w:color="auto" w:fill="auto"/>
            <w:noWrap/>
            <w:tcMar>
              <w:left w:w="57" w:type="dxa"/>
              <w:right w:w="57" w:type="dxa"/>
            </w:tcMar>
            <w:vAlign w:val="bottom"/>
            <w:hideMark/>
          </w:tcPr>
          <w:p w14:paraId="56C7D870" w14:textId="77777777" w:rsidR="00186F1E" w:rsidRPr="00FA697F" w:rsidRDefault="00186F1E" w:rsidP="00186F1E">
            <w:pPr>
              <w:spacing w:after="0" w:line="240" w:lineRule="auto"/>
              <w:rPr>
                <w:rFonts w:ascii="Times New Roman" w:eastAsia="Times New Roman" w:hAnsi="Times New Roman" w:cs="Times New Roman"/>
                <w:b/>
                <w:bCs/>
                <w:color w:val="000000"/>
                <w:sz w:val="16"/>
                <w:szCs w:val="16"/>
                <w:lang w:eastAsia="en-GB"/>
              </w:rPr>
            </w:pPr>
            <w:r w:rsidRPr="00FA697F">
              <w:rPr>
                <w:rFonts w:ascii="Times New Roman" w:eastAsia="Times New Roman" w:hAnsi="Times New Roman" w:cs="Times New Roman"/>
                <w:b/>
                <w:bCs/>
                <w:color w:val="000000"/>
                <w:sz w:val="16"/>
                <w:szCs w:val="16"/>
                <w:lang w:eastAsia="en-GB"/>
              </w:rPr>
              <w:t>Results</w:t>
            </w:r>
          </w:p>
        </w:tc>
      </w:tr>
      <w:tr w:rsidR="009656BD" w:rsidRPr="00FA697F" w14:paraId="3B0EB65E"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3EF151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18.Study parameters</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083CA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0C198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3C2CE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928F9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9BD4F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45252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AE14F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67277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62C57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3F5FD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4DB37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2EAEB0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47E6C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6D3BB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98594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A6FB4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02828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2561D3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AB3B8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1718D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1F9F9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39DD9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F5AD4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704C16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C7CC81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146AE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56E0C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F96A6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751D3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ED6D6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8A5C96"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93%</w:t>
            </w:r>
          </w:p>
        </w:tc>
      </w:tr>
      <w:tr w:rsidR="009656BD" w:rsidRPr="00FA697F" w14:paraId="103C9B07"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E76FFC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19.Incremental costs and outcomes</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3E4D2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22BA4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51A31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EA8D0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3075E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27BFD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F65E7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91BA4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DA48D4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CD12A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5117B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077DC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7215D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BC8FF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EB5BF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348BF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E97BA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38E2F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6749B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8499B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0B162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5E4B0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F7162D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E9083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ED6F4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D42C8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BCF03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58382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6F4FF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5C879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CB3852"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97%</w:t>
            </w:r>
          </w:p>
        </w:tc>
      </w:tr>
      <w:tr w:rsidR="009656BD" w:rsidRPr="00FA697F" w14:paraId="3A60A3D6"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0140B2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20a.Characterizing uncertainty (single study-based economic evaluation)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FB8B3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18867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EC31C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3EFE0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A539A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A26C7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285AD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32A24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878CE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34517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26A8F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2BBD1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01837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1CD52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2A151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7881C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17888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DDB00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B8037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68F7A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F1368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C4CA3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8F0B5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B283C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77846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E20167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0B07B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3497B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ADB21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959EA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F544E3"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59%</w:t>
            </w:r>
          </w:p>
        </w:tc>
      </w:tr>
      <w:tr w:rsidR="009656BD" w:rsidRPr="00FA697F" w14:paraId="692F3FD6"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87A2DD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20b.Characterizing uncertainty (model-based economic evaluation)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3CAC6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AEC07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71A4EF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558E9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4B02F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BD1FE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7DFC3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42C51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A90EDA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F9429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7D1D9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E4BED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79EC3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66BC1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4B73B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2A3CCF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FBC9A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73A09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E3F4E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0363A0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5BD8C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9949A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AA637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B63B4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0DAA8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52CCD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388190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344C9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6A7DF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7043E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E9CB77"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86%</w:t>
            </w:r>
          </w:p>
        </w:tc>
      </w:tr>
      <w:tr w:rsidR="009656BD" w:rsidRPr="00FA697F" w14:paraId="6FD6D4E1"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4B0EA0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21.Characterizing heterogeneity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20E0C7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0124D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EF56B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DED26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3A48B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03FD5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1A547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27F22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81016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20B53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D4300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42855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01E81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331AED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0E65D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66F31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8822C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ABF8D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75954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ECFB2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6C7EC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498B0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67CF2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83FBA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35A8E7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1724D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EC66B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2DD0A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A968E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2A83D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11B198"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100%</w:t>
            </w:r>
          </w:p>
        </w:tc>
      </w:tr>
      <w:tr w:rsidR="00186F1E" w:rsidRPr="00FA697F" w14:paraId="7F1C8E89" w14:textId="77777777" w:rsidTr="00B43AF8">
        <w:trPr>
          <w:trHeight w:val="154"/>
        </w:trPr>
        <w:tc>
          <w:tcPr>
            <w:tcW w:w="13953" w:type="dxa"/>
            <w:gridSpan w:val="32"/>
            <w:tcBorders>
              <w:top w:val="single" w:sz="4" w:space="0" w:color="auto"/>
              <w:left w:val="single" w:sz="4" w:space="0" w:color="auto"/>
              <w:bottom w:val="single" w:sz="4" w:space="0" w:color="auto"/>
              <w:right w:val="single" w:sz="4" w:space="0" w:color="000000"/>
            </w:tcBorders>
            <w:shd w:val="clear" w:color="auto" w:fill="auto"/>
            <w:noWrap/>
            <w:tcMar>
              <w:left w:w="57" w:type="dxa"/>
              <w:right w:w="57" w:type="dxa"/>
            </w:tcMar>
            <w:vAlign w:val="bottom"/>
            <w:hideMark/>
          </w:tcPr>
          <w:p w14:paraId="1FB1B294" w14:textId="77777777" w:rsidR="00186F1E" w:rsidRPr="00FA697F" w:rsidRDefault="00186F1E" w:rsidP="00186F1E">
            <w:pPr>
              <w:spacing w:after="0" w:line="240" w:lineRule="auto"/>
              <w:rPr>
                <w:rFonts w:ascii="Times New Roman" w:eastAsia="Times New Roman" w:hAnsi="Times New Roman" w:cs="Times New Roman"/>
                <w:b/>
                <w:bCs/>
                <w:color w:val="000000"/>
                <w:sz w:val="16"/>
                <w:szCs w:val="16"/>
                <w:lang w:eastAsia="en-GB"/>
              </w:rPr>
            </w:pPr>
            <w:r w:rsidRPr="00FA697F">
              <w:rPr>
                <w:rFonts w:ascii="Times New Roman" w:eastAsia="Times New Roman" w:hAnsi="Times New Roman" w:cs="Times New Roman"/>
                <w:b/>
                <w:bCs/>
                <w:color w:val="000000"/>
                <w:sz w:val="16"/>
                <w:szCs w:val="16"/>
                <w:lang w:eastAsia="en-GB"/>
              </w:rPr>
              <w:t>Discussion</w:t>
            </w:r>
          </w:p>
        </w:tc>
      </w:tr>
      <w:tr w:rsidR="009656BD" w:rsidRPr="00FA697F" w14:paraId="00904D3D"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595158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22.Study findings, limitations, generalizability, and current knowledge</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366D9E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C1EC7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99C65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5A85B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AC7B6D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ABDF9E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529A5D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CBA0B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E1592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725403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1DA07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A3279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32A4A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E3312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E1452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27253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CC82D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C4868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6A2F7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AB4E6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EAC5E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B68FD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B85CE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D00BA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5C503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7D8D6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A61F8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135A1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7460C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B26BA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D86465"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90%</w:t>
            </w:r>
          </w:p>
        </w:tc>
      </w:tr>
      <w:tr w:rsidR="00186F1E" w:rsidRPr="00FA697F" w14:paraId="1BF5FC78" w14:textId="77777777" w:rsidTr="00B43AF8">
        <w:trPr>
          <w:trHeight w:val="154"/>
        </w:trPr>
        <w:tc>
          <w:tcPr>
            <w:tcW w:w="13953" w:type="dxa"/>
            <w:gridSpan w:val="32"/>
            <w:tcBorders>
              <w:top w:val="single" w:sz="4" w:space="0" w:color="auto"/>
              <w:left w:val="single" w:sz="4" w:space="0" w:color="auto"/>
              <w:bottom w:val="single" w:sz="4" w:space="0" w:color="auto"/>
              <w:right w:val="single" w:sz="4" w:space="0" w:color="000000"/>
            </w:tcBorders>
            <w:shd w:val="clear" w:color="auto" w:fill="auto"/>
            <w:noWrap/>
            <w:tcMar>
              <w:left w:w="57" w:type="dxa"/>
              <w:right w:w="57" w:type="dxa"/>
            </w:tcMar>
            <w:vAlign w:val="bottom"/>
            <w:hideMark/>
          </w:tcPr>
          <w:p w14:paraId="3AEFC8C5" w14:textId="77777777" w:rsidR="00186F1E" w:rsidRPr="00FA697F" w:rsidRDefault="00186F1E" w:rsidP="00186F1E">
            <w:pPr>
              <w:spacing w:after="0" w:line="240" w:lineRule="auto"/>
              <w:rPr>
                <w:rFonts w:ascii="Times New Roman" w:eastAsia="Times New Roman" w:hAnsi="Times New Roman" w:cs="Times New Roman"/>
                <w:b/>
                <w:bCs/>
                <w:color w:val="000000"/>
                <w:sz w:val="16"/>
                <w:szCs w:val="16"/>
                <w:lang w:eastAsia="en-GB"/>
              </w:rPr>
            </w:pPr>
            <w:r w:rsidRPr="00FA697F">
              <w:rPr>
                <w:rFonts w:ascii="Times New Roman" w:eastAsia="Times New Roman" w:hAnsi="Times New Roman" w:cs="Times New Roman"/>
                <w:b/>
                <w:bCs/>
                <w:color w:val="000000"/>
                <w:sz w:val="16"/>
                <w:szCs w:val="16"/>
                <w:lang w:eastAsia="en-GB"/>
              </w:rPr>
              <w:t>Other</w:t>
            </w:r>
          </w:p>
        </w:tc>
      </w:tr>
      <w:tr w:rsidR="009656BD" w:rsidRPr="00FA697F" w14:paraId="1533CFFE"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46E350C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23.Source of funding</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9F8DB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0C2C4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0C4DC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0FBF6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2EA78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DE30C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00293E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F0F74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4BEFD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3C945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12F4B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43E68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EFAA2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5F5D3A"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A8869B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4C5DA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B2D1F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2F122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D85F6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CFAD5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3A60D6"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A1D75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CF307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8456B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FECD5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188B4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3A3E24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2BD20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25E88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577363"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F29B12"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55%</w:t>
            </w:r>
          </w:p>
        </w:tc>
      </w:tr>
      <w:tr w:rsidR="009656BD" w:rsidRPr="00FA697F" w14:paraId="16143C56" w14:textId="77777777" w:rsidTr="005836B5">
        <w:trPr>
          <w:trHeight w:val="154"/>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FBEFD9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24.Conflicts of interest</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1289A7"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37ADC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116FA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F5F9E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4817D7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B6466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B86610"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3062E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502C9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NA</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CC48F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17317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D0D1D4"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0EB61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6D595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0A350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A12B2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20065C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4E8159"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C53AA8"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67F44E"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1433C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13F35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P</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6A854D"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88C63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28433B"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A80AD2"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Y</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B3F2B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D72CA1F"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C0BBDC"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391"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F3D465"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N</w:t>
            </w:r>
          </w:p>
        </w:tc>
        <w:tc>
          <w:tcPr>
            <w:tcW w:w="770"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27E8A2" w14:textId="77777777" w:rsidR="00186F1E" w:rsidRPr="00FA697F" w:rsidRDefault="00186F1E" w:rsidP="00186F1E">
            <w:pPr>
              <w:spacing w:after="0" w:line="240" w:lineRule="auto"/>
              <w:jc w:val="right"/>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41%</w:t>
            </w:r>
          </w:p>
        </w:tc>
      </w:tr>
      <w:tr w:rsidR="009656BD" w:rsidRPr="00FA697F" w14:paraId="5C73757A" w14:textId="77777777" w:rsidTr="005836B5">
        <w:trPr>
          <w:trHeight w:hRule="exact" w:val="1247"/>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1F6C32DB" w14:textId="0FE5ADD5" w:rsidR="00186F1E" w:rsidRPr="00FA697F" w:rsidRDefault="00186F1E" w:rsidP="00186F1E">
            <w:pPr>
              <w:spacing w:after="0" w:line="240" w:lineRule="auto"/>
              <w:rPr>
                <w:rFonts w:ascii="Times New Roman" w:eastAsia="Times New Roman" w:hAnsi="Times New Roman" w:cs="Times New Roman"/>
                <w:b/>
                <w:bCs/>
                <w:color w:val="000000"/>
                <w:sz w:val="16"/>
                <w:szCs w:val="16"/>
                <w:lang w:eastAsia="en-GB"/>
              </w:rPr>
            </w:pPr>
            <w:r w:rsidRPr="00FA697F">
              <w:rPr>
                <w:rFonts w:ascii="Times New Roman" w:eastAsia="Times New Roman" w:hAnsi="Times New Roman" w:cs="Times New Roman"/>
                <w:b/>
                <w:bCs/>
                <w:color w:val="000000"/>
                <w:sz w:val="16"/>
                <w:szCs w:val="16"/>
                <w:lang w:eastAsia="en-GB"/>
              </w:rPr>
              <w:lastRenderedPageBreak/>
              <w:t xml:space="preserve">Reporting quality </w:t>
            </w:r>
            <w:r w:rsidR="001A63BF" w:rsidRPr="00FA697F">
              <w:rPr>
                <w:rFonts w:ascii="Times New Roman" w:eastAsia="Times New Roman" w:hAnsi="Times New Roman" w:cs="Times New Roman"/>
                <w:b/>
                <w:bCs/>
                <w:color w:val="000000"/>
                <w:sz w:val="16"/>
                <w:szCs w:val="16"/>
                <w:lang w:eastAsia="en-GB"/>
              </w:rPr>
              <w:t>(% score for all 24 items*)</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4E7C537" w14:textId="08546F35"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9063C3" w:rsidRPr="00FA697F">
              <w:rPr>
                <w:rFonts w:ascii="Times New Roman" w:eastAsia="Times New Roman" w:hAnsi="Times New Roman" w:cs="Times New Roman"/>
                <w:color w:val="000000"/>
                <w:sz w:val="16"/>
                <w:szCs w:val="16"/>
                <w:lang w:eastAsia="en-GB"/>
              </w:rPr>
              <w:t xml:space="preserve"> (</w:t>
            </w:r>
            <w:r w:rsidR="009063C3" w:rsidRPr="00FA697F">
              <w:rPr>
                <w:rFonts w:ascii="Times New Roman" w:eastAsia="Times New Roman" w:hAnsi="Times New Roman" w:cs="Times New Roman"/>
                <w:bCs/>
                <w:color w:val="000000"/>
                <w:sz w:val="16"/>
                <w:szCs w:val="16"/>
                <w:lang w:eastAsia="en-GB"/>
              </w:rPr>
              <w:t>72%)</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A8597AA" w14:textId="4C79CB9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proofErr w:type="gramStart"/>
            <w:r w:rsidRPr="00FA697F">
              <w:rPr>
                <w:rFonts w:ascii="Times New Roman" w:eastAsia="Times New Roman" w:hAnsi="Times New Roman" w:cs="Times New Roman"/>
                <w:color w:val="000000"/>
                <w:sz w:val="16"/>
                <w:szCs w:val="16"/>
                <w:lang w:eastAsia="en-GB"/>
              </w:rPr>
              <w:t>Moderate</w:t>
            </w:r>
            <w:r w:rsidR="009063C3" w:rsidRPr="00FA697F">
              <w:rPr>
                <w:rFonts w:ascii="Times New Roman" w:eastAsia="Times New Roman" w:hAnsi="Times New Roman" w:cs="Times New Roman"/>
                <w:color w:val="000000"/>
                <w:sz w:val="16"/>
                <w:szCs w:val="16"/>
                <w:lang w:eastAsia="en-GB"/>
              </w:rPr>
              <w:t xml:space="preserve">  (</w:t>
            </w:r>
            <w:proofErr w:type="gramEnd"/>
            <w:r w:rsidR="009063C3" w:rsidRPr="00FA697F">
              <w:rPr>
                <w:rFonts w:ascii="Times New Roman" w:eastAsia="Times New Roman" w:hAnsi="Times New Roman" w:cs="Times New Roman"/>
                <w:bCs/>
                <w:color w:val="000000"/>
                <w:sz w:val="16"/>
                <w:szCs w:val="16"/>
                <w:lang w:eastAsia="en-GB"/>
              </w:rPr>
              <w:t>53%)</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2180F94" w14:textId="4C2EECA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proofErr w:type="gramStart"/>
            <w:r w:rsidRPr="00FA697F">
              <w:rPr>
                <w:rFonts w:ascii="Times New Roman" w:eastAsia="Times New Roman" w:hAnsi="Times New Roman" w:cs="Times New Roman"/>
                <w:color w:val="000000"/>
                <w:sz w:val="16"/>
                <w:szCs w:val="16"/>
                <w:lang w:eastAsia="en-GB"/>
              </w:rPr>
              <w:t>Good</w:t>
            </w:r>
            <w:r w:rsidR="009063C3" w:rsidRPr="00FA697F">
              <w:rPr>
                <w:rFonts w:ascii="Times New Roman" w:eastAsia="Times New Roman" w:hAnsi="Times New Roman" w:cs="Times New Roman"/>
                <w:color w:val="000000"/>
                <w:sz w:val="16"/>
                <w:szCs w:val="16"/>
                <w:lang w:eastAsia="en-GB"/>
              </w:rPr>
              <w:t xml:space="preserve">  (</w:t>
            </w:r>
            <w:proofErr w:type="gramEnd"/>
            <w:r w:rsidR="009063C3" w:rsidRPr="00FA697F">
              <w:rPr>
                <w:rFonts w:ascii="Times New Roman" w:eastAsia="Times New Roman" w:hAnsi="Times New Roman" w:cs="Times New Roman"/>
                <w:bCs/>
                <w:color w:val="000000"/>
                <w:sz w:val="16"/>
                <w:szCs w:val="16"/>
                <w:lang w:eastAsia="en-GB"/>
              </w:rPr>
              <w:t>78%)</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401A6ACC" w14:textId="70338392"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Low</w:t>
            </w:r>
            <w:r w:rsidR="009063C3" w:rsidRPr="00FA697F">
              <w:rPr>
                <w:rFonts w:ascii="Times New Roman" w:eastAsia="Times New Roman" w:hAnsi="Times New Roman" w:cs="Times New Roman"/>
                <w:color w:val="000000"/>
                <w:sz w:val="16"/>
                <w:szCs w:val="16"/>
                <w:lang w:eastAsia="en-GB"/>
              </w:rPr>
              <w:t xml:space="preserve"> (48%)</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FEC0846" w14:textId="074DE26F"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9063C3" w:rsidRPr="00FA697F">
              <w:rPr>
                <w:rFonts w:ascii="Times New Roman" w:eastAsia="Times New Roman" w:hAnsi="Times New Roman" w:cs="Times New Roman"/>
                <w:color w:val="000000"/>
                <w:sz w:val="16"/>
                <w:szCs w:val="16"/>
                <w:lang w:eastAsia="en-GB"/>
              </w:rPr>
              <w:t xml:space="preserve"> (65%)</w:t>
            </w:r>
          </w:p>
          <w:p w14:paraId="507FD944" w14:textId="7B5B12C5" w:rsidR="009063C3" w:rsidRPr="00FA697F" w:rsidRDefault="009063C3" w:rsidP="00186F1E">
            <w:pPr>
              <w:spacing w:after="0" w:line="240" w:lineRule="auto"/>
              <w:rPr>
                <w:rFonts w:ascii="Times New Roman" w:eastAsia="Times New Roman" w:hAnsi="Times New Roman" w:cs="Times New Roman"/>
                <w:color w:val="000000"/>
                <w:sz w:val="16"/>
                <w:szCs w:val="16"/>
                <w:lang w:eastAsia="en-GB"/>
              </w:rPr>
            </w:pP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53BEF8A4" w14:textId="1726909E"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9063C3" w:rsidRPr="00FA697F">
              <w:rPr>
                <w:rFonts w:ascii="Times New Roman" w:eastAsia="Times New Roman" w:hAnsi="Times New Roman" w:cs="Times New Roman"/>
                <w:color w:val="000000"/>
                <w:sz w:val="16"/>
                <w:szCs w:val="16"/>
                <w:lang w:eastAsia="en-GB"/>
              </w:rPr>
              <w:t xml:space="preserve"> (58%)</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0559DD8" w14:textId="366EC2BA"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(65%)</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4F954162" w14:textId="4AC4C12A"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(83%)</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BFA253E" w14:textId="2BA22B4F"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(91%)</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367390CB" w14:textId="44D5B691"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(88%)</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0A868A59" w14:textId="15E5C646"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(71%)</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6764090" w14:textId="096F437F"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(61%)</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197B20C" w14:textId="60882DF8"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Low</w:t>
            </w:r>
            <w:r w:rsidR="001A63BF" w:rsidRPr="00FA697F">
              <w:rPr>
                <w:rFonts w:ascii="Times New Roman" w:eastAsia="Times New Roman" w:hAnsi="Times New Roman" w:cs="Times New Roman"/>
                <w:color w:val="000000"/>
                <w:sz w:val="16"/>
                <w:szCs w:val="16"/>
                <w:lang w:eastAsia="en-GB"/>
              </w:rPr>
              <w:t xml:space="preserve"> (24%)</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396591E" w14:textId="69C604C3"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(79%)</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09E596D0" w14:textId="6841A508"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(63%)</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47D764E8" w14:textId="6179A8BC"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(63%)</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D46ECBA" w14:textId="629C250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(73%)</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4F46A3F" w14:textId="44053AE6"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(76%)</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7F9CC215" w14:textId="762708C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(77%)</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3BCE9F9B" w14:textId="2BA96499"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(90%)</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00CDE071" w14:textId="75892042"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(59%)</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75280E70" w14:textId="53DE27A0"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(73%)</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CBED228" w14:textId="5EC21AD6"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(73%)</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5F910419" w14:textId="4D40D80F"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(97%)</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59571C6E" w14:textId="7A1C08BF"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(79%)</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7DEA90A2" w14:textId="724C4319"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(62%)</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ABB8D8A" w14:textId="77452CE9"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(57%)</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7831B62E" w14:textId="54606DAF"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(71%)</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626F4C1" w14:textId="38AB1CFD"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(50%)</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3F885546" w14:textId="1444B27A"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(74%)</w:t>
            </w:r>
          </w:p>
        </w:tc>
        <w:tc>
          <w:tcPr>
            <w:tcW w:w="77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C3C2B01" w14:textId="77777777"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Low: 7%</w:t>
            </w:r>
            <w:r w:rsidRPr="00FA697F">
              <w:rPr>
                <w:rFonts w:ascii="Times New Roman" w:eastAsia="Times New Roman" w:hAnsi="Times New Roman" w:cs="Times New Roman"/>
                <w:color w:val="000000"/>
                <w:sz w:val="16"/>
                <w:szCs w:val="16"/>
                <w:lang w:eastAsia="en-GB"/>
              </w:rPr>
              <w:br/>
              <w:t>Moderate: 60%</w:t>
            </w:r>
            <w:r w:rsidRPr="00FA697F">
              <w:rPr>
                <w:rFonts w:ascii="Times New Roman" w:eastAsia="Times New Roman" w:hAnsi="Times New Roman" w:cs="Times New Roman"/>
                <w:color w:val="000000"/>
                <w:sz w:val="16"/>
                <w:szCs w:val="16"/>
                <w:lang w:eastAsia="en-GB"/>
              </w:rPr>
              <w:br/>
              <w:t>Good: 33%</w:t>
            </w:r>
          </w:p>
          <w:p w14:paraId="5B4AB7A1" w14:textId="77777777" w:rsidR="00186F1E" w:rsidRPr="00FA697F" w:rsidRDefault="00186F1E" w:rsidP="00186F1E">
            <w:pPr>
              <w:spacing w:after="0" w:line="240" w:lineRule="auto"/>
              <w:rPr>
                <w:rFonts w:ascii="Times New Roman" w:eastAsia="Times New Roman" w:hAnsi="Times New Roman" w:cs="Times New Roman"/>
                <w:color w:val="000000"/>
                <w:sz w:val="16"/>
                <w:szCs w:val="16"/>
                <w:lang w:eastAsia="en-GB"/>
              </w:rPr>
            </w:pPr>
          </w:p>
        </w:tc>
      </w:tr>
      <w:tr w:rsidR="009656BD" w:rsidRPr="00FA697F" w14:paraId="45D676E0" w14:textId="77777777" w:rsidTr="005836B5">
        <w:trPr>
          <w:cantSplit/>
          <w:trHeight w:hRule="exact" w:val="1247"/>
        </w:trPr>
        <w:tc>
          <w:tcPr>
            <w:tcW w:w="147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927D4D1" w14:textId="3929DB21" w:rsidR="00A60DD8" w:rsidRPr="00FA697F" w:rsidRDefault="00A60DD8" w:rsidP="00A60DD8">
            <w:pPr>
              <w:spacing w:after="0" w:line="240" w:lineRule="auto"/>
              <w:rPr>
                <w:rFonts w:ascii="Times New Roman" w:eastAsia="Times New Roman" w:hAnsi="Times New Roman" w:cs="Times New Roman"/>
                <w:b/>
                <w:bCs/>
                <w:color w:val="000000"/>
                <w:sz w:val="16"/>
                <w:szCs w:val="16"/>
                <w:lang w:eastAsia="en-GB"/>
              </w:rPr>
            </w:pPr>
            <w:r w:rsidRPr="00FA697F">
              <w:rPr>
                <w:rFonts w:ascii="Times New Roman" w:eastAsia="Times New Roman" w:hAnsi="Times New Roman" w:cs="Times New Roman"/>
                <w:b/>
                <w:bCs/>
                <w:color w:val="000000"/>
                <w:sz w:val="16"/>
                <w:szCs w:val="16"/>
                <w:lang w:eastAsia="en-GB"/>
              </w:rPr>
              <w:t xml:space="preserve">Reporting quality </w:t>
            </w:r>
            <w:r w:rsidR="00716677" w:rsidRPr="00FA697F">
              <w:rPr>
                <w:rFonts w:ascii="Times New Roman" w:eastAsia="Times New Roman" w:hAnsi="Times New Roman" w:cs="Times New Roman"/>
                <w:b/>
                <w:bCs/>
                <w:color w:val="000000"/>
                <w:sz w:val="16"/>
                <w:szCs w:val="16"/>
                <w:lang w:eastAsia="en-GB"/>
              </w:rPr>
              <w:t xml:space="preserve">(% score </w:t>
            </w:r>
            <w:r w:rsidRPr="00FA697F">
              <w:rPr>
                <w:rFonts w:ascii="Times New Roman" w:eastAsia="Times New Roman" w:hAnsi="Times New Roman" w:cs="Times New Roman"/>
                <w:b/>
                <w:bCs/>
                <w:color w:val="000000"/>
                <w:sz w:val="16"/>
                <w:szCs w:val="16"/>
                <w:lang w:eastAsia="en-GB"/>
              </w:rPr>
              <w:t>excluding items 23 &amp; 24)</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481C2B7E" w14:textId="427EDD45"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(81%)</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7BBD6B3E" w14:textId="37E3AA82"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(56%)</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CC82E00" w14:textId="3B29EF16"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(84%)</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6996EE0" w14:textId="0B1943C7"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(50%)</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73F35AF" w14:textId="50015FC4"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(72%)</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EFB37CA" w14:textId="10FFB0D7"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(58%)</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36982995" w14:textId="4D45C483"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(69%)</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068013DF" w14:textId="492B70E6"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(81%)</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7A870436" w14:textId="74ECDC73"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(91%)</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8B98048" w14:textId="4C9DDE75"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(87%)</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F7B1CF3" w14:textId="441314A3"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(67%)</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1128B77" w14:textId="268C0B8C"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(62%)</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F7D315E" w14:textId="13643186"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Low</w:t>
            </w:r>
            <w:r w:rsidR="001A63BF" w:rsidRPr="00FA697F">
              <w:rPr>
                <w:rFonts w:ascii="Times New Roman" w:eastAsia="Times New Roman" w:hAnsi="Times New Roman" w:cs="Times New Roman"/>
                <w:color w:val="000000"/>
                <w:sz w:val="16"/>
                <w:szCs w:val="16"/>
                <w:lang w:eastAsia="en-GB"/>
              </w:rPr>
              <w:t xml:space="preserve"> (24%)</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0DBB486" w14:textId="155579B5"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(76%)</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7A93633" w14:textId="347CAD53"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(71%)</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190FAE0" w14:textId="07D8917A"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(71%)</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51F52DA1" w14:textId="7A651B6B"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(78%)</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45E4538D" w14:textId="25D7E226"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(83%)</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3662ECC" w14:textId="182D5AF7"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(73%)</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621E3B7F" w14:textId="3ABCD18D"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(92%)</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3CDD6CD9" w14:textId="30BF5A8C"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(65%)</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5A5A863" w14:textId="4D22C842"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(75%)</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0F39927E" w14:textId="5565A13D"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(85%)</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EB5ABEA" w14:textId="6C44A28F"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(96%)</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0A90F612" w14:textId="2BB79060"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(76%)</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763CBDA5" w14:textId="248D7FDB"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(63%)</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13444A1F" w14:textId="0D30DAE3"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(62%)</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3DDC3F62" w14:textId="14B1DDB1"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(79%)</w:t>
            </w:r>
          </w:p>
        </w:tc>
        <w:tc>
          <w:tcPr>
            <w:tcW w:w="39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45786E50" w14:textId="0A8FFA1F"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Moderate</w:t>
            </w:r>
            <w:r w:rsidR="001A63BF" w:rsidRPr="00FA697F">
              <w:rPr>
                <w:rFonts w:ascii="Times New Roman" w:eastAsia="Times New Roman" w:hAnsi="Times New Roman" w:cs="Times New Roman"/>
                <w:color w:val="000000"/>
                <w:sz w:val="16"/>
                <w:szCs w:val="16"/>
                <w:lang w:eastAsia="en-GB"/>
              </w:rPr>
              <w:t xml:space="preserve"> (57%)</w:t>
            </w:r>
          </w:p>
        </w:tc>
        <w:tc>
          <w:tcPr>
            <w:tcW w:w="391"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382CD97E" w14:textId="50A2F7D2" w:rsidR="00A60DD8" w:rsidRPr="00FA697F" w:rsidRDefault="00A60DD8" w:rsidP="00A60DD8">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Good</w:t>
            </w:r>
            <w:r w:rsidR="001A63BF" w:rsidRPr="00FA697F">
              <w:rPr>
                <w:rFonts w:ascii="Times New Roman" w:eastAsia="Times New Roman" w:hAnsi="Times New Roman" w:cs="Times New Roman"/>
                <w:color w:val="000000"/>
                <w:sz w:val="16"/>
                <w:szCs w:val="16"/>
                <w:lang w:eastAsia="en-GB"/>
              </w:rPr>
              <w:t xml:space="preserve"> (82%)</w:t>
            </w:r>
          </w:p>
        </w:tc>
        <w:tc>
          <w:tcPr>
            <w:tcW w:w="770" w:type="dxa"/>
            <w:tcBorders>
              <w:top w:val="nil"/>
              <w:left w:val="nil"/>
              <w:bottom w:val="single" w:sz="4" w:space="0" w:color="auto"/>
              <w:right w:val="single" w:sz="4" w:space="0" w:color="auto"/>
            </w:tcBorders>
            <w:shd w:val="clear" w:color="auto" w:fill="auto"/>
            <w:noWrap/>
            <w:tcMar>
              <w:left w:w="57" w:type="dxa"/>
              <w:right w:w="57" w:type="dxa"/>
            </w:tcMar>
            <w:textDirection w:val="btLr"/>
            <w:vAlign w:val="bottom"/>
            <w:hideMark/>
          </w:tcPr>
          <w:p w14:paraId="2BA075DD" w14:textId="77777777" w:rsidR="00A60DD8" w:rsidRPr="00FA697F" w:rsidRDefault="00A60DD8" w:rsidP="009656BD">
            <w:pPr>
              <w:spacing w:after="0" w:line="240" w:lineRule="auto"/>
              <w:rPr>
                <w:rFonts w:ascii="Times New Roman" w:eastAsia="Times New Roman" w:hAnsi="Times New Roman" w:cs="Times New Roman"/>
                <w:color w:val="000000"/>
                <w:sz w:val="16"/>
                <w:szCs w:val="16"/>
                <w:lang w:eastAsia="en-GB"/>
              </w:rPr>
            </w:pPr>
            <w:r w:rsidRPr="00FA697F">
              <w:rPr>
                <w:rFonts w:ascii="Times New Roman" w:eastAsia="Times New Roman" w:hAnsi="Times New Roman" w:cs="Times New Roman"/>
                <w:color w:val="000000"/>
                <w:sz w:val="16"/>
                <w:szCs w:val="16"/>
                <w:lang w:eastAsia="en-GB"/>
              </w:rPr>
              <w:t>Low: 3%</w:t>
            </w:r>
            <w:r w:rsidRPr="00FA697F">
              <w:rPr>
                <w:rFonts w:ascii="Times New Roman" w:eastAsia="Times New Roman" w:hAnsi="Times New Roman" w:cs="Times New Roman"/>
                <w:color w:val="000000"/>
                <w:sz w:val="16"/>
                <w:szCs w:val="16"/>
                <w:lang w:eastAsia="en-GB"/>
              </w:rPr>
              <w:br/>
              <w:t xml:space="preserve">Moderate: </w:t>
            </w:r>
            <w:r w:rsidR="009656BD" w:rsidRPr="00FA697F">
              <w:rPr>
                <w:rFonts w:ascii="Times New Roman" w:eastAsia="Times New Roman" w:hAnsi="Times New Roman" w:cs="Times New Roman"/>
                <w:color w:val="000000"/>
                <w:sz w:val="16"/>
                <w:szCs w:val="16"/>
                <w:lang w:eastAsia="en-GB"/>
              </w:rPr>
              <w:t xml:space="preserve"> 47% </w:t>
            </w:r>
            <w:r w:rsidRPr="00FA697F">
              <w:rPr>
                <w:rFonts w:ascii="Times New Roman" w:eastAsia="Times New Roman" w:hAnsi="Times New Roman" w:cs="Times New Roman"/>
                <w:color w:val="000000"/>
                <w:sz w:val="16"/>
                <w:szCs w:val="16"/>
                <w:lang w:eastAsia="en-GB"/>
              </w:rPr>
              <w:t xml:space="preserve">Good: </w:t>
            </w:r>
            <w:r w:rsidR="009656BD" w:rsidRPr="00FA697F">
              <w:rPr>
                <w:rFonts w:ascii="Times New Roman" w:eastAsia="Times New Roman" w:hAnsi="Times New Roman" w:cs="Times New Roman"/>
                <w:color w:val="000000"/>
                <w:sz w:val="16"/>
                <w:szCs w:val="16"/>
                <w:lang w:eastAsia="en-GB"/>
              </w:rPr>
              <w:t>50%</w:t>
            </w:r>
          </w:p>
        </w:tc>
      </w:tr>
    </w:tbl>
    <w:p w14:paraId="4F9B562D" w14:textId="15C8445A" w:rsidR="0067780C" w:rsidRPr="00FA697F" w:rsidRDefault="00186F1E" w:rsidP="002237B6">
      <w:pPr>
        <w:spacing w:line="276" w:lineRule="auto"/>
        <w:rPr>
          <w:rFonts w:ascii="Times New Roman" w:hAnsi="Times New Roman" w:cs="Times New Roman"/>
          <w:sz w:val="16"/>
          <w:szCs w:val="16"/>
        </w:rPr>
      </w:pPr>
      <w:r w:rsidRPr="00FA697F">
        <w:rPr>
          <w:rFonts w:ascii="Times New Roman" w:hAnsi="Times New Roman" w:cs="Times New Roman"/>
          <w:sz w:val="16"/>
          <w:szCs w:val="16"/>
        </w:rPr>
        <w:t>Studies were assigned 2 points per item for Y, 1 point for P and 0 for N.</w:t>
      </w:r>
    </w:p>
    <w:p w14:paraId="1545DE48" w14:textId="77777777" w:rsidR="00B07072" w:rsidRPr="00FA697F" w:rsidRDefault="00186F1E" w:rsidP="002237B6">
      <w:pPr>
        <w:spacing w:line="276" w:lineRule="auto"/>
        <w:rPr>
          <w:sz w:val="16"/>
          <w:szCs w:val="16"/>
        </w:rPr>
      </w:pPr>
      <w:r w:rsidRPr="00FA697F">
        <w:rPr>
          <w:rFonts w:ascii="Times New Roman" w:hAnsi="Times New Roman" w:cs="Times New Roman"/>
          <w:sz w:val="16"/>
          <w:szCs w:val="16"/>
        </w:rPr>
        <w:t>Abbreviations: Y: Fully considered. P: Partially considered. N: Not considered. NA: Not ap</w:t>
      </w:r>
      <w:bookmarkStart w:id="0" w:name="_GoBack"/>
      <w:bookmarkEnd w:id="0"/>
      <w:r w:rsidRPr="00FA697F">
        <w:rPr>
          <w:rFonts w:ascii="Times New Roman" w:hAnsi="Times New Roman" w:cs="Times New Roman"/>
          <w:sz w:val="16"/>
          <w:szCs w:val="16"/>
        </w:rPr>
        <w:t>plicable.</w:t>
      </w:r>
    </w:p>
    <w:p w14:paraId="346D3325" w14:textId="77777777" w:rsidR="00062037" w:rsidRDefault="00062037">
      <w:pPr>
        <w:rPr>
          <w:rFonts w:ascii="Times New Roman" w:hAnsi="Times New Roman" w:cs="Times New Roman"/>
          <w:b/>
          <w:sz w:val="24"/>
          <w:szCs w:val="24"/>
        </w:rPr>
        <w:sectPr w:rsidR="00062037" w:rsidSect="00115C53">
          <w:footerReference w:type="default" r:id="rId8"/>
          <w:pgSz w:w="16838" w:h="11906" w:orient="landscape"/>
          <w:pgMar w:top="1440" w:right="1440" w:bottom="1440" w:left="1440" w:header="708" w:footer="708" w:gutter="0"/>
          <w:cols w:space="708"/>
          <w:docGrid w:linePitch="360"/>
        </w:sectPr>
      </w:pPr>
    </w:p>
    <w:p w14:paraId="5C4FD4C0" w14:textId="77777777" w:rsidR="00B07072" w:rsidRDefault="00B07072">
      <w:pPr>
        <w:rPr>
          <w:rFonts w:ascii="Times New Roman" w:hAnsi="Times New Roman" w:cs="Times New Roman"/>
          <w:b/>
          <w:sz w:val="24"/>
          <w:szCs w:val="24"/>
        </w:rPr>
      </w:pPr>
      <w:r w:rsidRPr="00967181">
        <w:rPr>
          <w:rFonts w:ascii="Times New Roman" w:hAnsi="Times New Roman" w:cs="Times New Roman"/>
          <w:b/>
          <w:sz w:val="24"/>
          <w:szCs w:val="24"/>
        </w:rPr>
        <w:lastRenderedPageBreak/>
        <w:t>References</w:t>
      </w:r>
    </w:p>
    <w:p w14:paraId="7DA1C06F" w14:textId="77777777" w:rsidR="009E61E2" w:rsidRPr="009E61E2" w:rsidRDefault="00BB5EEC"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9E61E2" w:rsidRPr="009E61E2">
        <w:rPr>
          <w:rFonts w:ascii="Times New Roman" w:hAnsi="Times New Roman" w:cs="Times New Roman"/>
          <w:noProof/>
          <w:sz w:val="24"/>
          <w:szCs w:val="24"/>
        </w:rPr>
        <w:t xml:space="preserve">1. </w:t>
      </w:r>
      <w:r w:rsidR="009E61E2" w:rsidRPr="009E61E2">
        <w:rPr>
          <w:rFonts w:ascii="Times New Roman" w:hAnsi="Times New Roman" w:cs="Times New Roman"/>
          <w:noProof/>
          <w:sz w:val="24"/>
          <w:szCs w:val="24"/>
        </w:rPr>
        <w:tab/>
        <w:t xml:space="preserve">Day K, Booyens S. The cost-effectiveness of managed care regarding chronic medicine prescriptions in a selected medical scheme. Curationis. 1998;21(4):65–70. </w:t>
      </w:r>
    </w:p>
    <w:p w14:paraId="416057BD"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 </w:t>
      </w:r>
      <w:r w:rsidRPr="009E61E2">
        <w:rPr>
          <w:rFonts w:ascii="Times New Roman" w:hAnsi="Times New Roman" w:cs="Times New Roman"/>
          <w:noProof/>
          <w:sz w:val="24"/>
          <w:szCs w:val="24"/>
        </w:rPr>
        <w:tab/>
        <w:t>Edwards PR, Lunt DW, Fehrsen GS, Lombard CJ, Steyn K. Improving cost-effectiveness of hypertension management at a community health centre. S Afr Med J [Internet]. 1998 May;88(5):549–54. Available from: NL_INC</w:t>
      </w:r>
    </w:p>
    <w:p w14:paraId="2812B96A"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3. </w:t>
      </w:r>
      <w:r w:rsidRPr="009E61E2">
        <w:rPr>
          <w:rFonts w:ascii="Times New Roman" w:hAnsi="Times New Roman" w:cs="Times New Roman"/>
          <w:noProof/>
          <w:sz w:val="24"/>
          <w:szCs w:val="24"/>
        </w:rPr>
        <w:tab/>
        <w:t>Anderson AN, Wessels F, Moodley I, Kropman K. AT1 receptor blockers--cost-effectiveness within the South African context. S Afr Med J [Internet]. 2000 May;90(5):494–8. Available from: NL_INC</w:t>
      </w:r>
    </w:p>
    <w:p w14:paraId="715FE37B"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4. </w:t>
      </w:r>
      <w:r w:rsidRPr="009E61E2">
        <w:rPr>
          <w:rFonts w:ascii="Times New Roman" w:hAnsi="Times New Roman" w:cs="Times New Roman"/>
          <w:noProof/>
          <w:sz w:val="24"/>
          <w:szCs w:val="24"/>
        </w:rPr>
        <w:tab/>
        <w:t xml:space="preserve">Ker JA, Oosthuizen H, Rheeder P. Decision-making using absolute cardiovascular risk reduction and incremental cost-effectiveness ratios: A case study. Cardiovasc J Afr. 2008;19(2):97–101. </w:t>
      </w:r>
    </w:p>
    <w:p w14:paraId="06A6ECEF"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5. </w:t>
      </w:r>
      <w:r w:rsidRPr="009E61E2">
        <w:rPr>
          <w:rFonts w:ascii="Times New Roman" w:hAnsi="Times New Roman" w:cs="Times New Roman"/>
          <w:noProof/>
          <w:sz w:val="24"/>
          <w:szCs w:val="24"/>
        </w:rPr>
        <w:tab/>
        <w:t>Makkink JL, Greeff OBW. Angiotensin converting enzyme inhibitors v. angiotensin receptor blockers in the management of hypertension: a funder’s perspective. S Afr Med J [Internet]. 2014 Apr;104(4):292–4. Available from: NL_EXC</w:t>
      </w:r>
    </w:p>
    <w:p w14:paraId="4CDC3B0E"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6. </w:t>
      </w:r>
      <w:r w:rsidRPr="009E61E2">
        <w:rPr>
          <w:rFonts w:ascii="Times New Roman" w:hAnsi="Times New Roman" w:cs="Times New Roman"/>
          <w:noProof/>
          <w:sz w:val="24"/>
          <w:szCs w:val="24"/>
        </w:rPr>
        <w:tab/>
      </w:r>
      <w:r w:rsidRPr="00062037">
        <w:rPr>
          <w:rFonts w:ascii="Times New Roman" w:hAnsi="Times New Roman" w:cs="Times New Roman"/>
          <w:noProof/>
          <w:sz w:val="24"/>
          <w:szCs w:val="24"/>
          <w:lang w:val="de-DE"/>
        </w:rPr>
        <w:t xml:space="preserve">Gaziano TA, Bertram M, Tollman SM, Hofman KJ. </w:t>
      </w:r>
      <w:r w:rsidRPr="009E61E2">
        <w:rPr>
          <w:rFonts w:ascii="Times New Roman" w:hAnsi="Times New Roman" w:cs="Times New Roman"/>
          <w:noProof/>
          <w:sz w:val="24"/>
          <w:szCs w:val="24"/>
        </w:rPr>
        <w:t>Hypertension education and adherence in South Africa: a cost-effectiveness analysis of community health workers. BMC Public Health [Internet]. 2014 Mar;14:240. Available from: NL_INC</w:t>
      </w:r>
    </w:p>
    <w:p w14:paraId="37D264B3"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7. </w:t>
      </w:r>
      <w:r w:rsidRPr="009E61E2">
        <w:rPr>
          <w:rFonts w:ascii="Times New Roman" w:hAnsi="Times New Roman" w:cs="Times New Roman"/>
          <w:noProof/>
          <w:sz w:val="24"/>
          <w:szCs w:val="24"/>
        </w:rPr>
        <w:tab/>
        <w:t>Gaziano T, Abrahams-Gessel S, Surka S, Sy S, Pandya A, Denman CA, et al. Cardiovascular disease screening by community health workers can be cost-effective in low- resource countries. Health Aff [Internet]. 2015;34(9):1538–45. Available from: https://www.scopus.com/inward/record.uri?eid=2-s2.0-84942309984&amp;doi=10.1377%2Fhlthaff.2015.0349&amp;partnerID=40&amp;md5=cc210ab65a3a2ef65981ffa0e53131c1</w:t>
      </w:r>
    </w:p>
    <w:p w14:paraId="1D6DEDFD"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8. </w:t>
      </w:r>
      <w:r w:rsidRPr="009E61E2">
        <w:rPr>
          <w:rFonts w:ascii="Times New Roman" w:hAnsi="Times New Roman" w:cs="Times New Roman"/>
          <w:noProof/>
          <w:sz w:val="24"/>
          <w:szCs w:val="24"/>
        </w:rPr>
        <w:tab/>
        <w:t>Basu S, Wagner RG, Sewpaul R, Reddy P, Davies J. Implications of scaling up cardiovascular disease treatment in South Africa: a microsimulation and cost-effectiveness analysis. Lancet Glob Heal [Internet]. 2019 Feb;7(2):e270–80. Available from: NL_INC</w:t>
      </w:r>
    </w:p>
    <w:p w14:paraId="1D4FB6EA"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9. </w:t>
      </w:r>
      <w:r w:rsidRPr="009E61E2">
        <w:rPr>
          <w:rFonts w:ascii="Times New Roman" w:hAnsi="Times New Roman" w:cs="Times New Roman"/>
          <w:noProof/>
          <w:sz w:val="24"/>
          <w:szCs w:val="24"/>
        </w:rPr>
        <w:tab/>
        <w:t xml:space="preserve">Nomame S. Development of a Model To Predict the Cost of Management of Diabetes Mellitus and Its Complications At Groote Schuur Hospital. </w:t>
      </w:r>
    </w:p>
    <w:p w14:paraId="1628E4BC"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10. </w:t>
      </w:r>
      <w:r w:rsidRPr="009E61E2">
        <w:rPr>
          <w:rFonts w:ascii="Times New Roman" w:hAnsi="Times New Roman" w:cs="Times New Roman"/>
          <w:noProof/>
          <w:sz w:val="24"/>
          <w:szCs w:val="24"/>
        </w:rPr>
        <w:tab/>
        <w:t>Volmink HC, Bertram MY, Jina R, Wade AN, Hofman KJ. Applying a private sector capitation model to the management of type 2 diabetes in the South African public sector: A cost-effectiveness analysis. BMC Health Serv Res [Internet]. 2014;14(1). Available from: https://www.scopus.com/inward/record.uri?eid=2-s2.0-84908086237&amp;doi=10.1186%2F1472-6963-14-444&amp;partnerID=40&amp;md5=b35aa3f3e5075226b7573520ec168376</w:t>
      </w:r>
    </w:p>
    <w:p w14:paraId="39DBBCD7"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11. </w:t>
      </w:r>
      <w:r w:rsidRPr="009E61E2">
        <w:rPr>
          <w:rFonts w:ascii="Times New Roman" w:hAnsi="Times New Roman" w:cs="Times New Roman"/>
          <w:noProof/>
          <w:sz w:val="24"/>
          <w:szCs w:val="24"/>
        </w:rPr>
        <w:tab/>
        <w:t xml:space="preserve">Erzse A, Stacey N, Chola L, Tugendhaft A, Freeman M, Hofman K. The direct medical cost of type 2 diabetes mellitus in South Africa: a cost of illness study. Glob Health Action. 2019;12(1):1–9. </w:t>
      </w:r>
    </w:p>
    <w:p w14:paraId="3DE854F4"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12. </w:t>
      </w:r>
      <w:r w:rsidRPr="009E61E2">
        <w:rPr>
          <w:rFonts w:ascii="Times New Roman" w:hAnsi="Times New Roman" w:cs="Times New Roman"/>
          <w:noProof/>
          <w:sz w:val="24"/>
          <w:szCs w:val="24"/>
        </w:rPr>
        <w:tab/>
        <w:t xml:space="preserve">Ncube-Zulu T, Danckwerts MP. Comparative hospitalization cost and length of stay between patients with and without diabetes in a large tertiary hospital in Johannesburg, South Africa. Int J Diabetes Dev Ctries. 2014;34(3):156–62. </w:t>
      </w:r>
    </w:p>
    <w:p w14:paraId="150FEE1C"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lastRenderedPageBreak/>
        <w:t xml:space="preserve">13. </w:t>
      </w:r>
      <w:r w:rsidRPr="009E61E2">
        <w:rPr>
          <w:rFonts w:ascii="Times New Roman" w:hAnsi="Times New Roman" w:cs="Times New Roman"/>
          <w:noProof/>
          <w:sz w:val="24"/>
          <w:szCs w:val="24"/>
        </w:rPr>
        <w:tab/>
        <w:t xml:space="preserve">Joannou J, Kalk WJ, Mahomed I, Ntsepo S, Berzin M, Joffe BI, et al. Screening for diabetic retinopathy in South Africa with 60° retinal colour photography. J Intern Med. 1996;239(1):43–7. </w:t>
      </w:r>
    </w:p>
    <w:p w14:paraId="1F2E5701"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14. </w:t>
      </w:r>
      <w:r w:rsidRPr="009E61E2">
        <w:rPr>
          <w:rFonts w:ascii="Times New Roman" w:hAnsi="Times New Roman" w:cs="Times New Roman"/>
          <w:noProof/>
          <w:sz w:val="24"/>
          <w:szCs w:val="24"/>
        </w:rPr>
        <w:tab/>
        <w:t>Khan T, Bertram MY, Jina R, Mash B, Levitt N, Hofman K. Preventing diabetes blindness: Cost effectiveness of a screening programme using digital non-mydriatic fundus photography for diabetic retinopathy in a primary health care setting in South Africa. Diabetes Res Clin Pract [Internet]. 2013;101(2):170–6. Available from: https://www.scopus.com/inward/record.uri?eid=2-s2.0-84881312079&amp;doi=10.1016%2Fj.diabres.2013.05.006&amp;partnerID=40&amp;md5=0091ff0f25f877f5b2b785c4a63da005</w:t>
      </w:r>
    </w:p>
    <w:p w14:paraId="4FCC88FE"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15. </w:t>
      </w:r>
      <w:r w:rsidRPr="009E61E2">
        <w:rPr>
          <w:rFonts w:ascii="Times New Roman" w:hAnsi="Times New Roman" w:cs="Times New Roman"/>
          <w:noProof/>
          <w:sz w:val="24"/>
          <w:szCs w:val="24"/>
        </w:rPr>
        <w:tab/>
        <w:t xml:space="preserve">Pepper DJ, Levitt NS, Cleary S, Burch VC. Hyperglycaemic emergency admissions to a secondary-level hospital - An unnecessary financial burden. South African Med J. 2007;97(10 I):963–7. </w:t>
      </w:r>
    </w:p>
    <w:p w14:paraId="74B06AFC"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16. </w:t>
      </w:r>
      <w:r w:rsidRPr="009E61E2">
        <w:rPr>
          <w:rFonts w:ascii="Times New Roman" w:hAnsi="Times New Roman" w:cs="Times New Roman"/>
          <w:noProof/>
          <w:sz w:val="24"/>
          <w:szCs w:val="24"/>
        </w:rPr>
        <w:tab/>
        <w:t xml:space="preserve">Wessels F. Is fenofibrate a cost-saving treatment for middle-aged individuals with type 2 diabetes? A South African private-sector perspective. Cardiovasc J Afr. 2010;21(1):43–6. </w:t>
      </w:r>
    </w:p>
    <w:p w14:paraId="2F054946"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17. </w:t>
      </w:r>
      <w:r w:rsidRPr="009E61E2">
        <w:rPr>
          <w:rFonts w:ascii="Times New Roman" w:hAnsi="Times New Roman" w:cs="Times New Roman"/>
          <w:noProof/>
          <w:sz w:val="24"/>
          <w:szCs w:val="24"/>
        </w:rPr>
        <w:tab/>
        <w:t xml:space="preserve">Gaziano T, Cho S, Sy S, Pandya A, Levitt NS, Steyn K. Increasing prescription length could cut cardiovascular disease burden and produce savings in south africa. Health Aff. 2015;34(9):1578–85. </w:t>
      </w:r>
    </w:p>
    <w:p w14:paraId="78D8C27E"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18. </w:t>
      </w:r>
      <w:r w:rsidRPr="009E61E2">
        <w:rPr>
          <w:rFonts w:ascii="Times New Roman" w:hAnsi="Times New Roman" w:cs="Times New Roman"/>
          <w:noProof/>
          <w:sz w:val="24"/>
          <w:szCs w:val="24"/>
        </w:rPr>
        <w:tab/>
        <w:t xml:space="preserve">Golovaty I, Sharma M, Van Heerden A, Van Rooyen H, Baeten JM, Celum C, et al. Cost of integrating noncommunicable disease screening into home-based HIV testing and counseling in South Africa. J Acquir Immune Defic Syndr. 2018;78(5):522–6. </w:t>
      </w:r>
    </w:p>
    <w:p w14:paraId="2EAA413A"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19. </w:t>
      </w:r>
      <w:r w:rsidRPr="009E61E2">
        <w:rPr>
          <w:rFonts w:ascii="Times New Roman" w:hAnsi="Times New Roman" w:cs="Times New Roman"/>
          <w:noProof/>
          <w:sz w:val="24"/>
          <w:szCs w:val="24"/>
        </w:rPr>
        <w:tab/>
        <w:t>Laäs DJ, Naidoo M. An evaluation of warfarin use at an urban district-level hospital in Kwazulu-natal Province, South Africa. South African Med J [Internet]. 2018;108(12):1046–50. Available from: https://www.scopus.com/inward/record.uri?eid=2-s2.0-85050767922&amp;doi=10.7196%2FSAMJ.2018.v108i12.13256&amp;partnerID=40&amp;md5=d14555f575a953b532f3f7d6e9c32910</w:t>
      </w:r>
    </w:p>
    <w:p w14:paraId="549525CF"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20. </w:t>
      </w:r>
      <w:r w:rsidRPr="009E61E2">
        <w:rPr>
          <w:rFonts w:ascii="Times New Roman" w:hAnsi="Times New Roman" w:cs="Times New Roman"/>
          <w:noProof/>
          <w:sz w:val="24"/>
          <w:szCs w:val="24"/>
        </w:rPr>
        <w:tab/>
        <w:t xml:space="preserve">Lin JK, Moran AE, Bibbins-Domingo K, Falase B, Pedroza Tobias A, Mandke CN, et al. Cost-effectiveness of a fixed-dose combination pill for secondary prevention of cardiovascular disease in China, India, Mexico, Nigeria, and South Africa: a modelling study. Lancet Glob Heal. 2019;7(10):e1346–58. </w:t>
      </w:r>
    </w:p>
    <w:p w14:paraId="78D86AEF"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21. </w:t>
      </w:r>
      <w:r w:rsidRPr="009E61E2">
        <w:rPr>
          <w:rFonts w:ascii="Times New Roman" w:hAnsi="Times New Roman" w:cs="Times New Roman"/>
          <w:noProof/>
          <w:sz w:val="24"/>
          <w:szCs w:val="24"/>
        </w:rPr>
        <w:tab/>
        <w:t xml:space="preserve">Wessels F. Eprosartan in secondary prevention of stroke: The economic evidence. Cardiovasc J South Africa. 2007;18(2):95–6. </w:t>
      </w:r>
    </w:p>
    <w:p w14:paraId="218B52E1"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22. </w:t>
      </w:r>
      <w:r w:rsidRPr="009E61E2">
        <w:rPr>
          <w:rFonts w:ascii="Times New Roman" w:hAnsi="Times New Roman" w:cs="Times New Roman"/>
          <w:noProof/>
          <w:sz w:val="24"/>
          <w:szCs w:val="24"/>
        </w:rPr>
        <w:tab/>
        <w:t>Bergh M, Marais CA, Miller-Jansön H, Salie F, Stander MP. Economic appraisal of dabigatran as first-line therapy for stroke prevention in atrial fibrillation. S Afr Med J [Internet]. 2013 Feb;103(4):241–5. Available from: nl_inc</w:t>
      </w:r>
    </w:p>
    <w:p w14:paraId="78F7458C"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23. </w:t>
      </w:r>
      <w:r w:rsidRPr="009E61E2">
        <w:rPr>
          <w:rFonts w:ascii="Times New Roman" w:hAnsi="Times New Roman" w:cs="Times New Roman"/>
          <w:noProof/>
          <w:sz w:val="24"/>
          <w:szCs w:val="24"/>
        </w:rPr>
        <w:tab/>
        <w:t xml:space="preserve">Viljoen CA, Dalmeyer L, de Villiers L. Cost of acute stroke care in South Africa. Stroke. 2013;8(1):3–4. </w:t>
      </w:r>
    </w:p>
    <w:p w14:paraId="4133F476"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24. </w:t>
      </w:r>
      <w:r w:rsidRPr="009E61E2">
        <w:rPr>
          <w:rFonts w:ascii="Times New Roman" w:hAnsi="Times New Roman" w:cs="Times New Roman"/>
          <w:noProof/>
          <w:sz w:val="24"/>
          <w:szCs w:val="24"/>
        </w:rPr>
        <w:tab/>
        <w:t>Maredza M, Chola L. Economic burden of stroke in a rural South African setting. eNeurologicalSci [Internet]. 2016;3:26–32. Available from: https://www.scopus.com/inward/record.uri?eid=2-s2.0-84976633598&amp;doi=10.1016%2Fj.ensci.2016.01.001&amp;partnerID=40&amp;md5=de78610df005a58dfa42b8561ca6fb64</w:t>
      </w:r>
    </w:p>
    <w:p w14:paraId="01361C3A"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062037">
        <w:rPr>
          <w:rFonts w:ascii="Times New Roman" w:hAnsi="Times New Roman" w:cs="Times New Roman"/>
          <w:noProof/>
          <w:sz w:val="24"/>
          <w:szCs w:val="24"/>
          <w:lang w:val="de-DE"/>
        </w:rPr>
        <w:lastRenderedPageBreak/>
        <w:t xml:space="preserve">25. </w:t>
      </w:r>
      <w:r w:rsidRPr="00062037">
        <w:rPr>
          <w:rFonts w:ascii="Times New Roman" w:hAnsi="Times New Roman" w:cs="Times New Roman"/>
          <w:noProof/>
          <w:sz w:val="24"/>
          <w:szCs w:val="24"/>
          <w:lang w:val="de-DE"/>
        </w:rPr>
        <w:tab/>
        <w:t xml:space="preserve">Manyema M, Veerman LJ, Tugendhaft A, Labadarios D, Hofman KJ. </w:t>
      </w:r>
      <w:r w:rsidRPr="009E61E2">
        <w:rPr>
          <w:rFonts w:ascii="Times New Roman" w:hAnsi="Times New Roman" w:cs="Times New Roman"/>
          <w:noProof/>
          <w:sz w:val="24"/>
          <w:szCs w:val="24"/>
        </w:rPr>
        <w:t>Modelling the potential impact of a sugar-sweetened beverage tax on stroke mortality, costs and health-adjusted life years in South Africa. BMC Public Health [Internet]. 2016 May;16:405. Available from: nl_inc</w:t>
      </w:r>
    </w:p>
    <w:p w14:paraId="13E589E1"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26. </w:t>
      </w:r>
      <w:r w:rsidRPr="009E61E2">
        <w:rPr>
          <w:rFonts w:ascii="Times New Roman" w:hAnsi="Times New Roman" w:cs="Times New Roman"/>
          <w:noProof/>
          <w:sz w:val="24"/>
          <w:szCs w:val="24"/>
        </w:rPr>
        <w:tab/>
        <w:t>Louw Q, Twizeyemariya A, Grimmer K, Leibbrandt D. Estimating the costs and benefits of stroke rehabilitation in South Africa. J Eval Clin Pract [Internet]. 2020;26(4):1181–7. Available from: https://doi.org/10.1111/jep.13287</w:t>
      </w:r>
    </w:p>
    <w:p w14:paraId="67E7480A"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27. </w:t>
      </w:r>
      <w:r w:rsidRPr="009E61E2">
        <w:rPr>
          <w:rFonts w:ascii="Times New Roman" w:hAnsi="Times New Roman" w:cs="Times New Roman"/>
          <w:noProof/>
          <w:sz w:val="24"/>
          <w:szCs w:val="24"/>
        </w:rPr>
        <w:tab/>
        <w:t xml:space="preserve">Nixon Anderson A, Moodley I, Kropman K. A South African pharmaco-economic analysis of the acute infarction ramipril efficacy (AIRE) Study. Cardiovasc J South Africa. 2000;11(2):89–94. </w:t>
      </w:r>
    </w:p>
    <w:p w14:paraId="2EC3A208"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28. </w:t>
      </w:r>
      <w:r w:rsidRPr="009E61E2">
        <w:rPr>
          <w:rFonts w:ascii="Times New Roman" w:hAnsi="Times New Roman" w:cs="Times New Roman"/>
          <w:noProof/>
          <w:sz w:val="24"/>
          <w:szCs w:val="24"/>
        </w:rPr>
        <w:tab/>
        <w:t>Mabin TA, Condolfi P. An analysis of real-world cost-effectiveness of TAVI in South Africa. Cardiovasc J Afr [Internet]. 2014;25(1):21–6. Available from: nl_inc</w:t>
      </w:r>
    </w:p>
    <w:p w14:paraId="222BC867"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29. </w:t>
      </w:r>
      <w:r w:rsidRPr="009E61E2">
        <w:rPr>
          <w:rFonts w:ascii="Times New Roman" w:hAnsi="Times New Roman" w:cs="Times New Roman"/>
          <w:noProof/>
          <w:sz w:val="24"/>
          <w:szCs w:val="24"/>
        </w:rPr>
        <w:tab/>
        <w:t>Pestana JAX, Steyn K, Leiman A, Hartzenberg GM. The direct and indirect costs of cardiovascular disease in South Africa in 1991. South African Med J [Internet]. 1996;86(6):679–84. Available from: https://www.scopus.com/inward/record.uri?eid=2-s2.0-0029820322&amp;partnerID=40&amp;md5=9ccad6e5b25e6f0d00d46c3e590e1612</w:t>
      </w:r>
    </w:p>
    <w:p w14:paraId="04B3D371"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rPr>
      </w:pPr>
      <w:r w:rsidRPr="009E61E2">
        <w:rPr>
          <w:rFonts w:ascii="Times New Roman" w:hAnsi="Times New Roman" w:cs="Times New Roman"/>
          <w:noProof/>
          <w:sz w:val="24"/>
          <w:szCs w:val="24"/>
        </w:rPr>
        <w:t xml:space="preserve">30. </w:t>
      </w:r>
      <w:r w:rsidRPr="009E61E2">
        <w:rPr>
          <w:rFonts w:ascii="Times New Roman" w:hAnsi="Times New Roman" w:cs="Times New Roman"/>
          <w:noProof/>
          <w:sz w:val="24"/>
          <w:szCs w:val="24"/>
        </w:rPr>
        <w:tab/>
        <w:t>Biccard BM, Sear JW, Foëx P. The pharmaco-economics of peri-operative beta-blocker and statin therapy in South Africa. S Afr Med J [Internet]. 2006 Nov;96(11):1199–202. Available from: nl_inc</w:t>
      </w:r>
    </w:p>
    <w:p w14:paraId="01C33620" w14:textId="77777777" w:rsidR="00BB5EEC" w:rsidRPr="00967181" w:rsidRDefault="00BB5EEC">
      <w:pPr>
        <w:rPr>
          <w:rFonts w:ascii="Times New Roman" w:hAnsi="Times New Roman" w:cs="Times New Roman"/>
          <w:b/>
          <w:sz w:val="24"/>
          <w:szCs w:val="24"/>
        </w:rPr>
      </w:pPr>
      <w:r>
        <w:rPr>
          <w:rFonts w:ascii="Times New Roman" w:hAnsi="Times New Roman" w:cs="Times New Roman"/>
          <w:b/>
          <w:sz w:val="24"/>
          <w:szCs w:val="24"/>
        </w:rPr>
        <w:fldChar w:fldCharType="end"/>
      </w:r>
    </w:p>
    <w:sectPr w:rsidR="00BB5EEC" w:rsidRPr="00967181" w:rsidSect="001A63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84A2A" w14:textId="77777777" w:rsidR="009103F5" w:rsidRDefault="009103F5" w:rsidP="00031D9B">
      <w:pPr>
        <w:spacing w:after="0" w:line="240" w:lineRule="auto"/>
      </w:pPr>
      <w:r>
        <w:separator/>
      </w:r>
    </w:p>
  </w:endnote>
  <w:endnote w:type="continuationSeparator" w:id="0">
    <w:p w14:paraId="641FAACF" w14:textId="77777777" w:rsidR="009103F5" w:rsidRDefault="009103F5" w:rsidP="00031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9656308"/>
      <w:docPartObj>
        <w:docPartGallery w:val="Page Numbers (Bottom of Page)"/>
        <w:docPartUnique/>
      </w:docPartObj>
    </w:sdtPr>
    <w:sdtEndPr>
      <w:rPr>
        <w:noProof/>
      </w:rPr>
    </w:sdtEndPr>
    <w:sdtContent>
      <w:p w14:paraId="7E6BC5C7" w14:textId="77777777" w:rsidR="002A0944" w:rsidRDefault="002A0944">
        <w:pPr>
          <w:pStyle w:val="Footer"/>
        </w:pPr>
        <w:r>
          <w:fldChar w:fldCharType="begin"/>
        </w:r>
        <w:r>
          <w:instrText xml:space="preserve"> PAGE   \* MERGEFORMAT </w:instrText>
        </w:r>
        <w:r>
          <w:fldChar w:fldCharType="separate"/>
        </w:r>
        <w:r>
          <w:rPr>
            <w:noProof/>
          </w:rPr>
          <w:t>2</w:t>
        </w:r>
        <w:r>
          <w:rPr>
            <w:noProof/>
          </w:rPr>
          <w:fldChar w:fldCharType="end"/>
        </w:r>
      </w:p>
    </w:sdtContent>
  </w:sdt>
  <w:p w14:paraId="078F6346" w14:textId="77777777" w:rsidR="002A0944" w:rsidRDefault="002A0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8B140" w14:textId="77777777" w:rsidR="009103F5" w:rsidRDefault="009103F5" w:rsidP="00031D9B">
      <w:pPr>
        <w:spacing w:after="0" w:line="240" w:lineRule="auto"/>
      </w:pPr>
      <w:r>
        <w:separator/>
      </w:r>
    </w:p>
  </w:footnote>
  <w:footnote w:type="continuationSeparator" w:id="0">
    <w:p w14:paraId="6C5CD833" w14:textId="77777777" w:rsidR="009103F5" w:rsidRDefault="009103F5" w:rsidP="00031D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0715D"/>
    <w:multiLevelType w:val="hybridMultilevel"/>
    <w:tmpl w:val="A3CEA8A0"/>
    <w:lvl w:ilvl="0" w:tplc="9856BA2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1D3B94"/>
    <w:multiLevelType w:val="hybridMultilevel"/>
    <w:tmpl w:val="43047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CA34569"/>
    <w:multiLevelType w:val="hybridMultilevel"/>
    <w:tmpl w:val="63648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Y0MQMiCyBhbGqhpKMUnFpcnJmfB1JgaFILAIPE5SQtAAAA"/>
  </w:docVars>
  <w:rsids>
    <w:rsidRoot w:val="00112353"/>
    <w:rsid w:val="0000176B"/>
    <w:rsid w:val="0002107D"/>
    <w:rsid w:val="00031D9B"/>
    <w:rsid w:val="000374C9"/>
    <w:rsid w:val="00041425"/>
    <w:rsid w:val="00062037"/>
    <w:rsid w:val="00076A50"/>
    <w:rsid w:val="00097AEB"/>
    <w:rsid w:val="000A175E"/>
    <w:rsid w:val="000B7BF3"/>
    <w:rsid w:val="000C01F1"/>
    <w:rsid w:val="000E4584"/>
    <w:rsid w:val="000E75AD"/>
    <w:rsid w:val="000F5A32"/>
    <w:rsid w:val="001059A1"/>
    <w:rsid w:val="00112353"/>
    <w:rsid w:val="00115C53"/>
    <w:rsid w:val="00120CE6"/>
    <w:rsid w:val="00150EAE"/>
    <w:rsid w:val="00174136"/>
    <w:rsid w:val="001860A8"/>
    <w:rsid w:val="00186F1E"/>
    <w:rsid w:val="001946F2"/>
    <w:rsid w:val="001A63BF"/>
    <w:rsid w:val="001D0D33"/>
    <w:rsid w:val="001E72DF"/>
    <w:rsid w:val="001F154F"/>
    <w:rsid w:val="00221885"/>
    <w:rsid w:val="002237B6"/>
    <w:rsid w:val="00287216"/>
    <w:rsid w:val="002911AB"/>
    <w:rsid w:val="002A0944"/>
    <w:rsid w:val="00300DE2"/>
    <w:rsid w:val="00304DC8"/>
    <w:rsid w:val="00306AB6"/>
    <w:rsid w:val="0038036F"/>
    <w:rsid w:val="00385112"/>
    <w:rsid w:val="003A22E9"/>
    <w:rsid w:val="003A7CC1"/>
    <w:rsid w:val="003B381E"/>
    <w:rsid w:val="003B720E"/>
    <w:rsid w:val="003C76E8"/>
    <w:rsid w:val="003E51C8"/>
    <w:rsid w:val="003E609A"/>
    <w:rsid w:val="0040415A"/>
    <w:rsid w:val="00406B90"/>
    <w:rsid w:val="0042389E"/>
    <w:rsid w:val="004360DD"/>
    <w:rsid w:val="00443E91"/>
    <w:rsid w:val="0045555F"/>
    <w:rsid w:val="004A3A44"/>
    <w:rsid w:val="004C0EFF"/>
    <w:rsid w:val="004D7CC3"/>
    <w:rsid w:val="00504DB8"/>
    <w:rsid w:val="005273D9"/>
    <w:rsid w:val="00556188"/>
    <w:rsid w:val="00575558"/>
    <w:rsid w:val="00577A38"/>
    <w:rsid w:val="005836B5"/>
    <w:rsid w:val="00585313"/>
    <w:rsid w:val="005906F9"/>
    <w:rsid w:val="005F3C4B"/>
    <w:rsid w:val="00613F5F"/>
    <w:rsid w:val="00661746"/>
    <w:rsid w:val="0067780C"/>
    <w:rsid w:val="00683BFF"/>
    <w:rsid w:val="00686E5C"/>
    <w:rsid w:val="006A1C83"/>
    <w:rsid w:val="006A456C"/>
    <w:rsid w:val="006A5484"/>
    <w:rsid w:val="006A5F3D"/>
    <w:rsid w:val="006C44C9"/>
    <w:rsid w:val="006C715D"/>
    <w:rsid w:val="00716677"/>
    <w:rsid w:val="00735785"/>
    <w:rsid w:val="00771B49"/>
    <w:rsid w:val="00774B1F"/>
    <w:rsid w:val="00794852"/>
    <w:rsid w:val="007B247A"/>
    <w:rsid w:val="008064FF"/>
    <w:rsid w:val="00846EBF"/>
    <w:rsid w:val="0089024F"/>
    <w:rsid w:val="008A1A71"/>
    <w:rsid w:val="008A490E"/>
    <w:rsid w:val="008C2D47"/>
    <w:rsid w:val="00904918"/>
    <w:rsid w:val="009063C3"/>
    <w:rsid w:val="00906ED0"/>
    <w:rsid w:val="009103F5"/>
    <w:rsid w:val="0094286C"/>
    <w:rsid w:val="0095478E"/>
    <w:rsid w:val="00962131"/>
    <w:rsid w:val="009621A8"/>
    <w:rsid w:val="009656BD"/>
    <w:rsid w:val="00967181"/>
    <w:rsid w:val="00970327"/>
    <w:rsid w:val="00986BF6"/>
    <w:rsid w:val="009B148D"/>
    <w:rsid w:val="009B25FE"/>
    <w:rsid w:val="009E53C6"/>
    <w:rsid w:val="009E61E2"/>
    <w:rsid w:val="00A12EB6"/>
    <w:rsid w:val="00A143EB"/>
    <w:rsid w:val="00A14B24"/>
    <w:rsid w:val="00A31C0C"/>
    <w:rsid w:val="00A37098"/>
    <w:rsid w:val="00A556EB"/>
    <w:rsid w:val="00A60DD8"/>
    <w:rsid w:val="00A652AB"/>
    <w:rsid w:val="00AB709B"/>
    <w:rsid w:val="00AC0566"/>
    <w:rsid w:val="00AC256C"/>
    <w:rsid w:val="00AC2960"/>
    <w:rsid w:val="00AC4B5B"/>
    <w:rsid w:val="00B07072"/>
    <w:rsid w:val="00B3072B"/>
    <w:rsid w:val="00B43AF8"/>
    <w:rsid w:val="00B5448B"/>
    <w:rsid w:val="00B66223"/>
    <w:rsid w:val="00B80B83"/>
    <w:rsid w:val="00BA63A9"/>
    <w:rsid w:val="00BB5EEC"/>
    <w:rsid w:val="00BE5DDB"/>
    <w:rsid w:val="00BF6EDC"/>
    <w:rsid w:val="00C078FC"/>
    <w:rsid w:val="00C232B6"/>
    <w:rsid w:val="00C3135E"/>
    <w:rsid w:val="00C369B3"/>
    <w:rsid w:val="00C85EA4"/>
    <w:rsid w:val="00CC5286"/>
    <w:rsid w:val="00CD1F99"/>
    <w:rsid w:val="00CD5167"/>
    <w:rsid w:val="00CE2A01"/>
    <w:rsid w:val="00D04DE9"/>
    <w:rsid w:val="00D10BE7"/>
    <w:rsid w:val="00D414F3"/>
    <w:rsid w:val="00D66FC6"/>
    <w:rsid w:val="00D85070"/>
    <w:rsid w:val="00D962BB"/>
    <w:rsid w:val="00DA0AFD"/>
    <w:rsid w:val="00DD57D2"/>
    <w:rsid w:val="00E11D57"/>
    <w:rsid w:val="00E72842"/>
    <w:rsid w:val="00E72A01"/>
    <w:rsid w:val="00EB3C37"/>
    <w:rsid w:val="00EE17DE"/>
    <w:rsid w:val="00F37242"/>
    <w:rsid w:val="00F5333D"/>
    <w:rsid w:val="00F802CB"/>
    <w:rsid w:val="00FA697F"/>
    <w:rsid w:val="00FC61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DB688"/>
  <w15:chartTrackingRefBased/>
  <w15:docId w15:val="{80CE0405-7D8D-4454-BB67-A6A4BDBB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1D9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Header">
    <w:name w:val="header"/>
    <w:basedOn w:val="Normal"/>
    <w:link w:val="HeaderChar"/>
    <w:uiPriority w:val="99"/>
    <w:unhideWhenUsed/>
    <w:rsid w:val="00031D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D9B"/>
    <w:rPr>
      <w:lang w:val="en-GB"/>
    </w:rPr>
  </w:style>
  <w:style w:type="paragraph" w:styleId="Footer">
    <w:name w:val="footer"/>
    <w:basedOn w:val="Normal"/>
    <w:link w:val="FooterChar"/>
    <w:unhideWhenUsed/>
    <w:rsid w:val="00031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D9B"/>
    <w:rPr>
      <w:lang w:val="en-GB"/>
    </w:rPr>
  </w:style>
  <w:style w:type="character" w:styleId="Hyperlink">
    <w:name w:val="Hyperlink"/>
    <w:basedOn w:val="DefaultParagraphFont"/>
    <w:uiPriority w:val="99"/>
    <w:semiHidden/>
    <w:unhideWhenUsed/>
    <w:rsid w:val="00186F1E"/>
    <w:rPr>
      <w:color w:val="0563C1"/>
      <w:u w:val="single"/>
    </w:rPr>
  </w:style>
  <w:style w:type="character" w:styleId="FollowedHyperlink">
    <w:name w:val="FollowedHyperlink"/>
    <w:basedOn w:val="DefaultParagraphFont"/>
    <w:uiPriority w:val="99"/>
    <w:semiHidden/>
    <w:unhideWhenUsed/>
    <w:rsid w:val="00186F1E"/>
    <w:rPr>
      <w:color w:val="954F72"/>
      <w:u w:val="single"/>
    </w:rPr>
  </w:style>
  <w:style w:type="paragraph" w:customStyle="1" w:styleId="msonormal0">
    <w:name w:val="msonormal"/>
    <w:basedOn w:val="Normal"/>
    <w:rsid w:val="00186F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186F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en-GB"/>
    </w:rPr>
  </w:style>
  <w:style w:type="paragraph" w:customStyle="1" w:styleId="xl67">
    <w:name w:val="xl67"/>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en-GB"/>
    </w:rPr>
  </w:style>
  <w:style w:type="paragraph" w:customStyle="1" w:styleId="xl68">
    <w:name w:val="xl68"/>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69">
    <w:name w:val="xl69"/>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0">
    <w:name w:val="xl70"/>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1">
    <w:name w:val="xl71"/>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en-GB"/>
    </w:rPr>
  </w:style>
  <w:style w:type="paragraph" w:customStyle="1" w:styleId="xl72">
    <w:name w:val="xl72"/>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3">
    <w:name w:val="xl73"/>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4">
    <w:name w:val="xl74"/>
    <w:basedOn w:val="Normal"/>
    <w:rsid w:val="00186F1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en-GB"/>
    </w:rPr>
  </w:style>
  <w:style w:type="paragraph" w:customStyle="1" w:styleId="xl75">
    <w:name w:val="xl75"/>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6">
    <w:name w:val="xl76"/>
    <w:basedOn w:val="Normal"/>
    <w:rsid w:val="00186F1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7">
    <w:name w:val="xl77"/>
    <w:basedOn w:val="Normal"/>
    <w:rsid w:val="00186F1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styleId="ListParagraph">
    <w:name w:val="List Paragraph"/>
    <w:basedOn w:val="Normal"/>
    <w:uiPriority w:val="34"/>
    <w:qFormat/>
    <w:rsid w:val="00062037"/>
    <w:pPr>
      <w:spacing w:after="0" w:line="240" w:lineRule="auto"/>
      <w:ind w:left="720"/>
      <w:contextualSpacing/>
    </w:pPr>
    <w:rPr>
      <w:rFonts w:ascii="Arial" w:eastAsia="Times New Roman" w:hAnsi="Arial" w:cs="Times New Roman"/>
      <w:color w:val="000000"/>
      <w:szCs w:val="20"/>
    </w:rPr>
  </w:style>
  <w:style w:type="paragraph" w:styleId="BalloonText">
    <w:name w:val="Balloon Text"/>
    <w:basedOn w:val="Normal"/>
    <w:link w:val="BalloonTextChar"/>
    <w:uiPriority w:val="99"/>
    <w:semiHidden/>
    <w:unhideWhenUsed/>
    <w:rsid w:val="000620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037"/>
    <w:rPr>
      <w:rFonts w:ascii="Segoe UI" w:hAnsi="Segoe UI" w:cs="Segoe UI"/>
      <w:sz w:val="18"/>
      <w:szCs w:val="18"/>
      <w:lang w:val="en-GB"/>
    </w:rPr>
  </w:style>
  <w:style w:type="character" w:styleId="CommentReference">
    <w:name w:val="annotation reference"/>
    <w:basedOn w:val="DefaultParagraphFont"/>
    <w:uiPriority w:val="99"/>
    <w:semiHidden/>
    <w:unhideWhenUsed/>
    <w:rsid w:val="00062037"/>
    <w:rPr>
      <w:sz w:val="16"/>
      <w:szCs w:val="16"/>
    </w:rPr>
  </w:style>
  <w:style w:type="paragraph" w:styleId="CommentText">
    <w:name w:val="annotation text"/>
    <w:basedOn w:val="Normal"/>
    <w:link w:val="CommentTextChar"/>
    <w:uiPriority w:val="99"/>
    <w:semiHidden/>
    <w:unhideWhenUsed/>
    <w:rsid w:val="00062037"/>
    <w:pPr>
      <w:spacing w:line="240" w:lineRule="auto"/>
    </w:pPr>
    <w:rPr>
      <w:sz w:val="20"/>
      <w:szCs w:val="20"/>
    </w:rPr>
  </w:style>
  <w:style w:type="character" w:customStyle="1" w:styleId="CommentTextChar">
    <w:name w:val="Comment Text Char"/>
    <w:basedOn w:val="DefaultParagraphFont"/>
    <w:link w:val="CommentText"/>
    <w:uiPriority w:val="99"/>
    <w:semiHidden/>
    <w:rsid w:val="00062037"/>
    <w:rPr>
      <w:sz w:val="20"/>
      <w:szCs w:val="20"/>
      <w:lang w:val="en-GB"/>
    </w:rPr>
  </w:style>
  <w:style w:type="paragraph" w:styleId="CommentSubject">
    <w:name w:val="annotation subject"/>
    <w:basedOn w:val="CommentText"/>
    <w:next w:val="CommentText"/>
    <w:link w:val="CommentSubjectChar"/>
    <w:uiPriority w:val="99"/>
    <w:semiHidden/>
    <w:unhideWhenUsed/>
    <w:rsid w:val="00062037"/>
    <w:rPr>
      <w:b/>
      <w:bCs/>
    </w:rPr>
  </w:style>
  <w:style w:type="character" w:customStyle="1" w:styleId="CommentSubjectChar">
    <w:name w:val="Comment Subject Char"/>
    <w:basedOn w:val="CommentTextChar"/>
    <w:link w:val="CommentSubject"/>
    <w:uiPriority w:val="99"/>
    <w:semiHidden/>
    <w:rsid w:val="00062037"/>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3844">
      <w:bodyDiv w:val="1"/>
      <w:marLeft w:val="0"/>
      <w:marRight w:val="0"/>
      <w:marTop w:val="0"/>
      <w:marBottom w:val="0"/>
      <w:divBdr>
        <w:top w:val="none" w:sz="0" w:space="0" w:color="auto"/>
        <w:left w:val="none" w:sz="0" w:space="0" w:color="auto"/>
        <w:bottom w:val="none" w:sz="0" w:space="0" w:color="auto"/>
        <w:right w:val="none" w:sz="0" w:space="0" w:color="auto"/>
      </w:divBdr>
    </w:div>
    <w:div w:id="258222190">
      <w:bodyDiv w:val="1"/>
      <w:marLeft w:val="0"/>
      <w:marRight w:val="0"/>
      <w:marTop w:val="0"/>
      <w:marBottom w:val="0"/>
      <w:divBdr>
        <w:top w:val="none" w:sz="0" w:space="0" w:color="auto"/>
        <w:left w:val="none" w:sz="0" w:space="0" w:color="auto"/>
        <w:bottom w:val="none" w:sz="0" w:space="0" w:color="auto"/>
        <w:right w:val="none" w:sz="0" w:space="0" w:color="auto"/>
      </w:divBdr>
    </w:div>
    <w:div w:id="405147544">
      <w:bodyDiv w:val="1"/>
      <w:marLeft w:val="0"/>
      <w:marRight w:val="0"/>
      <w:marTop w:val="0"/>
      <w:marBottom w:val="0"/>
      <w:divBdr>
        <w:top w:val="none" w:sz="0" w:space="0" w:color="auto"/>
        <w:left w:val="none" w:sz="0" w:space="0" w:color="auto"/>
        <w:bottom w:val="none" w:sz="0" w:space="0" w:color="auto"/>
        <w:right w:val="none" w:sz="0" w:space="0" w:color="auto"/>
      </w:divBdr>
    </w:div>
    <w:div w:id="455757747">
      <w:bodyDiv w:val="1"/>
      <w:marLeft w:val="0"/>
      <w:marRight w:val="0"/>
      <w:marTop w:val="0"/>
      <w:marBottom w:val="0"/>
      <w:divBdr>
        <w:top w:val="none" w:sz="0" w:space="0" w:color="auto"/>
        <w:left w:val="none" w:sz="0" w:space="0" w:color="auto"/>
        <w:bottom w:val="none" w:sz="0" w:space="0" w:color="auto"/>
        <w:right w:val="none" w:sz="0" w:space="0" w:color="auto"/>
      </w:divBdr>
    </w:div>
    <w:div w:id="539168439">
      <w:bodyDiv w:val="1"/>
      <w:marLeft w:val="0"/>
      <w:marRight w:val="0"/>
      <w:marTop w:val="0"/>
      <w:marBottom w:val="0"/>
      <w:divBdr>
        <w:top w:val="none" w:sz="0" w:space="0" w:color="auto"/>
        <w:left w:val="none" w:sz="0" w:space="0" w:color="auto"/>
        <w:bottom w:val="none" w:sz="0" w:space="0" w:color="auto"/>
        <w:right w:val="none" w:sz="0" w:space="0" w:color="auto"/>
      </w:divBdr>
    </w:div>
    <w:div w:id="781189692">
      <w:bodyDiv w:val="1"/>
      <w:marLeft w:val="0"/>
      <w:marRight w:val="0"/>
      <w:marTop w:val="0"/>
      <w:marBottom w:val="0"/>
      <w:divBdr>
        <w:top w:val="none" w:sz="0" w:space="0" w:color="auto"/>
        <w:left w:val="none" w:sz="0" w:space="0" w:color="auto"/>
        <w:bottom w:val="none" w:sz="0" w:space="0" w:color="auto"/>
        <w:right w:val="none" w:sz="0" w:space="0" w:color="auto"/>
      </w:divBdr>
    </w:div>
    <w:div w:id="1136334978">
      <w:bodyDiv w:val="1"/>
      <w:marLeft w:val="0"/>
      <w:marRight w:val="0"/>
      <w:marTop w:val="0"/>
      <w:marBottom w:val="0"/>
      <w:divBdr>
        <w:top w:val="none" w:sz="0" w:space="0" w:color="auto"/>
        <w:left w:val="none" w:sz="0" w:space="0" w:color="auto"/>
        <w:bottom w:val="none" w:sz="0" w:space="0" w:color="auto"/>
        <w:right w:val="none" w:sz="0" w:space="0" w:color="auto"/>
      </w:divBdr>
    </w:div>
    <w:div w:id="1327829039">
      <w:bodyDiv w:val="1"/>
      <w:marLeft w:val="0"/>
      <w:marRight w:val="0"/>
      <w:marTop w:val="0"/>
      <w:marBottom w:val="0"/>
      <w:divBdr>
        <w:top w:val="none" w:sz="0" w:space="0" w:color="auto"/>
        <w:left w:val="none" w:sz="0" w:space="0" w:color="auto"/>
        <w:bottom w:val="none" w:sz="0" w:space="0" w:color="auto"/>
        <w:right w:val="none" w:sz="0" w:space="0" w:color="auto"/>
      </w:divBdr>
    </w:div>
    <w:div w:id="1526166432">
      <w:bodyDiv w:val="1"/>
      <w:marLeft w:val="0"/>
      <w:marRight w:val="0"/>
      <w:marTop w:val="0"/>
      <w:marBottom w:val="0"/>
      <w:divBdr>
        <w:top w:val="none" w:sz="0" w:space="0" w:color="auto"/>
        <w:left w:val="none" w:sz="0" w:space="0" w:color="auto"/>
        <w:bottom w:val="none" w:sz="0" w:space="0" w:color="auto"/>
        <w:right w:val="none" w:sz="0" w:space="0" w:color="auto"/>
      </w:divBdr>
    </w:div>
    <w:div w:id="1576278965">
      <w:bodyDiv w:val="1"/>
      <w:marLeft w:val="0"/>
      <w:marRight w:val="0"/>
      <w:marTop w:val="0"/>
      <w:marBottom w:val="0"/>
      <w:divBdr>
        <w:top w:val="none" w:sz="0" w:space="0" w:color="auto"/>
        <w:left w:val="none" w:sz="0" w:space="0" w:color="auto"/>
        <w:bottom w:val="none" w:sz="0" w:space="0" w:color="auto"/>
        <w:right w:val="none" w:sz="0" w:space="0" w:color="auto"/>
      </w:divBdr>
    </w:div>
    <w:div w:id="1695033186">
      <w:bodyDiv w:val="1"/>
      <w:marLeft w:val="0"/>
      <w:marRight w:val="0"/>
      <w:marTop w:val="0"/>
      <w:marBottom w:val="0"/>
      <w:divBdr>
        <w:top w:val="none" w:sz="0" w:space="0" w:color="auto"/>
        <w:left w:val="none" w:sz="0" w:space="0" w:color="auto"/>
        <w:bottom w:val="none" w:sz="0" w:space="0" w:color="auto"/>
        <w:right w:val="none" w:sz="0" w:space="0" w:color="auto"/>
      </w:divBdr>
    </w:div>
    <w:div w:id="1787120003">
      <w:bodyDiv w:val="1"/>
      <w:marLeft w:val="0"/>
      <w:marRight w:val="0"/>
      <w:marTop w:val="0"/>
      <w:marBottom w:val="0"/>
      <w:divBdr>
        <w:top w:val="none" w:sz="0" w:space="0" w:color="auto"/>
        <w:left w:val="none" w:sz="0" w:space="0" w:color="auto"/>
        <w:bottom w:val="none" w:sz="0" w:space="0" w:color="auto"/>
        <w:right w:val="none" w:sz="0" w:space="0" w:color="auto"/>
      </w:divBdr>
    </w:div>
    <w:div w:id="189419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E770141-CD25-44FB-A745-12D2F03D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13524</Words>
  <Characters>77087</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sithabiso masuku</dc:creator>
  <cp:keywords/>
  <dc:description/>
  <cp:lastModifiedBy>sithabiso masuku</cp:lastModifiedBy>
  <cp:revision>3</cp:revision>
  <dcterms:created xsi:type="dcterms:W3CDTF">2022-04-21T10:40:00Z</dcterms:created>
  <dcterms:modified xsi:type="dcterms:W3CDTF">2022-04-21T10:44:00Z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http://www.zotero.org/styles/the-lancet</vt:lpwstr>
  </property>
  <property fmtid="{D5CDD505-2E9C-101B-9397-08002B2CF9AE}" pid="17" name="Mendeley Recent Style Name 7_1">
    <vt:lpwstr>The Lancet</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5b53313e-3004-362f-9796-467bcbd89ca8</vt:lpwstr>
  </property>
  <property fmtid="{D5CDD505-2E9C-101B-9397-08002B2CF9AE}" pid="24" name="Mendeley Citation Style_1">
    <vt:lpwstr>http://www.zotero.org/styles/vancouver-superscript</vt:lpwstr>
  </property>
</Properties>
</file>