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A62A8" w14:textId="77777777" w:rsidR="00385112" w:rsidRPr="00385112" w:rsidRDefault="00385112" w:rsidP="00385112">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Appendix </w:t>
      </w:r>
      <w:r w:rsidR="00031D9B">
        <w:rPr>
          <w:rFonts w:ascii="Times New Roman" w:eastAsia="Times New Roman" w:hAnsi="Times New Roman" w:cs="Times New Roman"/>
          <w:b/>
          <w:bCs/>
          <w:sz w:val="24"/>
          <w:szCs w:val="24"/>
        </w:rPr>
        <w:t>S</w:t>
      </w:r>
      <w:r w:rsidR="00E72842">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w:t>
      </w:r>
      <w:r w:rsidRPr="0038511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Results of the literature review</w:t>
      </w:r>
      <w:bookmarkStart w:id="0" w:name="_GoBack"/>
      <w:bookmarkEnd w:id="0"/>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982"/>
        <w:gridCol w:w="1843"/>
        <w:gridCol w:w="1299"/>
        <w:gridCol w:w="1017"/>
        <w:gridCol w:w="1130"/>
        <w:gridCol w:w="1011"/>
        <w:gridCol w:w="2146"/>
        <w:gridCol w:w="1051"/>
        <w:gridCol w:w="260"/>
        <w:gridCol w:w="294"/>
        <w:gridCol w:w="294"/>
        <w:gridCol w:w="294"/>
        <w:gridCol w:w="294"/>
        <w:gridCol w:w="294"/>
        <w:gridCol w:w="294"/>
        <w:gridCol w:w="294"/>
        <w:gridCol w:w="294"/>
        <w:gridCol w:w="294"/>
        <w:gridCol w:w="294"/>
        <w:gridCol w:w="857"/>
      </w:tblGrid>
      <w:tr w:rsidR="00062037" w:rsidRPr="00FA697F" w14:paraId="4DC7DE70" w14:textId="77777777" w:rsidTr="00DA0AFD">
        <w:trPr>
          <w:trHeight w:val="268"/>
          <w:tblHeader/>
        </w:trPr>
        <w:tc>
          <w:tcPr>
            <w:tcW w:w="431" w:type="dxa"/>
            <w:vMerge w:val="restart"/>
            <w:shd w:val="clear" w:color="auto" w:fill="auto"/>
            <w:tcMar>
              <w:left w:w="57" w:type="dxa"/>
              <w:right w:w="57" w:type="dxa"/>
            </w:tcMar>
          </w:tcPr>
          <w:p w14:paraId="0357B7E1"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No.</w:t>
            </w:r>
          </w:p>
        </w:tc>
        <w:tc>
          <w:tcPr>
            <w:tcW w:w="982" w:type="dxa"/>
            <w:vMerge w:val="restart"/>
            <w:shd w:val="clear" w:color="auto" w:fill="auto"/>
            <w:tcMar>
              <w:left w:w="57" w:type="dxa"/>
              <w:right w:w="57" w:type="dxa"/>
            </w:tcMar>
          </w:tcPr>
          <w:p w14:paraId="5735D4FB"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Author (year)</w:t>
            </w:r>
          </w:p>
        </w:tc>
        <w:tc>
          <w:tcPr>
            <w:tcW w:w="1843" w:type="dxa"/>
            <w:vMerge w:val="restart"/>
            <w:shd w:val="clear" w:color="auto" w:fill="auto"/>
            <w:tcMar>
              <w:left w:w="57" w:type="dxa"/>
              <w:right w:w="57" w:type="dxa"/>
            </w:tcMar>
          </w:tcPr>
          <w:p w14:paraId="47387B66"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Objective</w:t>
            </w:r>
          </w:p>
        </w:tc>
        <w:tc>
          <w:tcPr>
            <w:tcW w:w="1299" w:type="dxa"/>
            <w:vMerge w:val="restart"/>
            <w:shd w:val="clear" w:color="auto" w:fill="auto"/>
            <w:tcMar>
              <w:left w:w="57" w:type="dxa"/>
              <w:right w:w="57" w:type="dxa"/>
            </w:tcMar>
          </w:tcPr>
          <w:p w14:paraId="5CE2C634"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Target population, setting, level of care</w:t>
            </w:r>
          </w:p>
        </w:tc>
        <w:tc>
          <w:tcPr>
            <w:tcW w:w="1017" w:type="dxa"/>
            <w:vMerge w:val="restart"/>
            <w:shd w:val="clear" w:color="auto" w:fill="auto"/>
            <w:tcMar>
              <w:left w:w="57" w:type="dxa"/>
              <w:right w:w="57" w:type="dxa"/>
            </w:tcMar>
          </w:tcPr>
          <w:p w14:paraId="02DAA40B"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Cost perspective</w:t>
            </w:r>
          </w:p>
        </w:tc>
        <w:tc>
          <w:tcPr>
            <w:tcW w:w="1130" w:type="dxa"/>
            <w:vMerge w:val="restart"/>
            <w:shd w:val="clear" w:color="auto" w:fill="auto"/>
            <w:tcMar>
              <w:left w:w="57" w:type="dxa"/>
              <w:right w:w="57" w:type="dxa"/>
            </w:tcMar>
          </w:tcPr>
          <w:p w14:paraId="18D3E3BC"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Costing method</w:t>
            </w:r>
          </w:p>
        </w:tc>
        <w:tc>
          <w:tcPr>
            <w:tcW w:w="1011" w:type="dxa"/>
            <w:vMerge w:val="restart"/>
            <w:shd w:val="clear" w:color="auto" w:fill="auto"/>
            <w:tcMar>
              <w:left w:w="57" w:type="dxa"/>
              <w:right w:w="57" w:type="dxa"/>
            </w:tcMar>
          </w:tcPr>
          <w:p w14:paraId="13D45D72" w14:textId="59A4ED99" w:rsidR="00062037" w:rsidRPr="00FA697F" w:rsidRDefault="00062037" w:rsidP="00112353">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Costing period</w:t>
            </w:r>
            <w:r w:rsidR="000374C9" w:rsidRPr="00FA697F">
              <w:rPr>
                <w:rFonts w:ascii="Times New Roman" w:eastAsia="Times New Roman" w:hAnsi="Times New Roman" w:cs="Times New Roman"/>
                <w:b/>
                <w:bCs/>
                <w:sz w:val="16"/>
                <w:szCs w:val="16"/>
                <w:lang w:eastAsia="en-GB"/>
              </w:rPr>
              <w:t>*</w:t>
            </w:r>
          </w:p>
        </w:tc>
        <w:tc>
          <w:tcPr>
            <w:tcW w:w="2146" w:type="dxa"/>
            <w:vMerge w:val="restart"/>
            <w:shd w:val="clear" w:color="auto" w:fill="auto"/>
            <w:tcMar>
              <w:left w:w="57" w:type="dxa"/>
              <w:right w:w="57" w:type="dxa"/>
            </w:tcMar>
          </w:tcPr>
          <w:p w14:paraId="5511A718"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Mean cost (2021 USD)</w:t>
            </w:r>
          </w:p>
        </w:tc>
        <w:tc>
          <w:tcPr>
            <w:tcW w:w="1051" w:type="dxa"/>
            <w:vMerge w:val="restart"/>
            <w:shd w:val="clear" w:color="auto" w:fill="auto"/>
            <w:tcMar>
              <w:left w:w="57" w:type="dxa"/>
              <w:right w:w="57" w:type="dxa"/>
            </w:tcMar>
          </w:tcPr>
          <w:p w14:paraId="214424E7"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Range (2021 USD)</w:t>
            </w:r>
          </w:p>
        </w:tc>
        <w:tc>
          <w:tcPr>
            <w:tcW w:w="4057" w:type="dxa"/>
            <w:gridSpan w:val="12"/>
            <w:shd w:val="clear" w:color="auto" w:fill="auto"/>
            <w:tcMar>
              <w:left w:w="57" w:type="dxa"/>
              <w:right w:w="57" w:type="dxa"/>
            </w:tcMar>
          </w:tcPr>
          <w:p w14:paraId="4E487BF2" w14:textId="77777777" w:rsidR="00062037" w:rsidRPr="00FA697F" w:rsidRDefault="00062037" w:rsidP="00DA0AFD">
            <w:pPr>
              <w:spacing w:after="0" w:line="240" w:lineRule="auto"/>
              <w:jc w:val="center"/>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Cost items included</w:t>
            </w:r>
          </w:p>
        </w:tc>
      </w:tr>
      <w:tr w:rsidR="00062037" w:rsidRPr="00FA697F" w14:paraId="53C4080D" w14:textId="77777777" w:rsidTr="00115C53">
        <w:trPr>
          <w:trHeight w:val="1118"/>
          <w:tblHeader/>
        </w:trPr>
        <w:tc>
          <w:tcPr>
            <w:tcW w:w="431" w:type="dxa"/>
            <w:vMerge/>
            <w:shd w:val="clear" w:color="auto" w:fill="auto"/>
            <w:tcMar>
              <w:left w:w="57" w:type="dxa"/>
              <w:right w:w="57" w:type="dxa"/>
            </w:tcMar>
            <w:hideMark/>
          </w:tcPr>
          <w:p w14:paraId="07AD3B45"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p>
        </w:tc>
        <w:tc>
          <w:tcPr>
            <w:tcW w:w="982" w:type="dxa"/>
            <w:vMerge/>
            <w:shd w:val="clear" w:color="auto" w:fill="auto"/>
            <w:tcMar>
              <w:left w:w="57" w:type="dxa"/>
              <w:right w:w="57" w:type="dxa"/>
            </w:tcMar>
            <w:hideMark/>
          </w:tcPr>
          <w:p w14:paraId="1BC76B9C"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p>
        </w:tc>
        <w:tc>
          <w:tcPr>
            <w:tcW w:w="1843" w:type="dxa"/>
            <w:vMerge/>
            <w:shd w:val="clear" w:color="auto" w:fill="auto"/>
            <w:tcMar>
              <w:left w:w="57" w:type="dxa"/>
              <w:right w:w="57" w:type="dxa"/>
            </w:tcMar>
            <w:hideMark/>
          </w:tcPr>
          <w:p w14:paraId="4C77F339"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p>
        </w:tc>
        <w:tc>
          <w:tcPr>
            <w:tcW w:w="1299" w:type="dxa"/>
            <w:vMerge/>
            <w:shd w:val="clear" w:color="auto" w:fill="auto"/>
            <w:tcMar>
              <w:left w:w="57" w:type="dxa"/>
              <w:right w:w="57" w:type="dxa"/>
            </w:tcMar>
            <w:hideMark/>
          </w:tcPr>
          <w:p w14:paraId="30BAAA59"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p>
        </w:tc>
        <w:tc>
          <w:tcPr>
            <w:tcW w:w="1017" w:type="dxa"/>
            <w:vMerge/>
            <w:shd w:val="clear" w:color="auto" w:fill="auto"/>
            <w:tcMar>
              <w:left w:w="57" w:type="dxa"/>
              <w:right w:w="57" w:type="dxa"/>
            </w:tcMar>
            <w:hideMark/>
          </w:tcPr>
          <w:p w14:paraId="0425ED9B"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p>
        </w:tc>
        <w:tc>
          <w:tcPr>
            <w:tcW w:w="1130" w:type="dxa"/>
            <w:vMerge/>
            <w:shd w:val="clear" w:color="auto" w:fill="auto"/>
            <w:tcMar>
              <w:left w:w="57" w:type="dxa"/>
              <w:right w:w="57" w:type="dxa"/>
            </w:tcMar>
            <w:hideMark/>
          </w:tcPr>
          <w:p w14:paraId="3E18FB8C"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p>
        </w:tc>
        <w:tc>
          <w:tcPr>
            <w:tcW w:w="1011" w:type="dxa"/>
            <w:vMerge/>
            <w:shd w:val="clear" w:color="auto" w:fill="auto"/>
            <w:tcMar>
              <w:left w:w="57" w:type="dxa"/>
              <w:right w:w="57" w:type="dxa"/>
            </w:tcMar>
            <w:hideMark/>
          </w:tcPr>
          <w:p w14:paraId="5F76F217"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p>
        </w:tc>
        <w:tc>
          <w:tcPr>
            <w:tcW w:w="2146" w:type="dxa"/>
            <w:vMerge/>
            <w:shd w:val="clear" w:color="auto" w:fill="auto"/>
            <w:tcMar>
              <w:left w:w="57" w:type="dxa"/>
              <w:right w:w="57" w:type="dxa"/>
            </w:tcMar>
            <w:hideMark/>
          </w:tcPr>
          <w:p w14:paraId="71323A17"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p>
        </w:tc>
        <w:tc>
          <w:tcPr>
            <w:tcW w:w="1051" w:type="dxa"/>
            <w:vMerge/>
            <w:shd w:val="clear" w:color="auto" w:fill="auto"/>
            <w:tcMar>
              <w:left w:w="57" w:type="dxa"/>
              <w:right w:w="57" w:type="dxa"/>
            </w:tcMar>
            <w:hideMark/>
          </w:tcPr>
          <w:p w14:paraId="2EEB671D" w14:textId="77777777" w:rsidR="00062037" w:rsidRPr="00FA697F" w:rsidRDefault="00062037" w:rsidP="00112353">
            <w:pPr>
              <w:spacing w:after="0" w:line="240" w:lineRule="auto"/>
              <w:rPr>
                <w:rFonts w:ascii="Times New Roman" w:eastAsia="Times New Roman" w:hAnsi="Times New Roman" w:cs="Times New Roman"/>
                <w:b/>
                <w:bCs/>
                <w:sz w:val="16"/>
                <w:szCs w:val="16"/>
                <w:lang w:eastAsia="en-GB"/>
              </w:rPr>
            </w:pPr>
          </w:p>
        </w:tc>
        <w:tc>
          <w:tcPr>
            <w:tcW w:w="260" w:type="dxa"/>
            <w:shd w:val="clear" w:color="auto" w:fill="auto"/>
            <w:tcMar>
              <w:left w:w="57" w:type="dxa"/>
              <w:right w:w="57" w:type="dxa"/>
            </w:tcMar>
            <w:textDirection w:val="btLr"/>
            <w:hideMark/>
          </w:tcPr>
          <w:p w14:paraId="17DF8699"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All drugs</w:t>
            </w:r>
          </w:p>
        </w:tc>
        <w:tc>
          <w:tcPr>
            <w:tcW w:w="294" w:type="dxa"/>
            <w:shd w:val="clear" w:color="auto" w:fill="auto"/>
            <w:tcMar>
              <w:left w:w="57" w:type="dxa"/>
              <w:right w:w="57" w:type="dxa"/>
            </w:tcMar>
            <w:textDirection w:val="btLr"/>
            <w:hideMark/>
          </w:tcPr>
          <w:p w14:paraId="753B64DC"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Disease drugs</w:t>
            </w:r>
          </w:p>
        </w:tc>
        <w:tc>
          <w:tcPr>
            <w:tcW w:w="294" w:type="dxa"/>
            <w:shd w:val="clear" w:color="auto" w:fill="auto"/>
            <w:tcMar>
              <w:left w:w="57" w:type="dxa"/>
              <w:right w:w="57" w:type="dxa"/>
            </w:tcMar>
            <w:textDirection w:val="btLr"/>
            <w:hideMark/>
          </w:tcPr>
          <w:p w14:paraId="02993E7E"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Other drugs</w:t>
            </w:r>
          </w:p>
        </w:tc>
        <w:tc>
          <w:tcPr>
            <w:tcW w:w="294" w:type="dxa"/>
            <w:shd w:val="clear" w:color="auto" w:fill="auto"/>
            <w:tcMar>
              <w:left w:w="57" w:type="dxa"/>
              <w:right w:w="57" w:type="dxa"/>
            </w:tcMar>
            <w:textDirection w:val="btLr"/>
            <w:hideMark/>
          </w:tcPr>
          <w:p w14:paraId="4BFF10E9"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Labs</w:t>
            </w:r>
          </w:p>
        </w:tc>
        <w:tc>
          <w:tcPr>
            <w:tcW w:w="294" w:type="dxa"/>
            <w:shd w:val="clear" w:color="auto" w:fill="auto"/>
            <w:tcMar>
              <w:left w:w="57" w:type="dxa"/>
              <w:right w:w="57" w:type="dxa"/>
            </w:tcMar>
            <w:textDirection w:val="btLr"/>
            <w:hideMark/>
          </w:tcPr>
          <w:p w14:paraId="133889C6"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Staff</w:t>
            </w:r>
          </w:p>
        </w:tc>
        <w:tc>
          <w:tcPr>
            <w:tcW w:w="294" w:type="dxa"/>
            <w:shd w:val="clear" w:color="auto" w:fill="auto"/>
            <w:tcMar>
              <w:left w:w="57" w:type="dxa"/>
              <w:right w:w="57" w:type="dxa"/>
            </w:tcMar>
            <w:textDirection w:val="btLr"/>
            <w:hideMark/>
          </w:tcPr>
          <w:p w14:paraId="7B0A3436"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Consumables</w:t>
            </w:r>
          </w:p>
        </w:tc>
        <w:tc>
          <w:tcPr>
            <w:tcW w:w="294" w:type="dxa"/>
            <w:shd w:val="clear" w:color="auto" w:fill="auto"/>
            <w:tcMar>
              <w:left w:w="57" w:type="dxa"/>
              <w:right w:w="57" w:type="dxa"/>
            </w:tcMar>
            <w:textDirection w:val="btLr"/>
            <w:hideMark/>
          </w:tcPr>
          <w:p w14:paraId="5182002A"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Overhead</w:t>
            </w:r>
          </w:p>
        </w:tc>
        <w:tc>
          <w:tcPr>
            <w:tcW w:w="294" w:type="dxa"/>
            <w:shd w:val="clear" w:color="auto" w:fill="auto"/>
            <w:tcMar>
              <w:left w:w="57" w:type="dxa"/>
              <w:right w:w="57" w:type="dxa"/>
            </w:tcMar>
            <w:textDirection w:val="btLr"/>
            <w:hideMark/>
          </w:tcPr>
          <w:p w14:paraId="034D318A"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Equipment</w:t>
            </w:r>
          </w:p>
        </w:tc>
        <w:tc>
          <w:tcPr>
            <w:tcW w:w="294" w:type="dxa"/>
            <w:shd w:val="clear" w:color="auto" w:fill="auto"/>
            <w:tcMar>
              <w:left w:w="57" w:type="dxa"/>
              <w:right w:w="57" w:type="dxa"/>
            </w:tcMar>
            <w:textDirection w:val="btLr"/>
            <w:hideMark/>
          </w:tcPr>
          <w:p w14:paraId="43722C49"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Capital</w:t>
            </w:r>
          </w:p>
        </w:tc>
        <w:tc>
          <w:tcPr>
            <w:tcW w:w="294" w:type="dxa"/>
            <w:shd w:val="clear" w:color="auto" w:fill="auto"/>
            <w:tcMar>
              <w:left w:w="57" w:type="dxa"/>
              <w:right w:w="57" w:type="dxa"/>
            </w:tcMar>
            <w:textDirection w:val="btLr"/>
            <w:hideMark/>
          </w:tcPr>
          <w:p w14:paraId="0E19CC5C"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Transportation</w:t>
            </w:r>
          </w:p>
        </w:tc>
        <w:tc>
          <w:tcPr>
            <w:tcW w:w="294" w:type="dxa"/>
            <w:shd w:val="clear" w:color="auto" w:fill="auto"/>
            <w:tcMar>
              <w:left w:w="57" w:type="dxa"/>
              <w:right w:w="57" w:type="dxa"/>
            </w:tcMar>
            <w:textDirection w:val="btLr"/>
            <w:hideMark/>
          </w:tcPr>
          <w:p w14:paraId="0EC195C1"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Hospitalisation</w:t>
            </w:r>
          </w:p>
        </w:tc>
        <w:tc>
          <w:tcPr>
            <w:tcW w:w="857" w:type="dxa"/>
            <w:shd w:val="clear" w:color="auto" w:fill="auto"/>
            <w:tcMar>
              <w:left w:w="57" w:type="dxa"/>
              <w:right w:w="57" w:type="dxa"/>
            </w:tcMar>
            <w:textDirection w:val="btLr"/>
            <w:hideMark/>
          </w:tcPr>
          <w:p w14:paraId="339AC6A9" w14:textId="77777777" w:rsidR="00062037" w:rsidRPr="00FA697F" w:rsidRDefault="00062037" w:rsidP="00115C53">
            <w:pPr>
              <w:spacing w:after="0" w:line="240" w:lineRule="auto"/>
              <w:rPr>
                <w:rFonts w:ascii="Times New Roman" w:eastAsia="Times New Roman" w:hAnsi="Times New Roman" w:cs="Times New Roman"/>
                <w:bCs/>
                <w:sz w:val="16"/>
                <w:szCs w:val="16"/>
                <w:lang w:eastAsia="en-GB"/>
              </w:rPr>
            </w:pPr>
            <w:r w:rsidRPr="00FA697F">
              <w:rPr>
                <w:rFonts w:ascii="Times New Roman" w:eastAsia="Times New Roman" w:hAnsi="Times New Roman" w:cs="Times New Roman"/>
                <w:bCs/>
                <w:sz w:val="16"/>
                <w:szCs w:val="16"/>
                <w:lang w:eastAsia="en-GB"/>
              </w:rPr>
              <w:t>Other</w:t>
            </w:r>
          </w:p>
        </w:tc>
      </w:tr>
      <w:tr w:rsidR="003C76E8" w:rsidRPr="00FA697F" w14:paraId="1A4356FA" w14:textId="77777777" w:rsidTr="00115C53">
        <w:trPr>
          <w:trHeight w:val="288"/>
        </w:trPr>
        <w:tc>
          <w:tcPr>
            <w:tcW w:w="14967" w:type="dxa"/>
            <w:gridSpan w:val="21"/>
            <w:shd w:val="clear" w:color="auto" w:fill="auto"/>
            <w:tcMar>
              <w:left w:w="57" w:type="dxa"/>
              <w:right w:w="57" w:type="dxa"/>
            </w:tcMar>
            <w:hideMark/>
          </w:tcPr>
          <w:p w14:paraId="2275BF94" w14:textId="77777777" w:rsidR="00112353" w:rsidRPr="00FA697F" w:rsidRDefault="00112353" w:rsidP="00112353">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Hypertension - monitoring, &amp; management</w:t>
            </w:r>
          </w:p>
        </w:tc>
      </w:tr>
      <w:tr w:rsidR="003C76E8" w:rsidRPr="00FA697F" w14:paraId="22F295C8" w14:textId="77777777" w:rsidTr="00115C53">
        <w:trPr>
          <w:trHeight w:val="1948"/>
        </w:trPr>
        <w:tc>
          <w:tcPr>
            <w:tcW w:w="431" w:type="dxa"/>
            <w:shd w:val="clear" w:color="auto" w:fill="auto"/>
            <w:tcMar>
              <w:left w:w="57" w:type="dxa"/>
              <w:right w:w="57" w:type="dxa"/>
            </w:tcMar>
            <w:hideMark/>
          </w:tcPr>
          <w:p w14:paraId="246C6FD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w:t>
            </w:r>
          </w:p>
        </w:tc>
        <w:tc>
          <w:tcPr>
            <w:tcW w:w="982" w:type="dxa"/>
            <w:shd w:val="clear" w:color="auto" w:fill="auto"/>
            <w:tcMar>
              <w:left w:w="57" w:type="dxa"/>
              <w:right w:w="57" w:type="dxa"/>
            </w:tcMar>
            <w:hideMark/>
          </w:tcPr>
          <w:p w14:paraId="6F0C503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Day</w:t>
            </w:r>
            <w:r w:rsidR="00967181" w:rsidRPr="00FA697F">
              <w:rPr>
                <w:rFonts w:ascii="Times New Roman" w:eastAsia="Times New Roman" w:hAnsi="Times New Roman" w:cs="Times New Roman"/>
                <w:sz w:val="16"/>
                <w:szCs w:val="16"/>
                <w:lang w:eastAsia="en-GB"/>
              </w:rPr>
              <w:fldChar w:fldCharType="begin" w:fldLock="1"/>
            </w:r>
            <w:r w:rsidR="00967181" w:rsidRPr="00FA697F">
              <w:rPr>
                <w:rFonts w:ascii="Times New Roman" w:eastAsia="Times New Roman" w:hAnsi="Times New Roman" w:cs="Times New Roman"/>
                <w:sz w:val="16"/>
                <w:szCs w:val="16"/>
                <w:lang w:eastAsia="en-GB"/>
              </w:rPr>
              <w:instrText>ADDIN CSL_CITATION {"citationItems":[{"id":"ITEM-1","itemData":{"DOI":"10.4102/curationis.v21i4.684","ISSN":"03798577","PMID":"11040602","abstract":"The purpose of the study was to examine the cost-effectiveness of managed care interventions with respect to prescriptions for chronic illness sufferers enrolled with a specific medical scheme. The illnesses included, were epilepsy, hypertension, diabetes and asthma. The managed care interventions applied were a primary discount; the use of preferred provider pharmacies, and drug utilization review. It was concluded that the managed care interventions resulted in some real cost savings.","author":[{"dropping-particle":"","family":"Day","given":"K.","non-dropping-particle":"","parse-names":false,"suffix":""},{"dropping-particle":"","family":"Booyens","given":"S.","non-dropping-particle":"","parse-names":false,"suffix":""}],"container-title":"Curationis","id":"ITEM-1","issue":"4","issued":{"date-parts":[["1998"]]},"page":"65-70","title":"The cost-effectiveness of managed care regarding chronic medicine prescriptions in a selected medical scheme.","type":"article-journal","volume":"21"},"uris":["http://www.mendeley.com/documents/?uuid=57adad2b-3be3-4819-81a6-a24f4f847309"]}],"mendeley":{"formattedCitation":"&lt;sup&gt;1&lt;/sup&gt;","plainTextFormattedCitation":"1","previouslyFormattedCitation":"&lt;sup&gt;1&lt;/sup&gt;"},"properties":{"noteIndex":0},"schema":"https://github.com/citation-style-language/schema/raw/master/csl-citation.json"}</w:instrText>
            </w:r>
            <w:r w:rsidR="00967181" w:rsidRPr="00FA697F">
              <w:rPr>
                <w:rFonts w:ascii="Times New Roman" w:eastAsia="Times New Roman" w:hAnsi="Times New Roman" w:cs="Times New Roman"/>
                <w:sz w:val="16"/>
                <w:szCs w:val="16"/>
                <w:lang w:eastAsia="en-GB"/>
              </w:rPr>
              <w:fldChar w:fldCharType="separate"/>
            </w:r>
            <w:r w:rsidR="00967181" w:rsidRPr="00FA697F">
              <w:rPr>
                <w:rFonts w:ascii="Times New Roman" w:eastAsia="Times New Roman" w:hAnsi="Times New Roman" w:cs="Times New Roman"/>
                <w:noProof/>
                <w:sz w:val="16"/>
                <w:szCs w:val="16"/>
                <w:vertAlign w:val="superscript"/>
                <w:lang w:eastAsia="en-GB"/>
              </w:rPr>
              <w:t>1</w:t>
            </w:r>
            <w:r w:rsidR="00967181"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(1998)</w:t>
            </w:r>
          </w:p>
        </w:tc>
        <w:tc>
          <w:tcPr>
            <w:tcW w:w="1843" w:type="dxa"/>
            <w:shd w:val="clear" w:color="auto" w:fill="auto"/>
            <w:tcMar>
              <w:left w:w="57" w:type="dxa"/>
              <w:right w:w="57" w:type="dxa"/>
            </w:tcMar>
            <w:hideMark/>
          </w:tcPr>
          <w:p w14:paraId="466E5381" w14:textId="1BFAA0AC"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Examine the impact of managed care interventions for chronic illness prescriptions</w:t>
            </w:r>
          </w:p>
        </w:tc>
        <w:tc>
          <w:tcPr>
            <w:tcW w:w="1299" w:type="dxa"/>
            <w:shd w:val="clear" w:color="auto" w:fill="auto"/>
            <w:tcMar>
              <w:left w:w="57" w:type="dxa"/>
              <w:right w:w="57" w:type="dxa"/>
            </w:tcMar>
            <w:hideMark/>
          </w:tcPr>
          <w:p w14:paraId="118649B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N/S in all provinces; PHC</w:t>
            </w:r>
          </w:p>
        </w:tc>
        <w:tc>
          <w:tcPr>
            <w:tcW w:w="1017" w:type="dxa"/>
            <w:shd w:val="clear" w:color="auto" w:fill="auto"/>
            <w:tcMar>
              <w:left w:w="57" w:type="dxa"/>
              <w:right w:w="57" w:type="dxa"/>
            </w:tcMar>
            <w:hideMark/>
          </w:tcPr>
          <w:p w14:paraId="67C6C0C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w:t>
            </w:r>
            <w:r w:rsidR="00BE5DDB" w:rsidRPr="00FA697F">
              <w:rPr>
                <w:rFonts w:ascii="Times New Roman" w:eastAsia="Times New Roman" w:hAnsi="Times New Roman" w:cs="Times New Roman"/>
                <w:sz w:val="16"/>
                <w:szCs w:val="16"/>
                <w:lang w:eastAsia="en-GB"/>
              </w:rPr>
              <w:t>p</w:t>
            </w:r>
            <w:r w:rsidRPr="00FA697F">
              <w:rPr>
                <w:rFonts w:ascii="Times New Roman" w:eastAsia="Times New Roman" w:hAnsi="Times New Roman" w:cs="Times New Roman"/>
                <w:sz w:val="16"/>
                <w:szCs w:val="16"/>
                <w:lang w:eastAsia="en-GB"/>
              </w:rPr>
              <w:t>rivate)</w:t>
            </w:r>
          </w:p>
        </w:tc>
        <w:tc>
          <w:tcPr>
            <w:tcW w:w="1130" w:type="dxa"/>
            <w:shd w:val="clear" w:color="auto" w:fill="auto"/>
            <w:tcMar>
              <w:left w:w="57" w:type="dxa"/>
              <w:right w:w="57" w:type="dxa"/>
            </w:tcMar>
            <w:hideMark/>
          </w:tcPr>
          <w:p w14:paraId="4EDD8CB2"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246B67A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1995</w:t>
            </w:r>
          </w:p>
        </w:tc>
        <w:tc>
          <w:tcPr>
            <w:tcW w:w="2146" w:type="dxa"/>
            <w:shd w:val="clear" w:color="auto" w:fill="auto"/>
            <w:tcMar>
              <w:left w:w="57" w:type="dxa"/>
              <w:right w:w="57" w:type="dxa"/>
            </w:tcMar>
            <w:hideMark/>
          </w:tcPr>
          <w:p w14:paraId="4775179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hypertension (1st half of the year)</w:t>
            </w:r>
            <w:r w:rsidRPr="00FA697F">
              <w:rPr>
                <w:rFonts w:ascii="Times New Roman" w:eastAsia="Times New Roman" w:hAnsi="Times New Roman" w:cs="Times New Roman"/>
                <w:sz w:val="16"/>
                <w:szCs w:val="16"/>
                <w:lang w:eastAsia="en-GB"/>
              </w:rPr>
              <w:br/>
              <w:t>Preferred provider cost: $33</w:t>
            </w:r>
            <w:r w:rsidRPr="00FA697F">
              <w:rPr>
                <w:rFonts w:ascii="Times New Roman" w:eastAsia="Times New Roman" w:hAnsi="Times New Roman" w:cs="Times New Roman"/>
                <w:sz w:val="16"/>
                <w:szCs w:val="16"/>
                <w:lang w:eastAsia="en-GB"/>
              </w:rPr>
              <w:br/>
              <w:t>Retail pharmacy cost: $64</w:t>
            </w:r>
            <w:r w:rsidRPr="00FA697F">
              <w:rPr>
                <w:rFonts w:ascii="Times New Roman" w:eastAsia="Times New Roman" w:hAnsi="Times New Roman" w:cs="Times New Roman"/>
                <w:sz w:val="16"/>
                <w:szCs w:val="16"/>
                <w:lang w:eastAsia="en-GB"/>
              </w:rPr>
              <w:br/>
              <w:t>Treatment of hypertension (2nd half of the year)</w:t>
            </w:r>
            <w:r w:rsidRPr="00FA697F">
              <w:rPr>
                <w:rFonts w:ascii="Times New Roman" w:eastAsia="Times New Roman" w:hAnsi="Times New Roman" w:cs="Times New Roman"/>
                <w:sz w:val="16"/>
                <w:szCs w:val="16"/>
                <w:lang w:eastAsia="en-GB"/>
              </w:rPr>
              <w:br/>
              <w:t>Preferred provider cost: $32</w:t>
            </w:r>
            <w:r w:rsidRPr="00FA697F">
              <w:rPr>
                <w:rFonts w:ascii="Times New Roman" w:eastAsia="Times New Roman" w:hAnsi="Times New Roman" w:cs="Times New Roman"/>
                <w:sz w:val="16"/>
                <w:szCs w:val="16"/>
                <w:lang w:eastAsia="en-GB"/>
              </w:rPr>
              <w:br/>
              <w:t>Retail pharmacy cost: $64</w:t>
            </w:r>
            <w:r w:rsidRPr="00FA697F">
              <w:rPr>
                <w:rFonts w:ascii="Times New Roman" w:eastAsia="Times New Roman" w:hAnsi="Times New Roman" w:cs="Times New Roman"/>
                <w:sz w:val="16"/>
                <w:szCs w:val="16"/>
                <w:lang w:eastAsia="en-GB"/>
              </w:rPr>
              <w:br/>
              <w:t>per person month</w:t>
            </w:r>
          </w:p>
        </w:tc>
        <w:tc>
          <w:tcPr>
            <w:tcW w:w="1051" w:type="dxa"/>
            <w:shd w:val="clear" w:color="auto" w:fill="auto"/>
            <w:tcMar>
              <w:left w:w="57" w:type="dxa"/>
              <w:right w:w="57" w:type="dxa"/>
            </w:tcMar>
            <w:hideMark/>
          </w:tcPr>
          <w:p w14:paraId="7217AB9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111F8E1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29BAD8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95DCAD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E3BAB6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22B13E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9A6CF4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F6A61C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F37109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E83B11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D2DA98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BCD88A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06FFEB4D"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39E0C5D2" w14:textId="77777777" w:rsidTr="008C2D47">
        <w:trPr>
          <w:trHeight w:val="1850"/>
        </w:trPr>
        <w:tc>
          <w:tcPr>
            <w:tcW w:w="431" w:type="dxa"/>
            <w:shd w:val="clear" w:color="auto" w:fill="auto"/>
            <w:tcMar>
              <w:left w:w="57" w:type="dxa"/>
              <w:right w:w="57" w:type="dxa"/>
            </w:tcMar>
            <w:hideMark/>
          </w:tcPr>
          <w:p w14:paraId="4F68E4F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w:t>
            </w:r>
          </w:p>
        </w:tc>
        <w:tc>
          <w:tcPr>
            <w:tcW w:w="982" w:type="dxa"/>
            <w:shd w:val="clear" w:color="auto" w:fill="auto"/>
            <w:tcMar>
              <w:left w:w="57" w:type="dxa"/>
              <w:right w:w="57" w:type="dxa"/>
            </w:tcMar>
            <w:hideMark/>
          </w:tcPr>
          <w:p w14:paraId="062479E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Edwards</w:t>
            </w:r>
            <w:r w:rsidR="00967181" w:rsidRPr="00FA697F">
              <w:rPr>
                <w:rFonts w:ascii="Times New Roman" w:eastAsia="Times New Roman" w:hAnsi="Times New Roman" w:cs="Times New Roman"/>
                <w:sz w:val="16"/>
                <w:szCs w:val="16"/>
                <w:lang w:eastAsia="en-GB"/>
              </w:rPr>
              <w:fldChar w:fldCharType="begin" w:fldLock="1"/>
            </w:r>
            <w:r w:rsidR="00967181" w:rsidRPr="00FA697F">
              <w:rPr>
                <w:rFonts w:ascii="Times New Roman" w:eastAsia="Times New Roman" w:hAnsi="Times New Roman" w:cs="Times New Roman"/>
                <w:sz w:val="16"/>
                <w:szCs w:val="16"/>
                <w:lang w:eastAsia="en-GB"/>
              </w:rPr>
              <w:instrText>ADDIN CSL_CITATION {"citationItems":[{"id":"ITEM-1","itemData":{"ISSN":"0256-9574 (Print)","PMID":"9638122","abstract":"OBJECTIVES: To describe the pattern of prescribing for hypertension at a community health centre (CHC) and to evaluate the impact of introducing treatment guidelines and restricting availability of less cost-effective antihypertensive drugs on prescribing patterns, costs of drug treatment and blood pressure (BP) control. DESIGN: Before/after intervention study. SETTING: Medium-sized CHC in the Cape Flats area of Cape Town. SUBJECTS: 1,084 hypertensive patients attending the CHC, who had at least two prescriptions for antihypertensive drugs during a 1-year period starting on 1 January 1992. INTERVENTIONS: 1. Implementation of stepped-care guidelines for hypertension, specifying treatment with more cost-effective drugs and minimising drug treatment. 2. Reducing availability for routine prescribing by CHC doctors of 10 less cost-effective antihypertensive drugs or drug combinations. OUTCOME MEASURES: 1. Mean number of drugs prescribed per patient. 2. Proportion of prescriptions for: each major class of antihypertensive drug; restricted availability and freely prescribable drugs; and more and less cost-effective drugs. 3. Mean monthly cost of drugs prescribed per patient. 4. Mean blood pressure and proportion of BP readings controlled (&lt; 160/95 mmHg) or uncontrolled (&gt; or = 160/95 mmHg). RESULTS: A mean of 1.7 active drugs was prescribed per patient per visit. The most frequently prescribed drugs were thiazide-like diuretics (44.8%), centrally acting agents (28.4%) and b-blockers (13.2%). Mean monthly drug costs per patient decreased significantly by R1.99 (24.2%) from R8.24 to R6.25 between the first and last prescription for each patient (exclusive of any reduction due to withdrawal of treatment). This was attributable to reduced prescribing of more expensive drugs withdrawn from routine use and a 51.1% increase in prescribing of the most cost-effective drugs. The overall annual cost-saving of the changes in prescribing for this CHC are estimated at R75 150. Blood pressure control did not change significantly. CONCLUSION: The pattern of changes in prescribing and drug costs was consistent with a causal effect of the interventions. The study demonstrates the potential for improving cost-effectiveness of hypertension care in primary care in South Africa and the potential for research in this setting.","author":[{"dropping-particle":"","family":"Edwards","given":"P R","non-dropping-particle":"","parse-names":false,"suffix":""},{"dropping-particle":"","family":"Lunt","given":"D W","non-dropping-particle":"","parse-names":false,"suffix":""},{"dropping-particle":"","family":"Fehrsen","given":"G S","non-dropping-particle":"","parse-names":false,"suffix":""},{"dropping-particle":"","family":"Lombard","given":"C J","non-dropping-particle":"","parse-names":false,"suffix":""},{"dropping-particle":"","family":"Steyn","given":"K","non-dropping-particle":"","parse-names":false,"suffix":""}],"container-title":"South African medical journal = Suid-Afrikaanse tydskrif vir geneeskunde","id":"ITEM-1","issue":"5","issued":{"date-parts":[["1998","5"]]},"language":"eng","page":"549-554","publisher-place":"South Africa","title":"Improving cost-effectiveness of hypertension management at a community health centre.","type":"article-journal","volume":"88"},"uris":["http://www.mendeley.com/documents/?uuid=d1c960a0-72ec-4718-a8a0-b0b09a42a688"]}],"mendeley":{"formattedCitation":"&lt;sup&gt;2&lt;/sup&gt;","plainTextFormattedCitation":"2","previouslyFormattedCitation":"&lt;sup&gt;2&lt;/sup&gt;"},"properties":{"noteIndex":0},"schema":"https://github.com/citation-style-language/schema/raw/master/csl-citation.json"}</w:instrText>
            </w:r>
            <w:r w:rsidR="00967181" w:rsidRPr="00FA697F">
              <w:rPr>
                <w:rFonts w:ascii="Times New Roman" w:eastAsia="Times New Roman" w:hAnsi="Times New Roman" w:cs="Times New Roman"/>
                <w:sz w:val="16"/>
                <w:szCs w:val="16"/>
                <w:lang w:eastAsia="en-GB"/>
              </w:rPr>
              <w:fldChar w:fldCharType="separate"/>
            </w:r>
            <w:r w:rsidR="00967181" w:rsidRPr="00FA697F">
              <w:rPr>
                <w:rFonts w:ascii="Times New Roman" w:eastAsia="Times New Roman" w:hAnsi="Times New Roman" w:cs="Times New Roman"/>
                <w:noProof/>
                <w:sz w:val="16"/>
                <w:szCs w:val="16"/>
                <w:vertAlign w:val="superscript"/>
                <w:lang w:eastAsia="en-GB"/>
              </w:rPr>
              <w:t>2</w:t>
            </w:r>
            <w:r w:rsidR="00967181"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(1998)</w:t>
            </w:r>
          </w:p>
        </w:tc>
        <w:tc>
          <w:tcPr>
            <w:tcW w:w="1843" w:type="dxa"/>
            <w:shd w:val="clear" w:color="auto" w:fill="auto"/>
            <w:tcMar>
              <w:left w:w="57" w:type="dxa"/>
              <w:right w:w="57" w:type="dxa"/>
            </w:tcMar>
            <w:hideMark/>
          </w:tcPr>
          <w:p w14:paraId="40653FCD" w14:textId="78F29889"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Describe antihypertensive drug prescription pattern at a community health centre and costs of drug treatment and blood pressure control</w:t>
            </w:r>
          </w:p>
        </w:tc>
        <w:tc>
          <w:tcPr>
            <w:tcW w:w="1299" w:type="dxa"/>
            <w:shd w:val="clear" w:color="auto" w:fill="auto"/>
            <w:tcMar>
              <w:left w:w="57" w:type="dxa"/>
              <w:right w:w="57" w:type="dxa"/>
            </w:tcMar>
            <w:hideMark/>
          </w:tcPr>
          <w:p w14:paraId="074D6DBF" w14:textId="032CED64"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Hypertensive patients with at least 2 medicine prescriptions during </w:t>
            </w:r>
            <w:r w:rsidR="00DA0AFD" w:rsidRPr="00FA697F">
              <w:rPr>
                <w:rFonts w:ascii="Times New Roman" w:eastAsia="Times New Roman" w:hAnsi="Times New Roman" w:cs="Times New Roman"/>
                <w:sz w:val="16"/>
                <w:szCs w:val="16"/>
                <w:lang w:eastAsia="en-GB"/>
              </w:rPr>
              <w:t>one year</w:t>
            </w:r>
            <w:r w:rsidRPr="00FA697F">
              <w:rPr>
                <w:rFonts w:ascii="Times New Roman" w:eastAsia="Times New Roman" w:hAnsi="Times New Roman" w:cs="Times New Roman"/>
                <w:sz w:val="16"/>
                <w:szCs w:val="16"/>
                <w:lang w:eastAsia="en-GB"/>
              </w:rPr>
              <w:t xml:space="preserve"> in urban Western cape; community health centre</w:t>
            </w:r>
          </w:p>
        </w:tc>
        <w:tc>
          <w:tcPr>
            <w:tcW w:w="1017" w:type="dxa"/>
            <w:shd w:val="clear" w:color="auto" w:fill="auto"/>
            <w:tcMar>
              <w:left w:w="57" w:type="dxa"/>
              <w:right w:w="57" w:type="dxa"/>
            </w:tcMar>
            <w:hideMark/>
          </w:tcPr>
          <w:p w14:paraId="4077FCC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5629F1BA"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222B61A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1992</w:t>
            </w:r>
          </w:p>
        </w:tc>
        <w:tc>
          <w:tcPr>
            <w:tcW w:w="2146" w:type="dxa"/>
            <w:shd w:val="clear" w:color="auto" w:fill="auto"/>
            <w:tcMar>
              <w:left w:w="57" w:type="dxa"/>
              <w:right w:w="57" w:type="dxa"/>
            </w:tcMar>
            <w:hideMark/>
          </w:tcPr>
          <w:p w14:paraId="754F4CB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hypertension</w:t>
            </w:r>
            <w:r w:rsidRPr="00FA697F">
              <w:rPr>
                <w:rFonts w:ascii="Times New Roman" w:eastAsia="Times New Roman" w:hAnsi="Times New Roman" w:cs="Times New Roman"/>
                <w:sz w:val="16"/>
                <w:szCs w:val="16"/>
                <w:lang w:eastAsia="en-GB"/>
              </w:rPr>
              <w:br/>
              <w:t>First visit: $3.09</w:t>
            </w:r>
            <w:r w:rsidRPr="00FA697F">
              <w:rPr>
                <w:rFonts w:ascii="Times New Roman" w:eastAsia="Times New Roman" w:hAnsi="Times New Roman" w:cs="Times New Roman"/>
                <w:sz w:val="16"/>
                <w:szCs w:val="16"/>
                <w:lang w:eastAsia="en-GB"/>
              </w:rPr>
              <w:br/>
              <w:t>Last visit: $2.34</w:t>
            </w:r>
            <w:r w:rsidRPr="00FA697F">
              <w:rPr>
                <w:rFonts w:ascii="Times New Roman" w:eastAsia="Times New Roman" w:hAnsi="Times New Roman" w:cs="Times New Roman"/>
                <w:sz w:val="16"/>
                <w:szCs w:val="16"/>
                <w:lang w:eastAsia="en-GB"/>
              </w:rPr>
              <w:br/>
              <w:t>per person month</w:t>
            </w:r>
          </w:p>
        </w:tc>
        <w:tc>
          <w:tcPr>
            <w:tcW w:w="1051" w:type="dxa"/>
            <w:shd w:val="clear" w:color="auto" w:fill="auto"/>
            <w:tcMar>
              <w:left w:w="57" w:type="dxa"/>
              <w:right w:w="57" w:type="dxa"/>
            </w:tcMar>
            <w:hideMark/>
          </w:tcPr>
          <w:p w14:paraId="7E3FEA8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7514AD8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55223A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B2FABF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EE60AA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A34CC7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695CD5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BF3A56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D1E152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61D2DE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8763F5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B680F2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621AD16A"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7BB82091" w14:textId="77777777" w:rsidTr="00115C53">
        <w:trPr>
          <w:trHeight w:val="1728"/>
        </w:trPr>
        <w:tc>
          <w:tcPr>
            <w:tcW w:w="431" w:type="dxa"/>
            <w:shd w:val="clear" w:color="auto" w:fill="auto"/>
            <w:tcMar>
              <w:left w:w="57" w:type="dxa"/>
              <w:right w:w="57" w:type="dxa"/>
            </w:tcMar>
            <w:hideMark/>
          </w:tcPr>
          <w:p w14:paraId="7F11DBD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3</w:t>
            </w:r>
          </w:p>
        </w:tc>
        <w:tc>
          <w:tcPr>
            <w:tcW w:w="982" w:type="dxa"/>
            <w:shd w:val="clear" w:color="auto" w:fill="auto"/>
            <w:tcMar>
              <w:left w:w="57" w:type="dxa"/>
              <w:right w:w="57" w:type="dxa"/>
            </w:tcMar>
            <w:hideMark/>
          </w:tcPr>
          <w:p w14:paraId="6B2C673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Anderson</w:t>
            </w:r>
            <w:r w:rsidR="00967181" w:rsidRPr="00FA697F">
              <w:rPr>
                <w:rFonts w:ascii="Times New Roman" w:eastAsia="Times New Roman" w:hAnsi="Times New Roman" w:cs="Times New Roman"/>
                <w:sz w:val="16"/>
                <w:szCs w:val="16"/>
                <w:lang w:eastAsia="en-GB"/>
              </w:rPr>
              <w:fldChar w:fldCharType="begin" w:fldLock="1"/>
            </w:r>
            <w:r w:rsidR="00BB5EEC" w:rsidRPr="00FA697F">
              <w:rPr>
                <w:rFonts w:ascii="Times New Roman" w:eastAsia="Times New Roman" w:hAnsi="Times New Roman" w:cs="Times New Roman"/>
                <w:sz w:val="16"/>
                <w:szCs w:val="16"/>
                <w:lang w:eastAsia="en-GB"/>
              </w:rPr>
              <w:instrText>ADDIN CSL_CITATION {"citationItems":[{"id":"ITEM-1","itemData":{"ISSN":"0256-9574 (Print)","PMID":"10901822","abstract":"OBJECTIVES: Hypertension is a leading chronic disease in South Africa, Significant mortality results from this condition and from stroke and ischaemic heart disease in which hypertension plays a major role. The objective of this study was to evaluate the evidence for the clinically effective and cost-effective treatment of hypertension, given that the clinician has decided to administer an AT1 receptor blocker. METHODOLOGY: A cost-effectiveness analysis was undertaken from the perspective of the funder of health care in the private sector. A predetermined protocol defined the study scope, the comparators (candesartan, losartan, valsartan and irbesartan) and the inclusion criteria for peer-reviewed data. Data for the clinical efficacy of the comparators, measured as the reduction (mmHg) in sitting diastolic blood pressure (SDBP) achieved, were extracted, statistically assessed and reported. The combinability of the data from different clinical trials was confirmed using analyses of variance. A pharmacoeconomic model was developed by combining these clinical results with South African retail prices and testing the results at a 95% confidence level. RESULTS: Significant difference in clinical effectiveness was found among the comparators, with the following mean reductions in SDBP observed: candesartan 10.57, irbesartan 9.07, losartan 8.89 and valsartan 7.11 mmHg. Candesartan was found to be significantly more effective than losartan. Valsartan was found to be less effective than the other 3 comparators. No significant difference was found between irbesartan and either candesartan or losartan. The reduction in SDBP per R100 spent indicated that candesartan was more cost-effective than the other comparators, among which there were no significant differences. Incremental savings of R5.0 million annually could be achieved by the funders of private health care for every 100,000 successfully treated patients using candesartan. CONCLUSION: Significant differences exist in both the clinical and cost-effectiveness measures used in this study for the comparators. The findings from the analysis will be valuable in decision-making processes for both the funders and providers of health care. This analysis can be enhanced further by the inclusion of additional clinical benefits and long-term health outcomes when the relevant data become available.","author":[{"dropping-particle":"","family":"Anderson","given":"A N","non-dropping-particle":"","parse-names":false,"suffix":""},{"dropping-particle":"","family":"Wessels","given":"F","non-dropping-particle":"","parse-names":false,"suffix":""},{"dropping-particle":"","family":"Moodley","given":"I","non-dropping-particle":"","parse-names":false,"suffix":""},{"dropping-particle":"","family":"Kropman","given":"K","non-dropping-particle":"","parse-names":false,"suffix":""}],"container-title":"South African medical journal = Suid-Afrikaanse tydskrif vir geneeskunde","id":"ITEM-1","issue":"5","issued":{"date-parts":[["2000","5"]]},"language":"eng","page":"494-498","publisher-place":"South Africa","title":"AT1 receptor blockers--cost-effectiveness within the South African context.","type":"article-journal","volume":"90"},"uris":["http://www.mendeley.com/documents/?uuid=f0202040-6a8c-4551-a92d-4e2db23a041d"]}],"mendeley":{"formattedCitation":"&lt;sup&gt;3&lt;/sup&gt;","plainTextFormattedCitation":"3","previouslyFormattedCitation":"&lt;sup&gt;3&lt;/sup&gt;"},"properties":{"noteIndex":0},"schema":"https://github.com/citation-style-language/schema/raw/master/csl-citation.json"}</w:instrText>
            </w:r>
            <w:r w:rsidR="00967181" w:rsidRPr="00FA697F">
              <w:rPr>
                <w:rFonts w:ascii="Times New Roman" w:eastAsia="Times New Roman" w:hAnsi="Times New Roman" w:cs="Times New Roman"/>
                <w:sz w:val="16"/>
                <w:szCs w:val="16"/>
                <w:lang w:eastAsia="en-GB"/>
              </w:rPr>
              <w:fldChar w:fldCharType="separate"/>
            </w:r>
            <w:r w:rsidR="00967181" w:rsidRPr="00FA697F">
              <w:rPr>
                <w:rFonts w:ascii="Times New Roman" w:eastAsia="Times New Roman" w:hAnsi="Times New Roman" w:cs="Times New Roman"/>
                <w:noProof/>
                <w:sz w:val="16"/>
                <w:szCs w:val="16"/>
                <w:vertAlign w:val="superscript"/>
                <w:lang w:eastAsia="en-GB"/>
              </w:rPr>
              <w:t>3</w:t>
            </w:r>
            <w:r w:rsidR="00967181"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(2000b)</w:t>
            </w:r>
          </w:p>
        </w:tc>
        <w:tc>
          <w:tcPr>
            <w:tcW w:w="1843" w:type="dxa"/>
            <w:shd w:val="clear" w:color="auto" w:fill="auto"/>
            <w:tcMar>
              <w:left w:w="57" w:type="dxa"/>
              <w:right w:w="57" w:type="dxa"/>
            </w:tcMar>
            <w:hideMark/>
          </w:tcPr>
          <w:p w14:paraId="21801F77" w14:textId="0DD2B200"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Determine the cost-effectiveness of AT1 receptor blockers in the treatment of hypertension</w:t>
            </w:r>
          </w:p>
        </w:tc>
        <w:tc>
          <w:tcPr>
            <w:tcW w:w="1299" w:type="dxa"/>
            <w:shd w:val="clear" w:color="auto" w:fill="auto"/>
            <w:tcMar>
              <w:left w:w="57" w:type="dxa"/>
              <w:right w:w="57" w:type="dxa"/>
            </w:tcMar>
            <w:hideMark/>
          </w:tcPr>
          <w:p w14:paraId="4B43EF8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 in N/S; PHC</w:t>
            </w:r>
          </w:p>
        </w:tc>
        <w:tc>
          <w:tcPr>
            <w:tcW w:w="1017" w:type="dxa"/>
            <w:shd w:val="clear" w:color="auto" w:fill="auto"/>
            <w:tcMar>
              <w:left w:w="57" w:type="dxa"/>
              <w:right w:w="57" w:type="dxa"/>
            </w:tcMar>
            <w:hideMark/>
          </w:tcPr>
          <w:p w14:paraId="0848B29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w:t>
            </w:r>
            <w:r w:rsidR="00BE5DDB" w:rsidRPr="00FA697F">
              <w:rPr>
                <w:rFonts w:ascii="Times New Roman" w:eastAsia="Times New Roman" w:hAnsi="Times New Roman" w:cs="Times New Roman"/>
                <w:sz w:val="16"/>
                <w:szCs w:val="16"/>
                <w:lang w:eastAsia="en-GB"/>
              </w:rPr>
              <w:t>p</w:t>
            </w:r>
            <w:r w:rsidRPr="00FA697F">
              <w:rPr>
                <w:rFonts w:ascii="Times New Roman" w:eastAsia="Times New Roman" w:hAnsi="Times New Roman" w:cs="Times New Roman"/>
                <w:sz w:val="16"/>
                <w:szCs w:val="16"/>
                <w:lang w:eastAsia="en-GB"/>
              </w:rPr>
              <w:t>rivate)</w:t>
            </w:r>
          </w:p>
        </w:tc>
        <w:tc>
          <w:tcPr>
            <w:tcW w:w="1130" w:type="dxa"/>
            <w:shd w:val="clear" w:color="auto" w:fill="auto"/>
            <w:tcMar>
              <w:left w:w="57" w:type="dxa"/>
              <w:right w:w="57" w:type="dxa"/>
            </w:tcMar>
            <w:hideMark/>
          </w:tcPr>
          <w:p w14:paraId="67F8D6B9"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50525F0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2000</w:t>
            </w:r>
          </w:p>
        </w:tc>
        <w:tc>
          <w:tcPr>
            <w:tcW w:w="2146" w:type="dxa"/>
            <w:shd w:val="clear" w:color="auto" w:fill="auto"/>
            <w:tcMar>
              <w:left w:w="57" w:type="dxa"/>
              <w:right w:w="57" w:type="dxa"/>
            </w:tcMar>
            <w:hideMark/>
          </w:tcPr>
          <w:p w14:paraId="031592D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hypertension -angiotensin II receptor antagonists</w:t>
            </w:r>
            <w:r w:rsidRPr="00FA697F">
              <w:rPr>
                <w:rFonts w:ascii="Times New Roman" w:eastAsia="Times New Roman" w:hAnsi="Times New Roman" w:cs="Times New Roman"/>
                <w:sz w:val="16"/>
                <w:szCs w:val="16"/>
                <w:lang w:eastAsia="en-GB"/>
              </w:rPr>
              <w:br/>
              <w:t>Candesartan: $49</w:t>
            </w:r>
            <w:r w:rsidRPr="00FA697F">
              <w:rPr>
                <w:rFonts w:ascii="Times New Roman" w:eastAsia="Times New Roman" w:hAnsi="Times New Roman" w:cs="Times New Roman"/>
                <w:sz w:val="16"/>
                <w:szCs w:val="16"/>
                <w:lang w:eastAsia="en-GB"/>
              </w:rPr>
              <w:br/>
              <w:t>Losartan: $49</w:t>
            </w:r>
            <w:r w:rsidRPr="00FA697F">
              <w:rPr>
                <w:rFonts w:ascii="Times New Roman" w:eastAsia="Times New Roman" w:hAnsi="Times New Roman" w:cs="Times New Roman"/>
                <w:sz w:val="16"/>
                <w:szCs w:val="16"/>
                <w:lang w:eastAsia="en-GB"/>
              </w:rPr>
              <w:br/>
              <w:t>Valsartan: $49</w:t>
            </w:r>
            <w:r w:rsidRPr="00FA697F">
              <w:rPr>
                <w:rFonts w:ascii="Times New Roman" w:eastAsia="Times New Roman" w:hAnsi="Times New Roman" w:cs="Times New Roman"/>
                <w:sz w:val="16"/>
                <w:szCs w:val="16"/>
                <w:lang w:eastAsia="en-GB"/>
              </w:rPr>
              <w:br/>
              <w:t>Irbesartan: $56</w:t>
            </w:r>
            <w:r w:rsidRPr="00FA697F">
              <w:rPr>
                <w:rFonts w:ascii="Times New Roman" w:eastAsia="Times New Roman" w:hAnsi="Times New Roman" w:cs="Times New Roman"/>
                <w:sz w:val="16"/>
                <w:szCs w:val="16"/>
                <w:lang w:eastAsia="en-GB"/>
              </w:rPr>
              <w:br/>
              <w:t>per person month</w:t>
            </w:r>
          </w:p>
        </w:tc>
        <w:tc>
          <w:tcPr>
            <w:tcW w:w="1051" w:type="dxa"/>
            <w:shd w:val="clear" w:color="auto" w:fill="auto"/>
            <w:tcMar>
              <w:left w:w="57" w:type="dxa"/>
              <w:right w:w="57" w:type="dxa"/>
            </w:tcMar>
            <w:hideMark/>
          </w:tcPr>
          <w:p w14:paraId="6DAF64D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7CBCC6C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121B67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56324F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78EEBA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0F4500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7AEB98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510C84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FE0861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384031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A770C5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421BCB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6D51F1DA"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7C0000E4" w14:textId="77777777" w:rsidTr="00115C53">
        <w:trPr>
          <w:trHeight w:val="1554"/>
        </w:trPr>
        <w:tc>
          <w:tcPr>
            <w:tcW w:w="431" w:type="dxa"/>
            <w:shd w:val="clear" w:color="auto" w:fill="auto"/>
            <w:tcMar>
              <w:left w:w="57" w:type="dxa"/>
              <w:right w:w="57" w:type="dxa"/>
            </w:tcMar>
            <w:hideMark/>
          </w:tcPr>
          <w:p w14:paraId="61C65BE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4</w:t>
            </w:r>
          </w:p>
        </w:tc>
        <w:tc>
          <w:tcPr>
            <w:tcW w:w="982" w:type="dxa"/>
            <w:shd w:val="clear" w:color="auto" w:fill="auto"/>
            <w:tcMar>
              <w:left w:w="57" w:type="dxa"/>
              <w:right w:w="57" w:type="dxa"/>
            </w:tcMar>
            <w:hideMark/>
          </w:tcPr>
          <w:p w14:paraId="11C179A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Ker</w:t>
            </w:r>
            <w:r w:rsidR="00BB5EEC" w:rsidRPr="00FA697F">
              <w:rPr>
                <w:rFonts w:ascii="Times New Roman" w:eastAsia="Times New Roman" w:hAnsi="Times New Roman" w:cs="Times New Roman"/>
                <w:sz w:val="16"/>
                <w:szCs w:val="16"/>
                <w:lang w:eastAsia="en-GB"/>
              </w:rPr>
              <w:fldChar w:fldCharType="begin" w:fldLock="1"/>
            </w:r>
            <w:r w:rsidR="00BB5EEC" w:rsidRPr="00FA697F">
              <w:rPr>
                <w:rFonts w:ascii="Times New Roman" w:eastAsia="Times New Roman" w:hAnsi="Times New Roman" w:cs="Times New Roman"/>
                <w:sz w:val="16"/>
                <w:szCs w:val="16"/>
                <w:lang w:eastAsia="en-GB"/>
              </w:rPr>
              <w:instrText>ADDIN CSL_CITATION {"citationItems":[{"id":"ITEM-1","itemData":{"ISSN":"19951892","PMID":"18516355","abstract":"Background: Many clinical guidelines have adopted a multifactorial cardiovascular risk assessment to identify high-risk individuals for treatment. The F ramingham risk chart is a widely used risk engine to calculate the absolute cardiovascular risk of an individual. Cost-effective analyses are typically used to evaluate therapeutic strategies, but it is more problematic for a clinician when faced with alternative therapeutic strategies to calculate cost effectiveness. Aim: We used a single simulated-patient model to explore the effect of different drug treatments on the calculated absolute cardiovascular risk. Methods: The F ramingham risk score was calculated on a hypothetical patient, and drug treatment was initiated. After every drug introduced, the score was recalculated. Single-exit pricing of the various drugs in South Africa was used to calculate the cost of reducing predicted cardiovascular risk. Results: The cost-effective ratio of an antihypertensive treatment strategy was calculated to be R21.35 per percentage of risk reduction. That of a statin treatment strategy was R22.93 per percentage of risk reduction. U sing a high-dose statin, the cost-effective ratio was R12.81 per percentage of risk reduction. Combining the antihypertensive and statin strategy demonstrated a cost-effective ratio of R23.84 per percentage of risk reduction. A combination of several drugs enabled the hypothetical patient to reduce the risk to 14% at a cost-effective ratio of R17.18 per percentage of risk reduction. Conclusion: This model demonstrates a method to compare different therapeutic strategies to reduce cardiovascular risk with their cost-effective ratios.","author":[{"dropping-particle":"","family":"Ker","given":"J. A.","non-dropping-particle":"","parse-names":false,"suffix":""},{"dropping-particle":"","family":"Oosthuizen","given":"H.","non-dropping-particle":"","parse-names":false,"suffix":""},{"dropping-particle":"","family":"Rheeder","given":"P.","non-dropping-particle":"","parse-names":false,"suffix":""}],"container-title":"Cardiovascular Journal of Africa","id":"ITEM-1","issue":"2","issued":{"date-parts":[["2008"]]},"page":"97-101","title":"Decision-making using absolute cardiovascular risk reduction and incremental cost-effectiveness ratios: A case study","type":"article-journal","volume":"19"},"uris":["http://www.mendeley.com/documents/?uuid=2e4642b3-6f9b-4c35-9930-1a6962b94a78"]}],"mendeley":{"formattedCitation":"&lt;sup&gt;4&lt;/sup&gt;","plainTextFormattedCitation":"4","previouslyFormattedCitation":"&lt;sup&gt;4&lt;/sup&gt;"},"properties":{"noteIndex":0},"schema":"https://github.com/citation-style-language/schema/raw/master/csl-citation.json"}</w:instrText>
            </w:r>
            <w:r w:rsidR="00BB5EEC" w:rsidRPr="00FA697F">
              <w:rPr>
                <w:rFonts w:ascii="Times New Roman" w:eastAsia="Times New Roman" w:hAnsi="Times New Roman" w:cs="Times New Roman"/>
                <w:sz w:val="16"/>
                <w:szCs w:val="16"/>
                <w:lang w:eastAsia="en-GB"/>
              </w:rPr>
              <w:fldChar w:fldCharType="separate"/>
            </w:r>
            <w:r w:rsidR="00BB5EEC" w:rsidRPr="00FA697F">
              <w:rPr>
                <w:rFonts w:ascii="Times New Roman" w:eastAsia="Times New Roman" w:hAnsi="Times New Roman" w:cs="Times New Roman"/>
                <w:noProof/>
                <w:sz w:val="16"/>
                <w:szCs w:val="16"/>
                <w:vertAlign w:val="superscript"/>
                <w:lang w:eastAsia="en-GB"/>
              </w:rPr>
              <w:t>4</w:t>
            </w:r>
            <w:r w:rsidR="00BB5EEC"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(2008)</w:t>
            </w:r>
          </w:p>
        </w:tc>
        <w:tc>
          <w:tcPr>
            <w:tcW w:w="1843" w:type="dxa"/>
            <w:shd w:val="clear" w:color="auto" w:fill="auto"/>
            <w:tcMar>
              <w:left w:w="57" w:type="dxa"/>
              <w:right w:w="57" w:type="dxa"/>
            </w:tcMar>
            <w:hideMark/>
          </w:tcPr>
          <w:p w14:paraId="4665AEE0" w14:textId="67036D5C"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Investigate the effect and cost implications of drug treatment on the calculated absolute cardiovascular risk</w:t>
            </w:r>
          </w:p>
        </w:tc>
        <w:tc>
          <w:tcPr>
            <w:tcW w:w="1299" w:type="dxa"/>
            <w:shd w:val="clear" w:color="auto" w:fill="auto"/>
            <w:tcMar>
              <w:left w:w="57" w:type="dxa"/>
              <w:right w:w="57" w:type="dxa"/>
            </w:tcMar>
            <w:hideMark/>
          </w:tcPr>
          <w:p w14:paraId="45F296B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Male smoker aged 56 years old; PHC</w:t>
            </w:r>
          </w:p>
        </w:tc>
        <w:tc>
          <w:tcPr>
            <w:tcW w:w="1017" w:type="dxa"/>
            <w:shd w:val="clear" w:color="auto" w:fill="auto"/>
            <w:tcMar>
              <w:left w:w="57" w:type="dxa"/>
              <w:right w:w="57" w:type="dxa"/>
            </w:tcMar>
            <w:hideMark/>
          </w:tcPr>
          <w:p w14:paraId="068D1EC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w:t>
            </w:r>
            <w:r w:rsidR="00BE5DDB" w:rsidRPr="00FA697F">
              <w:rPr>
                <w:rFonts w:ascii="Times New Roman" w:eastAsia="Times New Roman" w:hAnsi="Times New Roman" w:cs="Times New Roman"/>
                <w:sz w:val="16"/>
                <w:szCs w:val="16"/>
                <w:lang w:eastAsia="en-GB"/>
              </w:rPr>
              <w:t>p</w:t>
            </w:r>
            <w:r w:rsidRPr="00FA697F">
              <w:rPr>
                <w:rFonts w:ascii="Times New Roman" w:eastAsia="Times New Roman" w:hAnsi="Times New Roman" w:cs="Times New Roman"/>
                <w:sz w:val="16"/>
                <w:szCs w:val="16"/>
                <w:lang w:eastAsia="en-GB"/>
              </w:rPr>
              <w:t>rivate)</w:t>
            </w:r>
          </w:p>
        </w:tc>
        <w:tc>
          <w:tcPr>
            <w:tcW w:w="1130" w:type="dxa"/>
            <w:shd w:val="clear" w:color="auto" w:fill="auto"/>
            <w:tcMar>
              <w:left w:w="57" w:type="dxa"/>
              <w:right w:w="57" w:type="dxa"/>
            </w:tcMar>
            <w:hideMark/>
          </w:tcPr>
          <w:p w14:paraId="6EE1D35D"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68767D4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2006</w:t>
            </w:r>
          </w:p>
        </w:tc>
        <w:tc>
          <w:tcPr>
            <w:tcW w:w="2146" w:type="dxa"/>
            <w:shd w:val="clear" w:color="auto" w:fill="auto"/>
            <w:tcMar>
              <w:left w:w="57" w:type="dxa"/>
              <w:right w:w="57" w:type="dxa"/>
            </w:tcMar>
            <w:hideMark/>
          </w:tcPr>
          <w:p w14:paraId="24B145F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hypertension</w:t>
            </w:r>
            <w:r w:rsidRPr="00FA697F">
              <w:rPr>
                <w:rFonts w:ascii="Times New Roman" w:eastAsia="Times New Roman" w:hAnsi="Times New Roman" w:cs="Times New Roman"/>
                <w:sz w:val="16"/>
                <w:szCs w:val="16"/>
                <w:lang w:eastAsia="en-GB"/>
              </w:rPr>
              <w:br/>
              <w:t>Perindopril-indapamide (4.25mg/2.5mg): $23</w:t>
            </w:r>
            <w:r w:rsidRPr="00FA697F">
              <w:rPr>
                <w:rFonts w:ascii="Times New Roman" w:eastAsia="Times New Roman" w:hAnsi="Times New Roman" w:cs="Times New Roman"/>
                <w:sz w:val="16"/>
                <w:szCs w:val="16"/>
                <w:lang w:eastAsia="en-GB"/>
              </w:rPr>
              <w:br/>
              <w:t>Plus atorvastatin 10mg: $48</w:t>
            </w:r>
            <w:r w:rsidRPr="00FA697F">
              <w:rPr>
                <w:rFonts w:ascii="Times New Roman" w:eastAsia="Times New Roman" w:hAnsi="Times New Roman" w:cs="Times New Roman"/>
                <w:sz w:val="16"/>
                <w:szCs w:val="16"/>
                <w:lang w:eastAsia="en-GB"/>
              </w:rPr>
              <w:br/>
              <w:t xml:space="preserve">Plus </w:t>
            </w:r>
            <w:proofErr w:type="spellStart"/>
            <w:r w:rsidRPr="00FA697F">
              <w:rPr>
                <w:rFonts w:ascii="Times New Roman" w:eastAsia="Times New Roman" w:hAnsi="Times New Roman" w:cs="Times New Roman"/>
                <w:sz w:val="16"/>
                <w:szCs w:val="16"/>
                <w:lang w:eastAsia="en-GB"/>
              </w:rPr>
              <w:t>amlopidine</w:t>
            </w:r>
            <w:proofErr w:type="spellEnd"/>
            <w:r w:rsidRPr="00FA697F">
              <w:rPr>
                <w:rFonts w:ascii="Times New Roman" w:eastAsia="Times New Roman" w:hAnsi="Times New Roman" w:cs="Times New Roman"/>
                <w:sz w:val="16"/>
                <w:szCs w:val="16"/>
                <w:lang w:eastAsia="en-GB"/>
              </w:rPr>
              <w:t xml:space="preserve"> 5mg: $64</w:t>
            </w:r>
            <w:r w:rsidRPr="00FA697F">
              <w:rPr>
                <w:rFonts w:ascii="Times New Roman" w:eastAsia="Times New Roman" w:hAnsi="Times New Roman" w:cs="Times New Roman"/>
                <w:sz w:val="16"/>
                <w:szCs w:val="16"/>
                <w:lang w:eastAsia="en-GB"/>
              </w:rPr>
              <w:br/>
              <w:t>Plus bezafibrate: $85</w:t>
            </w:r>
            <w:r w:rsidRPr="00FA697F">
              <w:rPr>
                <w:rFonts w:ascii="Times New Roman" w:eastAsia="Times New Roman" w:hAnsi="Times New Roman" w:cs="Times New Roman"/>
                <w:sz w:val="16"/>
                <w:szCs w:val="16"/>
                <w:lang w:eastAsia="en-GB"/>
              </w:rPr>
              <w:br/>
              <w:t>per person month</w:t>
            </w:r>
          </w:p>
        </w:tc>
        <w:tc>
          <w:tcPr>
            <w:tcW w:w="1051" w:type="dxa"/>
            <w:shd w:val="clear" w:color="auto" w:fill="auto"/>
            <w:tcMar>
              <w:left w:w="57" w:type="dxa"/>
              <w:right w:w="57" w:type="dxa"/>
            </w:tcMar>
            <w:hideMark/>
          </w:tcPr>
          <w:p w14:paraId="3FD5020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69BB60F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484CEA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5F9E45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EB8E1F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5C1F28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C824CE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DCC4F2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2051E8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96FE91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54E1A5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054F5D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2667ED1C"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41FF3F51" w14:textId="77777777" w:rsidTr="00115C53">
        <w:trPr>
          <w:trHeight w:val="1690"/>
        </w:trPr>
        <w:tc>
          <w:tcPr>
            <w:tcW w:w="431" w:type="dxa"/>
            <w:shd w:val="clear" w:color="auto" w:fill="auto"/>
            <w:tcMar>
              <w:left w:w="57" w:type="dxa"/>
              <w:right w:w="57" w:type="dxa"/>
            </w:tcMar>
            <w:hideMark/>
          </w:tcPr>
          <w:p w14:paraId="272F341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5</w:t>
            </w:r>
          </w:p>
        </w:tc>
        <w:tc>
          <w:tcPr>
            <w:tcW w:w="982" w:type="dxa"/>
            <w:shd w:val="clear" w:color="auto" w:fill="auto"/>
            <w:tcMar>
              <w:left w:w="57" w:type="dxa"/>
              <w:right w:w="57" w:type="dxa"/>
            </w:tcMar>
            <w:hideMark/>
          </w:tcPr>
          <w:p w14:paraId="58EE73E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Makkink</w:t>
            </w:r>
            <w:r w:rsidR="00BB5EEC" w:rsidRPr="00FA697F">
              <w:rPr>
                <w:rFonts w:ascii="Times New Roman" w:eastAsia="Times New Roman" w:hAnsi="Times New Roman" w:cs="Times New Roman"/>
                <w:sz w:val="16"/>
                <w:szCs w:val="16"/>
                <w:lang w:eastAsia="en-GB"/>
              </w:rPr>
              <w:fldChar w:fldCharType="begin" w:fldLock="1"/>
            </w:r>
            <w:r w:rsidR="00BB5EEC" w:rsidRPr="00FA697F">
              <w:rPr>
                <w:rFonts w:ascii="Times New Roman" w:eastAsia="Times New Roman" w:hAnsi="Times New Roman" w:cs="Times New Roman"/>
                <w:sz w:val="16"/>
                <w:szCs w:val="16"/>
                <w:lang w:eastAsia="en-GB"/>
              </w:rPr>
              <w:instrText>ADDIN CSL_CITATION {"citationItems":[{"id":"ITEM-1","itemData":{"DOI":"10.7196/samj.7593","ISSN":"0256-9574 (Print)","PMID":"25118555","abstract":"BACKGROUND: Hypertension poses a huge financial risk to any funder/medical aid, including the risk-mitigating strategies provided by the managed care organisations that are required to manage patients with hypertension. The South African Hypertension Guideline states that the choice of therapy--an angiotensin converting enzyme inhibitor (ACEI) or an angiotensin receptor blocker (ARB)--should be based on cost and tolerability. OBJECTIVE: To assess the costs of ACEIs v. ARBs in the management of hypertensive patients and the prevention of cardiovascular complications for a private medical aid scheme in South Africa. METHOD: A Phase IV observational, retrospective cohort study of over 480 000 beneficiaries between 2010 and 2011 was undertaken. Hypertensive patients were identified by their chronic medication authorisation and were categorised into three groups: ACEI, ARB and combined groups. A cost-benefit analysis was performed on the claims data, comparing the input costs in rand against the downstream costs using analysis of variance. RESULTS: Data from 28 165 patients were included in the study. Based on the health economic analysis that was performed, there was no statistically significant difference in the input costs between the ACEI and the ARB groups. However, a statistically significant reduction in the downstream costs was observed in the ACEI group v. the ARB and combined groups (p &lt; 0.0001). CONCLUSION: It is more cost beneficial to treat chronic hypertensive patients with an ACEI than ARBs in preventing cardiovascular-related complications. It is recommended that managed care companies continue recommending ACEIs rather than ARBs in the treatment of hypertensive patients.","author":[{"dropping-particle":"","family":"Makkink","given":"J L","non-dropping-particle":"","parse-names":false,"suffix":""},{"dropping-particle":"","family":"Greeff","given":"O B W","non-dropping-particle":"","parse-names":false,"suffix":""}],"container-title":"South African medical journal = Suid-Afrikaanse tydskrif vir geneeskunde","id":"ITEM-1","issue":"4","issued":{"date-parts":[["2014","4"]]},"language":"eng","page":"292-294","publisher-place":"South Africa","title":"Angiotensin converting enzyme inhibitors v. angiotensin receptor blockers in the management of hypertension: a funder's perspective.","type":"article-journal","volume":"104"},"uris":["http://www.mendeley.com/documents/?uuid=d9fed4b4-5aba-4b32-a912-3a029ef98760"]}],"mendeley":{"formattedCitation":"&lt;sup&gt;5&lt;/sup&gt;","plainTextFormattedCitation":"5","previouslyFormattedCitation":"&lt;sup&gt;5&lt;/sup&gt;"},"properties":{"noteIndex":0},"schema":"https://github.com/citation-style-language/schema/raw/master/csl-citation.json"}</w:instrText>
            </w:r>
            <w:r w:rsidR="00BB5EEC" w:rsidRPr="00FA697F">
              <w:rPr>
                <w:rFonts w:ascii="Times New Roman" w:eastAsia="Times New Roman" w:hAnsi="Times New Roman" w:cs="Times New Roman"/>
                <w:sz w:val="16"/>
                <w:szCs w:val="16"/>
                <w:lang w:eastAsia="en-GB"/>
              </w:rPr>
              <w:fldChar w:fldCharType="separate"/>
            </w:r>
            <w:r w:rsidR="00BB5EEC" w:rsidRPr="00FA697F">
              <w:rPr>
                <w:rFonts w:ascii="Times New Roman" w:eastAsia="Times New Roman" w:hAnsi="Times New Roman" w:cs="Times New Roman"/>
                <w:noProof/>
                <w:sz w:val="16"/>
                <w:szCs w:val="16"/>
                <w:vertAlign w:val="superscript"/>
                <w:lang w:eastAsia="en-GB"/>
              </w:rPr>
              <w:t>5</w:t>
            </w:r>
            <w:r w:rsidR="00BB5EEC"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(2014)</w:t>
            </w:r>
          </w:p>
        </w:tc>
        <w:tc>
          <w:tcPr>
            <w:tcW w:w="1843" w:type="dxa"/>
            <w:shd w:val="clear" w:color="auto" w:fill="auto"/>
            <w:tcMar>
              <w:left w:w="57" w:type="dxa"/>
              <w:right w:w="57" w:type="dxa"/>
            </w:tcMar>
            <w:hideMark/>
          </w:tcPr>
          <w:p w14:paraId="4EE24AED" w14:textId="1AAD8B5F"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Assessing the costs of angiotensin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 xml:space="preserve">converting enzyme inhibitors (ACEI) versus angiotensin receptor blockers (ARB) </w:t>
            </w:r>
          </w:p>
        </w:tc>
        <w:tc>
          <w:tcPr>
            <w:tcW w:w="1299" w:type="dxa"/>
            <w:shd w:val="clear" w:color="auto" w:fill="auto"/>
            <w:tcMar>
              <w:left w:w="57" w:type="dxa"/>
              <w:right w:w="57" w:type="dxa"/>
            </w:tcMar>
            <w:hideMark/>
          </w:tcPr>
          <w:p w14:paraId="5A613B4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Registered members of the participating medical scheme in all provinces; PHC</w:t>
            </w:r>
          </w:p>
        </w:tc>
        <w:tc>
          <w:tcPr>
            <w:tcW w:w="1017" w:type="dxa"/>
            <w:shd w:val="clear" w:color="auto" w:fill="auto"/>
            <w:tcMar>
              <w:left w:w="57" w:type="dxa"/>
              <w:right w:w="57" w:type="dxa"/>
            </w:tcMar>
            <w:hideMark/>
          </w:tcPr>
          <w:p w14:paraId="5F2C73E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w:t>
            </w:r>
            <w:r w:rsidR="00BE5DDB" w:rsidRPr="00FA697F">
              <w:rPr>
                <w:rFonts w:ascii="Times New Roman" w:eastAsia="Times New Roman" w:hAnsi="Times New Roman" w:cs="Times New Roman"/>
                <w:sz w:val="16"/>
                <w:szCs w:val="16"/>
                <w:lang w:eastAsia="en-GB"/>
              </w:rPr>
              <w:t>p</w:t>
            </w:r>
            <w:r w:rsidRPr="00FA697F">
              <w:rPr>
                <w:rFonts w:ascii="Times New Roman" w:eastAsia="Times New Roman" w:hAnsi="Times New Roman" w:cs="Times New Roman"/>
                <w:sz w:val="16"/>
                <w:szCs w:val="16"/>
                <w:lang w:eastAsia="en-GB"/>
              </w:rPr>
              <w:t>rivate)</w:t>
            </w:r>
          </w:p>
        </w:tc>
        <w:tc>
          <w:tcPr>
            <w:tcW w:w="1130" w:type="dxa"/>
            <w:shd w:val="clear" w:color="auto" w:fill="auto"/>
            <w:tcMar>
              <w:left w:w="57" w:type="dxa"/>
              <w:right w:w="57" w:type="dxa"/>
            </w:tcMar>
            <w:hideMark/>
          </w:tcPr>
          <w:p w14:paraId="47664B17"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top-down approach</w:t>
            </w:r>
          </w:p>
        </w:tc>
        <w:tc>
          <w:tcPr>
            <w:tcW w:w="1011" w:type="dxa"/>
            <w:shd w:val="clear" w:color="auto" w:fill="auto"/>
            <w:tcMar>
              <w:left w:w="57" w:type="dxa"/>
              <w:right w:w="57" w:type="dxa"/>
            </w:tcMar>
            <w:hideMark/>
          </w:tcPr>
          <w:p w14:paraId="3A5B8EB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2010 - 2011</w:t>
            </w:r>
          </w:p>
        </w:tc>
        <w:tc>
          <w:tcPr>
            <w:tcW w:w="2146" w:type="dxa"/>
            <w:shd w:val="clear" w:color="auto" w:fill="auto"/>
            <w:tcMar>
              <w:left w:w="57" w:type="dxa"/>
              <w:right w:w="57" w:type="dxa"/>
            </w:tcMar>
            <w:hideMark/>
          </w:tcPr>
          <w:p w14:paraId="657EE8C1" w14:textId="3BB841AD"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Treatment of hypertension </w:t>
            </w:r>
            <w:r w:rsidRPr="00FA697F">
              <w:rPr>
                <w:rFonts w:ascii="Times New Roman" w:eastAsia="Times New Roman" w:hAnsi="Times New Roman" w:cs="Times New Roman"/>
                <w:sz w:val="16"/>
                <w:szCs w:val="16"/>
                <w:lang w:eastAsia="en-GB"/>
              </w:rPr>
              <w:br/>
              <w:t>Angiotensin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converting enzyme inhibitor group: $98</w:t>
            </w:r>
            <w:r w:rsidRPr="00FA697F">
              <w:rPr>
                <w:rFonts w:ascii="Times New Roman" w:eastAsia="Times New Roman" w:hAnsi="Times New Roman" w:cs="Times New Roman"/>
                <w:sz w:val="16"/>
                <w:szCs w:val="16"/>
                <w:lang w:eastAsia="en-GB"/>
              </w:rPr>
              <w:br/>
              <w:t>Angiotensin receptor blocker group: $134</w:t>
            </w:r>
            <w:r w:rsidRPr="00FA697F">
              <w:rPr>
                <w:rFonts w:ascii="Times New Roman" w:eastAsia="Times New Roman" w:hAnsi="Times New Roman" w:cs="Times New Roman"/>
                <w:sz w:val="16"/>
                <w:szCs w:val="16"/>
                <w:lang w:eastAsia="en-GB"/>
              </w:rPr>
              <w:br/>
              <w:t>Combined group: $264</w:t>
            </w:r>
          </w:p>
          <w:p w14:paraId="50B431FE" w14:textId="22FE977C"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w:t>
            </w:r>
            <w:r w:rsidR="004360DD" w:rsidRPr="00FA697F">
              <w:rPr>
                <w:rFonts w:ascii="Times New Roman" w:eastAsia="Times New Roman" w:hAnsi="Times New Roman" w:cs="Times New Roman"/>
                <w:sz w:val="16"/>
                <w:szCs w:val="16"/>
                <w:lang w:eastAsia="en-GB"/>
              </w:rPr>
              <w:t>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2BEEBD1C"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SE</w:t>
            </w:r>
          </w:p>
          <w:p w14:paraId="00D99ADD" w14:textId="77777777" w:rsidR="00906ED0" w:rsidRPr="00FA697F" w:rsidRDefault="00906ED0" w:rsidP="00112353">
            <w:pPr>
              <w:spacing w:after="0" w:line="240" w:lineRule="auto"/>
              <w:rPr>
                <w:rFonts w:ascii="Times New Roman" w:eastAsia="Times New Roman" w:hAnsi="Times New Roman" w:cs="Times New Roman"/>
                <w:sz w:val="16"/>
                <w:szCs w:val="16"/>
                <w:lang w:eastAsia="en-GB"/>
              </w:rPr>
            </w:pPr>
          </w:p>
          <w:p w14:paraId="3716D2E6"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br/>
              <w:t>$83 - $114</w:t>
            </w:r>
          </w:p>
          <w:p w14:paraId="01A5876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br/>
              <w:t>$108 - $160</w:t>
            </w:r>
            <w:r w:rsidRPr="00FA697F">
              <w:rPr>
                <w:rFonts w:ascii="Times New Roman" w:eastAsia="Times New Roman" w:hAnsi="Times New Roman" w:cs="Times New Roman"/>
                <w:sz w:val="16"/>
                <w:szCs w:val="16"/>
                <w:lang w:eastAsia="en-GB"/>
              </w:rPr>
              <w:br/>
              <w:t>$201 - $327</w:t>
            </w:r>
          </w:p>
        </w:tc>
        <w:tc>
          <w:tcPr>
            <w:tcW w:w="260" w:type="dxa"/>
            <w:shd w:val="clear" w:color="auto" w:fill="auto"/>
            <w:tcMar>
              <w:left w:w="57" w:type="dxa"/>
              <w:right w:w="57" w:type="dxa"/>
            </w:tcMar>
            <w:hideMark/>
          </w:tcPr>
          <w:p w14:paraId="4647D15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C377B9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78CDB2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1C0EAD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0FF363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9CFC79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3284C5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C0460E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F06F8A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97D097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CE1C17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1BC725BB"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41BD4E2C" w14:textId="77777777" w:rsidTr="00115C53">
        <w:trPr>
          <w:trHeight w:val="1557"/>
        </w:trPr>
        <w:tc>
          <w:tcPr>
            <w:tcW w:w="431" w:type="dxa"/>
            <w:shd w:val="clear" w:color="auto" w:fill="auto"/>
            <w:tcMar>
              <w:left w:w="57" w:type="dxa"/>
              <w:right w:w="57" w:type="dxa"/>
            </w:tcMar>
            <w:hideMark/>
          </w:tcPr>
          <w:p w14:paraId="782CCBB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6</w:t>
            </w:r>
          </w:p>
        </w:tc>
        <w:tc>
          <w:tcPr>
            <w:tcW w:w="982" w:type="dxa"/>
            <w:shd w:val="clear" w:color="auto" w:fill="auto"/>
            <w:tcMar>
              <w:left w:w="57" w:type="dxa"/>
              <w:right w:w="57" w:type="dxa"/>
            </w:tcMar>
            <w:hideMark/>
          </w:tcPr>
          <w:p w14:paraId="6990C5C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Gaziano</w:t>
            </w:r>
            <w:r w:rsidR="00BB5EEC" w:rsidRPr="00FA697F">
              <w:rPr>
                <w:rFonts w:ascii="Times New Roman" w:eastAsia="Times New Roman" w:hAnsi="Times New Roman" w:cs="Times New Roman"/>
                <w:sz w:val="16"/>
                <w:szCs w:val="16"/>
                <w:lang w:eastAsia="en-GB"/>
              </w:rPr>
              <w:fldChar w:fldCharType="begin" w:fldLock="1"/>
            </w:r>
            <w:r w:rsidR="003A7CC1" w:rsidRPr="00FA697F">
              <w:rPr>
                <w:rFonts w:ascii="Times New Roman" w:eastAsia="Times New Roman" w:hAnsi="Times New Roman" w:cs="Times New Roman"/>
                <w:sz w:val="16"/>
                <w:szCs w:val="16"/>
                <w:lang w:eastAsia="en-GB"/>
              </w:rPr>
              <w:instrText>ADDIN CSL_CITATION {"citationItems":[{"id":"ITEM-1","itemData":{"DOI":"10.1186/1471-2458-14-240","ISSN":"1471-2458 (Electronic)","PMID":"24606986","abstract":"BACKGROUND: To determine whether training community health workers (CHWs) about hypertension in order to improve adherence to medications is a cost-effective intervention among community members in South Africa. METHODS: We used an established Markov model with age-varying probabilities of cardiovascular disease (CVD) events to assess the benefits and costs of using CHW home visits to increase hypertension adherence for individuals with hypertension and aged 25-74 in South Africa. Subjects considered for CHW intervention were those with a previous diagnosis of hypertension and on medications but who had not achieved control of their blood pressure. We report our results in incremental cost-effectiveness ratios (ICERs) in US dollars per disability-adjusted life-year (DALY) averted. RESULTS: The annual cost of the CHW intervention is about $8 per patient. This would lead to over a 2% reduction in CVD events over a life-time and decrease DALY burden. Due to reductions in non-fatal CVD events, lifetime costs are only $6.56 per patient. The CHW intervention leads to an incremental cost-effectiveness ratio of $320/DALY averted. At an annual cost of $6.50 or if the blood pressure reduction is 5 mmHg or greater per patient the intervention is cost-saving. CONCLUSIONS: Additional training for CHWs on hypertension management could be a cost-effective strategy for CVD in South Africa and a very good purchase according to World Health Organization (WHO) standards. The intervention could also lead to reduced visits at the health centres freeing up more time for new patients or reducing the burden of an overworked staff at many facilities.","author":[{"dropping-particle":"","family":"Gaziano","given":"Thomas A","non-dropping-particle":"","parse-names":false,"suffix":""},{"dropping-particle":"","family":"Bertram","given":"Melanie","non-dropping-particle":"","parse-names":false,"suffix":""},{"dropping-particle":"","family":"Tollman","given":"Stephen M","non-dropping-particle":"","parse-names":false,"suffix":""},{"dropping-particle":"","family":"Hofman","given":"Karen J","non-dropping-particle":"","parse-names":false,"suffix":""}],"container-title":"BMC public health","id":"ITEM-1","issued":{"date-parts":[["2014","3"]]},"language":"eng","page":"240","title":"Hypertension education and adherence in South Africa: a cost-effectiveness analysis of community health workers.","type":"article-journal","volume":"14"},"uris":["http://www.mendeley.com/documents/?uuid=8c64be07-4f7b-41ef-9f7a-ab673c750260"]}],"mendeley":{"formattedCitation":"&lt;sup&gt;6&lt;/sup&gt;","plainTextFormattedCitation":"6","previouslyFormattedCitation":"&lt;sup&gt;6&lt;/sup&gt;"},"properties":{"noteIndex":0},"schema":"https://github.com/citation-style-language/schema/raw/master/csl-citation.json"}</w:instrText>
            </w:r>
            <w:r w:rsidR="00BB5EEC" w:rsidRPr="00FA697F">
              <w:rPr>
                <w:rFonts w:ascii="Times New Roman" w:eastAsia="Times New Roman" w:hAnsi="Times New Roman" w:cs="Times New Roman"/>
                <w:sz w:val="16"/>
                <w:szCs w:val="16"/>
                <w:lang w:eastAsia="en-GB"/>
              </w:rPr>
              <w:fldChar w:fldCharType="separate"/>
            </w:r>
            <w:r w:rsidR="003A7CC1" w:rsidRPr="00FA697F">
              <w:rPr>
                <w:rFonts w:ascii="Times New Roman" w:eastAsia="Times New Roman" w:hAnsi="Times New Roman" w:cs="Times New Roman"/>
                <w:noProof/>
                <w:sz w:val="16"/>
                <w:szCs w:val="16"/>
                <w:vertAlign w:val="superscript"/>
                <w:lang w:eastAsia="en-GB"/>
              </w:rPr>
              <w:t>6</w:t>
            </w:r>
            <w:r w:rsidR="00BB5EEC"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(2014)</w:t>
            </w:r>
          </w:p>
        </w:tc>
        <w:tc>
          <w:tcPr>
            <w:tcW w:w="1843" w:type="dxa"/>
            <w:shd w:val="clear" w:color="auto" w:fill="auto"/>
            <w:tcMar>
              <w:left w:w="57" w:type="dxa"/>
              <w:right w:w="57" w:type="dxa"/>
            </w:tcMar>
            <w:hideMark/>
          </w:tcPr>
          <w:p w14:paraId="7201803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Establish the cost effectiveness of training community health workers on hypertension as a medication adherence strategy</w:t>
            </w:r>
          </w:p>
        </w:tc>
        <w:tc>
          <w:tcPr>
            <w:tcW w:w="1299" w:type="dxa"/>
            <w:shd w:val="clear" w:color="auto" w:fill="auto"/>
            <w:tcMar>
              <w:left w:w="57" w:type="dxa"/>
              <w:right w:w="57" w:type="dxa"/>
            </w:tcMar>
            <w:hideMark/>
          </w:tcPr>
          <w:p w14:paraId="3EA0E55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aged 25-74 in all provinces; PHC</w:t>
            </w:r>
          </w:p>
        </w:tc>
        <w:tc>
          <w:tcPr>
            <w:tcW w:w="1017" w:type="dxa"/>
            <w:shd w:val="clear" w:color="auto" w:fill="auto"/>
            <w:tcMar>
              <w:left w:w="57" w:type="dxa"/>
              <w:right w:w="57" w:type="dxa"/>
            </w:tcMar>
            <w:hideMark/>
          </w:tcPr>
          <w:p w14:paraId="3D8C3F4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4863A756"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3217585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(2013)</w:t>
            </w:r>
          </w:p>
        </w:tc>
        <w:tc>
          <w:tcPr>
            <w:tcW w:w="2146" w:type="dxa"/>
            <w:shd w:val="clear" w:color="auto" w:fill="auto"/>
            <w:tcMar>
              <w:left w:w="57" w:type="dxa"/>
              <w:right w:w="57" w:type="dxa"/>
            </w:tcMar>
            <w:hideMark/>
          </w:tcPr>
          <w:p w14:paraId="44A51A76"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hypertension</w:t>
            </w:r>
            <w:r w:rsidRPr="00FA697F">
              <w:rPr>
                <w:rFonts w:ascii="Times New Roman" w:eastAsia="Times New Roman" w:hAnsi="Times New Roman" w:cs="Times New Roman"/>
                <w:sz w:val="16"/>
                <w:szCs w:val="16"/>
                <w:lang w:eastAsia="en-GB"/>
              </w:rPr>
              <w:br/>
              <w:t>Current standard: $1,854</w:t>
            </w:r>
            <w:r w:rsidRPr="00FA697F">
              <w:rPr>
                <w:rFonts w:ascii="Times New Roman" w:eastAsia="Times New Roman" w:hAnsi="Times New Roman" w:cs="Times New Roman"/>
                <w:sz w:val="16"/>
                <w:szCs w:val="16"/>
                <w:lang w:eastAsia="en-GB"/>
              </w:rPr>
              <w:br/>
              <w:t>CHW intervention: $1,860</w:t>
            </w:r>
          </w:p>
          <w:p w14:paraId="0CF4E95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lifetime per p</w:t>
            </w:r>
            <w:r w:rsidR="004360DD" w:rsidRPr="00FA697F">
              <w:rPr>
                <w:rFonts w:ascii="Times New Roman" w:eastAsia="Times New Roman" w:hAnsi="Times New Roman" w:cs="Times New Roman"/>
                <w:sz w:val="16"/>
                <w:szCs w:val="16"/>
                <w:lang w:eastAsia="en-GB"/>
              </w:rPr>
              <w:t>erson</w:t>
            </w:r>
          </w:p>
        </w:tc>
        <w:tc>
          <w:tcPr>
            <w:tcW w:w="1051" w:type="dxa"/>
            <w:shd w:val="clear" w:color="auto" w:fill="auto"/>
            <w:tcMar>
              <w:left w:w="57" w:type="dxa"/>
              <w:right w:w="57" w:type="dxa"/>
            </w:tcMar>
            <w:hideMark/>
          </w:tcPr>
          <w:p w14:paraId="2AA7E16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05800F5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CD9DA1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C90A1D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39E584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CAD703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4B7A2D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3EEBB1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88C48E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8D5C72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C46A32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CECC8A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02DBB50C"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Training, home visits &amp; follow-up</w:t>
            </w:r>
          </w:p>
        </w:tc>
      </w:tr>
      <w:tr w:rsidR="003C76E8" w:rsidRPr="00FA697F" w14:paraId="0C18ACD0" w14:textId="77777777" w:rsidTr="00115C53">
        <w:trPr>
          <w:trHeight w:val="1408"/>
        </w:trPr>
        <w:tc>
          <w:tcPr>
            <w:tcW w:w="431" w:type="dxa"/>
            <w:shd w:val="clear" w:color="auto" w:fill="auto"/>
            <w:tcMar>
              <w:left w:w="57" w:type="dxa"/>
              <w:right w:w="57" w:type="dxa"/>
            </w:tcMar>
            <w:hideMark/>
          </w:tcPr>
          <w:p w14:paraId="166CCC6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7</w:t>
            </w:r>
          </w:p>
        </w:tc>
        <w:tc>
          <w:tcPr>
            <w:tcW w:w="982" w:type="dxa"/>
            <w:shd w:val="clear" w:color="auto" w:fill="auto"/>
            <w:tcMar>
              <w:left w:w="57" w:type="dxa"/>
              <w:right w:w="57" w:type="dxa"/>
            </w:tcMar>
            <w:hideMark/>
          </w:tcPr>
          <w:p w14:paraId="66EA2A7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Gaziano</w:t>
            </w:r>
            <w:r w:rsidR="00BB5EEC" w:rsidRPr="00FA697F">
              <w:rPr>
                <w:rFonts w:ascii="Times New Roman" w:eastAsia="Times New Roman" w:hAnsi="Times New Roman" w:cs="Times New Roman"/>
                <w:sz w:val="16"/>
                <w:szCs w:val="16"/>
                <w:lang w:eastAsia="en-GB"/>
              </w:rPr>
              <w:fldChar w:fldCharType="begin" w:fldLock="1"/>
            </w:r>
            <w:r w:rsidR="00BB5EEC" w:rsidRPr="00FA697F">
              <w:rPr>
                <w:rFonts w:ascii="Times New Roman" w:eastAsia="Times New Roman" w:hAnsi="Times New Roman" w:cs="Times New Roman"/>
                <w:sz w:val="16"/>
                <w:szCs w:val="16"/>
                <w:lang w:eastAsia="en-GB"/>
              </w:rPr>
              <w:instrText>ADDIN CSL_CITATION {"citationItems":[{"id":"ITEM-1","itemData":{"DOI":"10.1377/hlthaff.2015.0349","author":[{"dropping-particle":"","family":"Gaziano","given":"T","non-dropping-particle":"","parse-names":false,"suffix":""},{"dropping-particle":"","family":"Abrahams-Gessel","given":"S","non-dropping-particle":"","parse-names":false,"suffix":""},{"dropping-particle":"","family":"Surka","given":"S","non-dropping-particle":"","parse-names":false,"suffix":""},{"dropping-particle":"","family":"Sy","given":"S","non-dropping-particle":"","parse-names":false,"suffix":""},{"dropping-particle":"","family":"Pandya","given":"A","non-dropping-particle":"","parse-names":false,"suffix":""},{"dropping-particle":"","family":"Denman","given":"C A","non-dropping-particle":"","parse-names":false,"suffix":""},{"dropping-particle":"","family":"Mendoza","given":"C","non-dropping-particle":"","parse-names":false,"suffix":""},{"dropping-particle":"","family":"Puoane","given":"T","non-dropping-particle":"","parse-names":false,"suffix":""}],"container-title":"Health Affairs","id":"ITEM-1","issue":"9","issued":{"date-parts":[["2015"]]},"note":"Cited By :19\n\nExport Date: 31 May 2021","page":"1538-1545","title":"Cardiovascular disease screening by community health workers can be cost-effective in low- resource countries","type":"article-journal","volume":"34"},"uris":["http://www.mendeley.com/documents/?uuid=d2507643-121f-493d-9599-f1e10a2bba2e"]}],"mendeley":{"formattedCitation":"&lt;sup&gt;7&lt;/sup&gt;","plainTextFormattedCitation":"7","previouslyFormattedCitation":"&lt;sup&gt;7&lt;/sup&gt;"},"properties":{"noteIndex":0},"schema":"https://github.com/citation-style-language/schema/raw/master/csl-citation.json"}</w:instrText>
            </w:r>
            <w:r w:rsidR="00BB5EEC" w:rsidRPr="00FA697F">
              <w:rPr>
                <w:rFonts w:ascii="Times New Roman" w:eastAsia="Times New Roman" w:hAnsi="Times New Roman" w:cs="Times New Roman"/>
                <w:sz w:val="16"/>
                <w:szCs w:val="16"/>
                <w:lang w:eastAsia="en-GB"/>
              </w:rPr>
              <w:fldChar w:fldCharType="separate"/>
            </w:r>
            <w:r w:rsidR="00BB5EEC" w:rsidRPr="00FA697F">
              <w:rPr>
                <w:rFonts w:ascii="Times New Roman" w:eastAsia="Times New Roman" w:hAnsi="Times New Roman" w:cs="Times New Roman"/>
                <w:noProof/>
                <w:sz w:val="16"/>
                <w:szCs w:val="16"/>
                <w:vertAlign w:val="superscript"/>
                <w:lang w:eastAsia="en-GB"/>
              </w:rPr>
              <w:t>7</w:t>
            </w:r>
            <w:r w:rsidR="00BB5EEC"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(2015a)</w:t>
            </w:r>
          </w:p>
        </w:tc>
        <w:tc>
          <w:tcPr>
            <w:tcW w:w="1843" w:type="dxa"/>
            <w:shd w:val="clear" w:color="auto" w:fill="auto"/>
            <w:tcMar>
              <w:left w:w="57" w:type="dxa"/>
              <w:right w:w="57" w:type="dxa"/>
            </w:tcMar>
            <w:hideMark/>
          </w:tcPr>
          <w:p w14:paraId="406AEC2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Evaluate the benefits, risks, and costs of two interventions for cardiovascular screening</w:t>
            </w:r>
          </w:p>
        </w:tc>
        <w:tc>
          <w:tcPr>
            <w:tcW w:w="1299" w:type="dxa"/>
            <w:shd w:val="clear" w:color="auto" w:fill="auto"/>
            <w:tcMar>
              <w:left w:w="57" w:type="dxa"/>
              <w:right w:w="57" w:type="dxa"/>
            </w:tcMar>
            <w:hideMark/>
          </w:tcPr>
          <w:p w14:paraId="60F3138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aged 35–74 with no prior history of stroke or ischemic heart disease; PHC</w:t>
            </w:r>
          </w:p>
        </w:tc>
        <w:tc>
          <w:tcPr>
            <w:tcW w:w="1017" w:type="dxa"/>
            <w:shd w:val="clear" w:color="auto" w:fill="auto"/>
            <w:tcMar>
              <w:left w:w="57" w:type="dxa"/>
              <w:right w:w="57" w:type="dxa"/>
            </w:tcMar>
            <w:hideMark/>
          </w:tcPr>
          <w:p w14:paraId="6840D6B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1A7A1EEC"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5A01018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(2014)</w:t>
            </w:r>
          </w:p>
        </w:tc>
        <w:tc>
          <w:tcPr>
            <w:tcW w:w="2146" w:type="dxa"/>
            <w:shd w:val="clear" w:color="auto" w:fill="auto"/>
            <w:tcMar>
              <w:left w:w="57" w:type="dxa"/>
              <w:right w:w="57" w:type="dxa"/>
            </w:tcMar>
            <w:hideMark/>
          </w:tcPr>
          <w:p w14:paraId="73A55270" w14:textId="3484A6B8"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hypertension: $7.96</w:t>
            </w:r>
            <w:r w:rsidR="00906ED0"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 xml:space="preserve">per </w:t>
            </w:r>
            <w:r w:rsidR="000F5A32" w:rsidRPr="00FA697F">
              <w:rPr>
                <w:rFonts w:ascii="Times New Roman" w:eastAsia="Times New Roman" w:hAnsi="Times New Roman" w:cs="Times New Roman"/>
                <w:sz w:val="16"/>
                <w:szCs w:val="16"/>
                <w:lang w:eastAsia="en-GB"/>
              </w:rPr>
              <w:t>person</w:t>
            </w:r>
            <w:r w:rsidR="00DA0AFD" w:rsidRPr="00FA697F">
              <w:rPr>
                <w:rFonts w:ascii="Times New Roman" w:eastAsia="Times New Roman" w:hAnsi="Times New Roman" w:cs="Times New Roman"/>
                <w:sz w:val="16"/>
                <w:szCs w:val="16"/>
                <w:lang w:eastAsia="en-GB"/>
              </w:rPr>
              <w:t>-</w:t>
            </w:r>
            <w:r w:rsidR="000F5A32"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2858993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69F97BB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30BD49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7E6F4F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250F20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6622D9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F7BF06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0C213C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07E99C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3DD6BB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07AF75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86FCD7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742A0BEE"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2B98646B" w14:textId="77777777" w:rsidTr="00115C53">
        <w:trPr>
          <w:trHeight w:val="2016"/>
        </w:trPr>
        <w:tc>
          <w:tcPr>
            <w:tcW w:w="431" w:type="dxa"/>
            <w:shd w:val="clear" w:color="auto" w:fill="auto"/>
            <w:tcMar>
              <w:left w:w="57" w:type="dxa"/>
              <w:right w:w="57" w:type="dxa"/>
            </w:tcMar>
            <w:hideMark/>
          </w:tcPr>
          <w:p w14:paraId="29AA6B1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8</w:t>
            </w:r>
          </w:p>
        </w:tc>
        <w:tc>
          <w:tcPr>
            <w:tcW w:w="982" w:type="dxa"/>
            <w:shd w:val="clear" w:color="auto" w:fill="auto"/>
            <w:tcMar>
              <w:left w:w="57" w:type="dxa"/>
              <w:right w:w="57" w:type="dxa"/>
            </w:tcMar>
            <w:hideMark/>
          </w:tcPr>
          <w:p w14:paraId="09DA84A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Basu</w:t>
            </w:r>
            <w:r w:rsidR="00BB5EEC" w:rsidRPr="00FA697F">
              <w:rPr>
                <w:rFonts w:ascii="Times New Roman" w:eastAsia="Times New Roman" w:hAnsi="Times New Roman" w:cs="Times New Roman"/>
                <w:sz w:val="16"/>
                <w:szCs w:val="16"/>
                <w:lang w:eastAsia="en-GB"/>
              </w:rPr>
              <w:fldChar w:fldCharType="begin" w:fldLock="1"/>
            </w:r>
            <w:r w:rsidR="0042389E" w:rsidRPr="00FA697F">
              <w:rPr>
                <w:rFonts w:ascii="Times New Roman" w:eastAsia="Times New Roman" w:hAnsi="Times New Roman" w:cs="Times New Roman"/>
                <w:sz w:val="16"/>
                <w:szCs w:val="16"/>
                <w:lang w:eastAsia="en-GB"/>
              </w:rPr>
              <w:instrText>ADDIN CSL_CITATION {"citationItems":[{"id":"ITEM-1","itemData":{"DOI":"10.1016/S2214-109X(18)30450-9","ISSN":"2214-109X (Electronic)","PMID":"30528531","abstract":"BACKGROUND: Cardiovascular diseases and their risk factors-particularly hypertension, dyslipidaemia, and diabetes-have become an increasing concern for middle-income countries. Using newly available, nationally representative data, we assessed how cardiovascular risk factors are distributed across subpopulations within South Africa and identified which cardiovascular treatments should be prioritised. METHODS: We created a demographically representative simulated population for South Africa and used data from 17 743 respondents aged 15 years or older of the 2012 South African National Health and Nutrition Examination Survey (SANHANES) to assign information on cardiovascular risk factors to each member of the simulated population. We created a microsimulation model to estimate the health and economic implications of two globally recognised treatment recommendations: WHO's package of essential non-communicable disease interventions (PEN) and South Africa's Primary Care 101 (SA PC 101) guidelines. The primary outcome was total disability-adjusted life-years (DALYs) averted through treatment of all cardiovascular disease or microvascular type 2 diabetes complications per 1000 population. We compared outcomes at the aspirational level of achieving access to treatment among 70% of the population. FINDINGS: Based on the SANHANES data, South Africans had a high prevalence of hypertension (24·8%), dyslipidaemia (17·5%), and diabetes (15·3%). Prevalence was disproportionately high and treatment low among male, black, and poor populations. Our simulated population experienced a burden of 40·0 DALYs (95% CI 29·5-52·0) per 1000 population per year from cardiovascular disease or type 2 diabetes complications at current treatment levels, which lowered to 32·9 DALYs (24·4-44·7) under WHO PEN implementation and to 32·5 (24·4-44·8) under SA PC 101 implementation. Under both guidelines, there were increases in blood pressure treatment (4·2 percentage points under WHO PEN vs 12·6 percentage points under SA PC 101), lipid treatment (16·0 vs 14·9), and glucose control medications (1·2 vs 0·6). The incremental cost-effectiveness of implementing SA PC 101 over current treatment would be a saving of US$24 902 (95% CI 14 666-62 579) per DALY averted compared with a saving of $17 587 (1840-42 589) under WHO PEN guidelines. INTERPRETATION: Cardiovascular risk factors are common and disproportionate among disadvantaged populations in South Africa. Treatment with blood pressure agent…","author":[{"dropping-particle":"","family":"Basu","given":"Sanjay","non-dropping-particle":"","parse-names":false,"suffix":""},{"dropping-particle":"","family":"Wagner","given":"Ryan G","non-dropping-particle":"","parse-names":false,"suffix":""},{"dropping-particle":"","family":"Sewpaul","given":"Ronel","non-dropping-particle":"","parse-names":false,"suffix":""},{"dropping-particle":"","family":"Reddy","given":"Priscilla","non-dropping-particle":"","parse-names":false,"suffix":""},{"dropping-particle":"","family":"Davies","given":"Justine","non-dropping-particle":"","parse-names":false,"suffix":""}],"container-title":"The Lancet. Global health","id":"ITEM-1","issue":"2","issued":{"date-parts":[["2019","2"]]},"language":"eng","page":"e270-e280","publisher-place":"England","title":"Implications of scaling up cardiovascular disease treatment in South Africa: a microsimulation and cost-effectiveness analysis.","type":"article-journal","volume":"7"},"uris":["http://www.mendeley.com/documents/?uuid=d18f6456-3b63-4234-b66d-4aecb0aad094"]}],"mendeley":{"formattedCitation":"&lt;sup&gt;8&lt;/sup&gt;","plainTextFormattedCitation":"8","previouslyFormattedCitation":"&lt;sup&gt;8&lt;/sup&gt;"},"properties":{"noteIndex":0},"schema":"https://github.com/citation-style-language/schema/raw/master/csl-citation.json"}</w:instrText>
            </w:r>
            <w:r w:rsidR="00BB5EEC" w:rsidRPr="00FA697F">
              <w:rPr>
                <w:rFonts w:ascii="Times New Roman" w:eastAsia="Times New Roman" w:hAnsi="Times New Roman" w:cs="Times New Roman"/>
                <w:sz w:val="16"/>
                <w:szCs w:val="16"/>
                <w:lang w:eastAsia="en-GB"/>
              </w:rPr>
              <w:fldChar w:fldCharType="separate"/>
            </w:r>
            <w:r w:rsidR="0042389E" w:rsidRPr="00FA697F">
              <w:rPr>
                <w:rFonts w:ascii="Times New Roman" w:eastAsia="Times New Roman" w:hAnsi="Times New Roman" w:cs="Times New Roman"/>
                <w:noProof/>
                <w:sz w:val="16"/>
                <w:szCs w:val="16"/>
                <w:vertAlign w:val="superscript"/>
                <w:lang w:eastAsia="en-GB"/>
              </w:rPr>
              <w:t>8</w:t>
            </w:r>
            <w:r w:rsidR="00BB5EEC"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1F1EEE5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economic implications of treatment scale-up under two alternative guidelines</w:t>
            </w:r>
          </w:p>
        </w:tc>
        <w:tc>
          <w:tcPr>
            <w:tcW w:w="1299" w:type="dxa"/>
            <w:shd w:val="clear" w:color="auto" w:fill="auto"/>
            <w:tcMar>
              <w:left w:w="57" w:type="dxa"/>
              <w:right w:w="57" w:type="dxa"/>
            </w:tcMar>
            <w:hideMark/>
          </w:tcPr>
          <w:p w14:paraId="00A9DE3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with data available on cardiovascular risk factors in all provinces; PHC &amp; hospital</w:t>
            </w:r>
          </w:p>
        </w:tc>
        <w:tc>
          <w:tcPr>
            <w:tcW w:w="1017" w:type="dxa"/>
            <w:shd w:val="clear" w:color="auto" w:fill="auto"/>
            <w:tcMar>
              <w:left w:w="57" w:type="dxa"/>
              <w:right w:w="57" w:type="dxa"/>
            </w:tcMar>
            <w:hideMark/>
          </w:tcPr>
          <w:p w14:paraId="0FBDB0D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7B35833D"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4EF8B8C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36D58508" w14:textId="12C25B0B" w:rsidR="00112353" w:rsidRPr="00FA697F" w:rsidRDefault="00906ED0"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w:t>
            </w:r>
            <w:r w:rsidR="00112353" w:rsidRPr="00FA697F">
              <w:rPr>
                <w:rFonts w:ascii="Times New Roman" w:eastAsia="Times New Roman" w:hAnsi="Times New Roman" w:cs="Times New Roman"/>
                <w:sz w:val="16"/>
                <w:szCs w:val="16"/>
                <w:lang w:eastAsia="en-GB"/>
              </w:rPr>
              <w:t xml:space="preserve">onitoring and management of </w:t>
            </w:r>
            <w:r w:rsidR="00443E91" w:rsidRPr="00FA697F">
              <w:rPr>
                <w:rFonts w:ascii="Times New Roman" w:eastAsia="Times New Roman" w:hAnsi="Times New Roman" w:cs="Times New Roman"/>
                <w:sz w:val="16"/>
                <w:szCs w:val="16"/>
                <w:lang w:eastAsia="en-GB"/>
              </w:rPr>
              <w:t>h</w:t>
            </w:r>
            <w:r w:rsidR="00112353" w:rsidRPr="00FA697F">
              <w:rPr>
                <w:rFonts w:ascii="Times New Roman" w:eastAsia="Times New Roman" w:hAnsi="Times New Roman" w:cs="Times New Roman"/>
                <w:sz w:val="16"/>
                <w:szCs w:val="16"/>
                <w:lang w:eastAsia="en-GB"/>
              </w:rPr>
              <w:t>ypertension</w:t>
            </w:r>
            <w:r w:rsidR="00112353" w:rsidRPr="00FA697F">
              <w:rPr>
                <w:rFonts w:ascii="Times New Roman" w:eastAsia="Times New Roman" w:hAnsi="Times New Roman" w:cs="Times New Roman"/>
                <w:sz w:val="16"/>
                <w:szCs w:val="16"/>
                <w:lang w:eastAsia="en-GB"/>
              </w:rPr>
              <w:br/>
              <w:t>Physician visit, nurse visits &amp; labs: $60</w:t>
            </w:r>
            <w:r w:rsidR="00112353" w:rsidRPr="00FA697F">
              <w:rPr>
                <w:rFonts w:ascii="Times New Roman" w:eastAsia="Times New Roman" w:hAnsi="Times New Roman" w:cs="Times New Roman"/>
                <w:sz w:val="16"/>
                <w:szCs w:val="16"/>
                <w:lang w:eastAsia="en-GB"/>
              </w:rPr>
              <w:br/>
              <w:t>Thiazide: $47</w:t>
            </w:r>
            <w:r w:rsidR="00112353" w:rsidRPr="00FA697F">
              <w:rPr>
                <w:rFonts w:ascii="Times New Roman" w:eastAsia="Times New Roman" w:hAnsi="Times New Roman" w:cs="Times New Roman"/>
                <w:sz w:val="16"/>
                <w:szCs w:val="16"/>
                <w:lang w:eastAsia="en-GB"/>
              </w:rPr>
              <w:br/>
              <w:t>ACE inhibitor: $63</w:t>
            </w:r>
            <w:r w:rsidR="00112353" w:rsidRPr="00FA697F">
              <w:rPr>
                <w:rFonts w:ascii="Times New Roman" w:eastAsia="Times New Roman" w:hAnsi="Times New Roman" w:cs="Times New Roman"/>
                <w:sz w:val="16"/>
                <w:szCs w:val="16"/>
                <w:lang w:eastAsia="en-GB"/>
              </w:rPr>
              <w:br/>
              <w:t xml:space="preserve">Calcium </w:t>
            </w:r>
            <w:r w:rsidR="00443E91" w:rsidRPr="00FA697F">
              <w:rPr>
                <w:rFonts w:ascii="Times New Roman" w:eastAsia="Times New Roman" w:hAnsi="Times New Roman" w:cs="Times New Roman"/>
                <w:sz w:val="16"/>
                <w:szCs w:val="16"/>
                <w:lang w:eastAsia="en-GB"/>
              </w:rPr>
              <w:t>c</w:t>
            </w:r>
            <w:r w:rsidR="00112353" w:rsidRPr="00FA697F">
              <w:rPr>
                <w:rFonts w:ascii="Times New Roman" w:eastAsia="Times New Roman" w:hAnsi="Times New Roman" w:cs="Times New Roman"/>
                <w:sz w:val="16"/>
                <w:szCs w:val="16"/>
                <w:lang w:eastAsia="en-GB"/>
              </w:rPr>
              <w:t>hannel blocker: $31</w:t>
            </w:r>
            <w:r w:rsidR="00112353" w:rsidRPr="00FA697F">
              <w:rPr>
                <w:rFonts w:ascii="Times New Roman" w:eastAsia="Times New Roman" w:hAnsi="Times New Roman" w:cs="Times New Roman"/>
                <w:sz w:val="16"/>
                <w:szCs w:val="16"/>
                <w:lang w:eastAsia="en-GB"/>
              </w:rPr>
              <w:br/>
              <w:t>Beta-blocker: $0</w:t>
            </w:r>
            <w:r w:rsidR="00D66FC6" w:rsidRPr="00FA697F">
              <w:rPr>
                <w:rFonts w:ascii="Times New Roman" w:eastAsia="Times New Roman" w:hAnsi="Times New Roman" w:cs="Times New Roman"/>
                <w:sz w:val="16"/>
                <w:szCs w:val="16"/>
                <w:lang w:eastAsia="en-GB"/>
              </w:rPr>
              <w:t>·</w:t>
            </w:r>
            <w:r w:rsidR="00112353" w:rsidRPr="00FA697F">
              <w:rPr>
                <w:rFonts w:ascii="Times New Roman" w:eastAsia="Times New Roman" w:hAnsi="Times New Roman" w:cs="Times New Roman"/>
                <w:sz w:val="16"/>
                <w:szCs w:val="16"/>
                <w:lang w:eastAsia="en-GB"/>
              </w:rPr>
              <w:t>91</w:t>
            </w:r>
            <w:r w:rsidR="00112353" w:rsidRPr="00FA697F">
              <w:rPr>
                <w:rFonts w:ascii="Times New Roman" w:eastAsia="Times New Roman" w:hAnsi="Times New Roman" w:cs="Times New Roman"/>
                <w:sz w:val="16"/>
                <w:szCs w:val="16"/>
                <w:lang w:eastAsia="en-GB"/>
              </w:rPr>
              <w:br/>
              <w:t>per person</w:t>
            </w:r>
            <w:r w:rsidR="00DA0AFD" w:rsidRPr="00FA697F">
              <w:rPr>
                <w:rFonts w:ascii="Times New Roman" w:eastAsia="Times New Roman" w:hAnsi="Times New Roman" w:cs="Times New Roman"/>
                <w:sz w:val="16"/>
                <w:szCs w:val="16"/>
                <w:lang w:eastAsia="en-GB"/>
              </w:rPr>
              <w:t>-</w:t>
            </w:r>
            <w:r w:rsidR="00112353"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385D5C79" w14:textId="77777777" w:rsidR="00112353" w:rsidRPr="00FA697F" w:rsidRDefault="00112353" w:rsidP="00112353">
            <w:pPr>
              <w:spacing w:after="0" w:line="240" w:lineRule="auto"/>
              <w:rPr>
                <w:rFonts w:ascii="Times New Roman" w:eastAsia="Times New Roman" w:hAnsi="Times New Roman" w:cs="Times New Roman"/>
                <w:iCs/>
                <w:sz w:val="16"/>
                <w:szCs w:val="16"/>
                <w:lang w:eastAsia="en-GB"/>
              </w:rPr>
            </w:pPr>
            <w:r w:rsidRPr="00FA697F">
              <w:rPr>
                <w:rFonts w:ascii="Times New Roman" w:eastAsia="Times New Roman" w:hAnsi="Times New Roman" w:cs="Times New Roman"/>
                <w:iCs/>
                <w:sz w:val="16"/>
                <w:szCs w:val="16"/>
                <w:lang w:eastAsia="en-GB"/>
              </w:rPr>
              <w:t>N/A</w:t>
            </w:r>
          </w:p>
        </w:tc>
        <w:tc>
          <w:tcPr>
            <w:tcW w:w="260" w:type="dxa"/>
            <w:shd w:val="clear" w:color="auto" w:fill="auto"/>
            <w:tcMar>
              <w:left w:w="57" w:type="dxa"/>
              <w:right w:w="57" w:type="dxa"/>
            </w:tcMar>
            <w:hideMark/>
          </w:tcPr>
          <w:p w14:paraId="70B15C41" w14:textId="77777777" w:rsidR="00112353" w:rsidRPr="00FA697F" w:rsidRDefault="00112353" w:rsidP="00112353">
            <w:pPr>
              <w:spacing w:after="0" w:line="240" w:lineRule="auto"/>
              <w:rPr>
                <w:rFonts w:ascii="Times New Roman" w:eastAsia="Times New Roman" w:hAnsi="Times New Roman" w:cs="Times New Roman"/>
                <w:i/>
                <w:iCs/>
                <w:sz w:val="16"/>
                <w:szCs w:val="16"/>
                <w:lang w:eastAsia="en-GB"/>
              </w:rPr>
            </w:pPr>
          </w:p>
        </w:tc>
        <w:tc>
          <w:tcPr>
            <w:tcW w:w="294" w:type="dxa"/>
            <w:shd w:val="clear" w:color="auto" w:fill="auto"/>
            <w:tcMar>
              <w:left w:w="57" w:type="dxa"/>
              <w:right w:w="57" w:type="dxa"/>
            </w:tcMar>
            <w:hideMark/>
          </w:tcPr>
          <w:p w14:paraId="5F2D22B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198F4E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3F7635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4AB916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4F69D4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3FC536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2179EF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F3AEED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2EA221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B29F69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73E4CCF9"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15930277" w14:textId="77777777" w:rsidTr="00115C53">
        <w:trPr>
          <w:trHeight w:val="288"/>
        </w:trPr>
        <w:tc>
          <w:tcPr>
            <w:tcW w:w="14967" w:type="dxa"/>
            <w:gridSpan w:val="21"/>
            <w:shd w:val="clear" w:color="auto" w:fill="auto"/>
            <w:tcMar>
              <w:left w:w="57" w:type="dxa"/>
              <w:right w:w="57" w:type="dxa"/>
            </w:tcMar>
            <w:hideMark/>
          </w:tcPr>
          <w:p w14:paraId="10512F5F" w14:textId="1165C104" w:rsidR="00112353" w:rsidRPr="00FA697F" w:rsidRDefault="00112353" w:rsidP="001860A8">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Type 2 diabetes mellitus - monitoring &amp; management</w:t>
            </w:r>
          </w:p>
        </w:tc>
      </w:tr>
      <w:tr w:rsidR="003C76E8" w:rsidRPr="00FA697F" w14:paraId="5A3963FC" w14:textId="77777777" w:rsidTr="00115C53">
        <w:trPr>
          <w:trHeight w:val="2231"/>
        </w:trPr>
        <w:tc>
          <w:tcPr>
            <w:tcW w:w="431" w:type="dxa"/>
            <w:shd w:val="clear" w:color="auto" w:fill="auto"/>
            <w:tcMar>
              <w:left w:w="57" w:type="dxa"/>
              <w:right w:w="57" w:type="dxa"/>
            </w:tcMar>
            <w:hideMark/>
          </w:tcPr>
          <w:p w14:paraId="43D2567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9</w:t>
            </w:r>
          </w:p>
        </w:tc>
        <w:tc>
          <w:tcPr>
            <w:tcW w:w="982" w:type="dxa"/>
            <w:shd w:val="clear" w:color="auto" w:fill="auto"/>
            <w:tcMar>
              <w:left w:w="57" w:type="dxa"/>
              <w:right w:w="57" w:type="dxa"/>
            </w:tcMar>
            <w:hideMark/>
          </w:tcPr>
          <w:p w14:paraId="774CC94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Nomame</w:t>
            </w:r>
            <w:r w:rsidR="00BB5EEC" w:rsidRPr="00FA697F">
              <w:rPr>
                <w:rFonts w:ascii="Times New Roman" w:eastAsia="Times New Roman" w:hAnsi="Times New Roman" w:cs="Times New Roman"/>
                <w:sz w:val="16"/>
                <w:szCs w:val="16"/>
                <w:lang w:eastAsia="en-GB"/>
              </w:rPr>
              <w:fldChar w:fldCharType="begin" w:fldLock="1"/>
            </w:r>
            <w:r w:rsidR="00BB5EEC" w:rsidRPr="00FA697F">
              <w:rPr>
                <w:rFonts w:ascii="Times New Roman" w:eastAsia="Times New Roman" w:hAnsi="Times New Roman" w:cs="Times New Roman"/>
                <w:sz w:val="16"/>
                <w:szCs w:val="16"/>
                <w:lang w:eastAsia="en-GB"/>
              </w:rPr>
              <w:instrText>ADDIN CSL_CITATION {"citationItems":[{"id":"ITEM-1","itemData":{"author":[{"dropping-particle":"","family":"Nomame","given":"S","non-dropping-particle":"","parse-names":false,"suffix":""}],"id":"ITEM-1","issued":{"date-parts":[["0"]]},"title":"Development of a Model To Predict the Cost of Management of Diabetes Mellitus and Its Complications At Groote Schuur Hospital","type":"article-journal"},"uris":["http://www.mendeley.com/documents/?uuid=c2ccd82e-09b8-45c9-9598-3095c9d5b487"]}],"mendeley":{"formattedCitation":"&lt;sup&gt;9&lt;/sup&gt;","plainTextFormattedCitation":"9","previouslyFormattedCitation":"&lt;sup&gt;9&lt;/sup&gt;"},"properties":{"noteIndex":0},"schema":"https://github.com/citation-style-language/schema/raw/master/csl-citation.json"}</w:instrText>
            </w:r>
            <w:r w:rsidR="00BB5EEC" w:rsidRPr="00FA697F">
              <w:rPr>
                <w:rFonts w:ascii="Times New Roman" w:eastAsia="Times New Roman" w:hAnsi="Times New Roman" w:cs="Times New Roman"/>
                <w:sz w:val="16"/>
                <w:szCs w:val="16"/>
                <w:lang w:eastAsia="en-GB"/>
              </w:rPr>
              <w:fldChar w:fldCharType="separate"/>
            </w:r>
            <w:r w:rsidR="00BB5EEC" w:rsidRPr="00FA697F">
              <w:rPr>
                <w:rFonts w:ascii="Times New Roman" w:eastAsia="Times New Roman" w:hAnsi="Times New Roman" w:cs="Times New Roman"/>
                <w:noProof/>
                <w:sz w:val="16"/>
                <w:szCs w:val="16"/>
                <w:vertAlign w:val="superscript"/>
                <w:lang w:eastAsia="en-GB"/>
              </w:rPr>
              <w:t>9</w:t>
            </w:r>
            <w:r w:rsidR="00BB5EEC"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(2012)</w:t>
            </w:r>
          </w:p>
        </w:tc>
        <w:tc>
          <w:tcPr>
            <w:tcW w:w="1843" w:type="dxa"/>
            <w:shd w:val="clear" w:color="auto" w:fill="auto"/>
            <w:tcMar>
              <w:left w:w="57" w:type="dxa"/>
              <w:right w:w="57" w:type="dxa"/>
            </w:tcMar>
            <w:hideMark/>
          </w:tcPr>
          <w:p w14:paraId="57D2C11F" w14:textId="7905C9F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Determine the direct medical costs and predict the cost of diabetes mellitus and its complications at Groote Schuur hospital</w:t>
            </w:r>
          </w:p>
        </w:tc>
        <w:tc>
          <w:tcPr>
            <w:tcW w:w="1299" w:type="dxa"/>
            <w:shd w:val="clear" w:color="auto" w:fill="auto"/>
            <w:tcMar>
              <w:left w:w="57" w:type="dxa"/>
              <w:right w:w="57" w:type="dxa"/>
            </w:tcMar>
            <w:hideMark/>
          </w:tcPr>
          <w:p w14:paraId="4B47A6B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Adults (&gt;18) with diabetes </w:t>
            </w:r>
            <w:r w:rsidR="000F5A32" w:rsidRPr="00FA697F">
              <w:rPr>
                <w:rFonts w:ascii="Times New Roman" w:eastAsia="Times New Roman" w:hAnsi="Times New Roman" w:cs="Times New Roman"/>
                <w:sz w:val="16"/>
                <w:szCs w:val="16"/>
                <w:lang w:eastAsia="en-GB"/>
              </w:rPr>
              <w:t>mellitus;</w:t>
            </w:r>
            <w:r w:rsidRPr="00FA697F">
              <w:rPr>
                <w:rFonts w:ascii="Times New Roman" w:eastAsia="Times New Roman" w:hAnsi="Times New Roman" w:cs="Times New Roman"/>
                <w:sz w:val="16"/>
                <w:szCs w:val="16"/>
                <w:lang w:eastAsia="en-GB"/>
              </w:rPr>
              <w:t xml:space="preserve"> tertiary hospital</w:t>
            </w:r>
          </w:p>
        </w:tc>
        <w:tc>
          <w:tcPr>
            <w:tcW w:w="1017" w:type="dxa"/>
            <w:shd w:val="clear" w:color="auto" w:fill="auto"/>
            <w:tcMar>
              <w:left w:w="57" w:type="dxa"/>
              <w:right w:w="57" w:type="dxa"/>
            </w:tcMar>
            <w:hideMark/>
          </w:tcPr>
          <w:p w14:paraId="16D490C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73C20BC2"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bottom-up approach</w:t>
            </w:r>
          </w:p>
        </w:tc>
        <w:tc>
          <w:tcPr>
            <w:tcW w:w="1011" w:type="dxa"/>
            <w:shd w:val="clear" w:color="auto" w:fill="auto"/>
            <w:tcMar>
              <w:left w:w="57" w:type="dxa"/>
              <w:right w:w="57" w:type="dxa"/>
            </w:tcMar>
            <w:hideMark/>
          </w:tcPr>
          <w:p w14:paraId="764A14E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2009 - 2010</w:t>
            </w:r>
          </w:p>
        </w:tc>
        <w:tc>
          <w:tcPr>
            <w:tcW w:w="2146" w:type="dxa"/>
            <w:shd w:val="clear" w:color="auto" w:fill="auto"/>
            <w:tcMar>
              <w:left w:w="57" w:type="dxa"/>
              <w:right w:w="57" w:type="dxa"/>
            </w:tcMar>
            <w:hideMark/>
          </w:tcPr>
          <w:p w14:paraId="1310AC7A"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Management of diabetes</w:t>
            </w:r>
          </w:p>
          <w:p w14:paraId="01B56D9C"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Mean: $193</w:t>
            </w:r>
            <w:r w:rsidRPr="00FA697F">
              <w:rPr>
                <w:rFonts w:ascii="Times New Roman" w:eastAsia="Times New Roman" w:hAnsi="Times New Roman" w:cs="Times New Roman"/>
                <w:sz w:val="16"/>
                <w:szCs w:val="16"/>
                <w:lang w:eastAsia="en-GB"/>
              </w:rPr>
              <w:br/>
              <w:t>Median: $186</w:t>
            </w:r>
          </w:p>
          <w:p w14:paraId="283AB05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 over 20 months</w:t>
            </w:r>
          </w:p>
        </w:tc>
        <w:tc>
          <w:tcPr>
            <w:tcW w:w="1051" w:type="dxa"/>
            <w:shd w:val="clear" w:color="auto" w:fill="auto"/>
            <w:tcMar>
              <w:left w:w="57" w:type="dxa"/>
              <w:right w:w="57" w:type="dxa"/>
            </w:tcMar>
            <w:hideMark/>
          </w:tcPr>
          <w:p w14:paraId="6E8CF6EA"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SD</w:t>
            </w:r>
          </w:p>
          <w:p w14:paraId="30E96E0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$22 - $316</w:t>
            </w:r>
            <w:r w:rsidRPr="00FA697F">
              <w:rPr>
                <w:rFonts w:ascii="Times New Roman" w:eastAsia="Times New Roman" w:hAnsi="Times New Roman" w:cs="Times New Roman"/>
                <w:sz w:val="16"/>
                <w:szCs w:val="16"/>
                <w:lang w:eastAsia="en-GB"/>
              </w:rPr>
              <w:br/>
              <w:t>N/A</w:t>
            </w:r>
          </w:p>
        </w:tc>
        <w:tc>
          <w:tcPr>
            <w:tcW w:w="260" w:type="dxa"/>
            <w:shd w:val="clear" w:color="auto" w:fill="auto"/>
            <w:tcMar>
              <w:left w:w="57" w:type="dxa"/>
              <w:right w:w="57" w:type="dxa"/>
            </w:tcMar>
            <w:hideMark/>
          </w:tcPr>
          <w:p w14:paraId="062E3E7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71DFDE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4A1FE4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5A5AE1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0143AD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32304F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181E83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FB6958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A93E75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71DBE8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B23326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0051B92B"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Doctor consultations, dispensing </w:t>
            </w:r>
            <w:r w:rsidR="000F5A32" w:rsidRPr="00FA697F">
              <w:rPr>
                <w:rFonts w:ascii="Times New Roman" w:eastAsia="Times New Roman" w:hAnsi="Times New Roman" w:cs="Times New Roman"/>
                <w:sz w:val="16"/>
                <w:szCs w:val="16"/>
                <w:lang w:eastAsia="en-GB"/>
              </w:rPr>
              <w:t>fees, radiological</w:t>
            </w:r>
            <w:r w:rsidRPr="00FA697F">
              <w:rPr>
                <w:rFonts w:ascii="Times New Roman" w:eastAsia="Times New Roman" w:hAnsi="Times New Roman" w:cs="Times New Roman"/>
                <w:sz w:val="16"/>
                <w:szCs w:val="16"/>
                <w:lang w:eastAsia="en-GB"/>
              </w:rPr>
              <w:t xml:space="preserve"> &amp; electrography procedures</w:t>
            </w:r>
          </w:p>
        </w:tc>
      </w:tr>
      <w:tr w:rsidR="003C76E8" w:rsidRPr="00FA697F" w14:paraId="55410670" w14:textId="77777777" w:rsidTr="00115C53">
        <w:trPr>
          <w:trHeight w:val="984"/>
        </w:trPr>
        <w:tc>
          <w:tcPr>
            <w:tcW w:w="431" w:type="dxa"/>
            <w:vMerge w:val="restart"/>
            <w:shd w:val="clear" w:color="auto" w:fill="auto"/>
            <w:tcMar>
              <w:left w:w="57" w:type="dxa"/>
              <w:right w:w="57" w:type="dxa"/>
            </w:tcMar>
            <w:hideMark/>
          </w:tcPr>
          <w:p w14:paraId="66BDB1A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10</w:t>
            </w:r>
          </w:p>
        </w:tc>
        <w:tc>
          <w:tcPr>
            <w:tcW w:w="982" w:type="dxa"/>
            <w:vMerge w:val="restart"/>
            <w:shd w:val="clear" w:color="auto" w:fill="auto"/>
            <w:tcMar>
              <w:left w:w="57" w:type="dxa"/>
              <w:right w:w="57" w:type="dxa"/>
            </w:tcMar>
            <w:hideMark/>
          </w:tcPr>
          <w:p w14:paraId="1656677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Volmink</w:t>
            </w:r>
            <w:r w:rsidR="00BB5EEC" w:rsidRPr="00FA697F">
              <w:rPr>
                <w:rFonts w:ascii="Times New Roman" w:eastAsia="Times New Roman" w:hAnsi="Times New Roman" w:cs="Times New Roman"/>
                <w:sz w:val="16"/>
                <w:szCs w:val="16"/>
                <w:lang w:eastAsia="en-GB"/>
              </w:rPr>
              <w:fldChar w:fldCharType="begin" w:fldLock="1"/>
            </w:r>
            <w:r w:rsidR="00B80B83" w:rsidRPr="00FA697F">
              <w:rPr>
                <w:rFonts w:ascii="Times New Roman" w:eastAsia="Times New Roman" w:hAnsi="Times New Roman" w:cs="Times New Roman"/>
                <w:sz w:val="16"/>
                <w:szCs w:val="16"/>
                <w:lang w:eastAsia="en-GB"/>
              </w:rPr>
              <w:instrText>ADDIN CSL_CITATION {"citationItems":[{"id":"ITEM-1","itemData":{"DOI":"10.1186/1472-6963-14-444","abstract":"Background: Diabetes mellitus contributes substantially to the non-communicable disease burden in South Africa. The proposed National Health Insurance system provides an opportunity to consider the development of a cost-effective capitation model of care for patients with type 2 diabetes. The objective of the study was to determine the potential cost-effectiveness of adapting a private sector diabetes management programme (DMP) to the South African public sector. Methods. Cost-effectiveness analysis was undertaken with a public sector model of the DMP as the intervention and a usual practice model as the comparator. Probabilistic modelling was utilized for incremental cost-effectiveness ratio analysis with life years gained selected as the outcome. Secondary data were used to design the model while cost information was obtained from various sources, taking into account public sector billing. Results: Modelling found an incremental cost-effectiveness ratio (ICER) of ZAR 8 356 (USD 1018) per life year gained (LYG) for the DMP against the usual practice model. This fell substantially below the Willingness-to-Pay threshold with bootstrapping analysis. Furthermore, a national implementation of the intervention could potentially result in an estimated cumulative gain of 96 997 years of life (95% CI 71 073 years - 113 994 years). Conclusions: Probabilistic modelling found the capitation intervention to be cost-effective, with an ICER of ZAR 8 356 (USD 1018) per LYG. Piloting the service within the public sector is recommended as an initial step, as this would provide data for more accurate economic evaluation, and would also allow for qualitative analysis of the programme. © 2014 Volmink et al.; licensee BioMed Central Ltd.","author":[{"dropping-particle":"","family":"Volmink","given":"H C","non-dropping-particle":"","parse-names":false,"suffix":""},{"dropping-particle":"","family":"Bertram","given":"M Y","non-dropping-particle":"","parse-names":false,"suffix":""},{"dropping-particle":"","family":"Jina","given":"R","non-dropping-particle":"","parse-names":false,"suffix":""},{"dropping-particle":"","family":"Wade","given":"A N","non-dropping-particle":"","parse-names":false,"suffix":""},{"dropping-particle":"","family":"Hofman","given":"K J","non-dropping-particle":"","parse-names":false,"suffix":""}],"container-title":"BMC Health Services Research","id":"ITEM-1","issue":"1","issued":{"date-parts":[["2014"]]},"note":"Cited By :6\n\nExport Date: 19 April 2021","publisher-place":"Gauteng Department of Health, Chris Hani Baragwanath Academic Hospital, Johannesburg, South Africa","title":"Applying a private sector capitation model to the management of type 2 diabetes in the South African public sector: A cost-effectiveness analysis","type":"article-journal","volume":"14"},"uris":["http://www.mendeley.com/documents/?uuid=ac95e386-6cbe-4e71-8ba3-757496b98670"]}],"mendeley":{"formattedCitation":"&lt;sup&gt;10&lt;/sup&gt;","plainTextFormattedCitation":"10","previouslyFormattedCitation":"&lt;sup&gt;10&lt;/sup&gt;"},"properties":{"noteIndex":0},"schema":"https://github.com/citation-style-language/schema/raw/master/csl-citation.json"}</w:instrText>
            </w:r>
            <w:r w:rsidR="00BB5EEC" w:rsidRPr="00FA697F">
              <w:rPr>
                <w:rFonts w:ascii="Times New Roman" w:eastAsia="Times New Roman" w:hAnsi="Times New Roman" w:cs="Times New Roman"/>
                <w:sz w:val="16"/>
                <w:szCs w:val="16"/>
                <w:lang w:eastAsia="en-GB"/>
              </w:rPr>
              <w:fldChar w:fldCharType="separate"/>
            </w:r>
            <w:r w:rsidR="00BB5EEC" w:rsidRPr="00FA697F">
              <w:rPr>
                <w:rFonts w:ascii="Times New Roman" w:eastAsia="Times New Roman" w:hAnsi="Times New Roman" w:cs="Times New Roman"/>
                <w:noProof/>
                <w:sz w:val="16"/>
                <w:szCs w:val="16"/>
                <w:vertAlign w:val="superscript"/>
                <w:lang w:eastAsia="en-GB"/>
              </w:rPr>
              <w:t>10</w:t>
            </w:r>
            <w:r w:rsidR="00BB5EEC"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(2014)</w:t>
            </w:r>
          </w:p>
        </w:tc>
        <w:tc>
          <w:tcPr>
            <w:tcW w:w="1843" w:type="dxa"/>
            <w:vMerge w:val="restart"/>
            <w:shd w:val="clear" w:color="auto" w:fill="auto"/>
            <w:tcMar>
              <w:left w:w="57" w:type="dxa"/>
              <w:right w:w="57" w:type="dxa"/>
            </w:tcMar>
            <w:hideMark/>
          </w:tcPr>
          <w:p w14:paraId="0BCBC80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Determine whether a private sector diabetes management programme (DMP) capitation model can be cost-effective in the public sector</w:t>
            </w:r>
          </w:p>
        </w:tc>
        <w:tc>
          <w:tcPr>
            <w:tcW w:w="1299" w:type="dxa"/>
            <w:vMerge w:val="restart"/>
            <w:shd w:val="clear" w:color="auto" w:fill="auto"/>
            <w:tcMar>
              <w:left w:w="57" w:type="dxa"/>
              <w:right w:w="57" w:type="dxa"/>
            </w:tcMar>
            <w:hideMark/>
          </w:tcPr>
          <w:p w14:paraId="23C563D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N/S; PHC</w:t>
            </w:r>
          </w:p>
        </w:tc>
        <w:tc>
          <w:tcPr>
            <w:tcW w:w="1017" w:type="dxa"/>
            <w:vMerge w:val="restart"/>
            <w:shd w:val="clear" w:color="auto" w:fill="auto"/>
            <w:tcMar>
              <w:left w:w="57" w:type="dxa"/>
              <w:right w:w="57" w:type="dxa"/>
            </w:tcMar>
            <w:hideMark/>
          </w:tcPr>
          <w:p w14:paraId="669360B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vMerge w:val="restart"/>
            <w:shd w:val="clear" w:color="auto" w:fill="auto"/>
            <w:tcMar>
              <w:left w:w="57" w:type="dxa"/>
              <w:right w:w="57" w:type="dxa"/>
            </w:tcMar>
            <w:hideMark/>
          </w:tcPr>
          <w:p w14:paraId="3EF2BFEC"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vMerge w:val="restart"/>
            <w:shd w:val="clear" w:color="auto" w:fill="auto"/>
            <w:tcMar>
              <w:left w:w="57" w:type="dxa"/>
              <w:right w:w="57" w:type="dxa"/>
            </w:tcMar>
            <w:hideMark/>
          </w:tcPr>
          <w:p w14:paraId="01B9A05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4949211E" w14:textId="328E800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and management of diabetes</w:t>
            </w:r>
            <w:r w:rsidRPr="00FA697F">
              <w:rPr>
                <w:rFonts w:ascii="Times New Roman" w:eastAsia="Times New Roman" w:hAnsi="Times New Roman" w:cs="Times New Roman"/>
                <w:sz w:val="16"/>
                <w:szCs w:val="16"/>
                <w:lang w:eastAsia="en-GB"/>
              </w:rPr>
              <w:br/>
              <w:t>DMP capitation model: $630</w:t>
            </w:r>
            <w:r w:rsidR="00C078FC"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00577A38"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15884AE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28AD4F1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BBFE56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BD11F5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0AB8AB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FF681D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EDF5D9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A16067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A035EF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E602CF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AA9A86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9AEDC8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144FD23C"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Training &amp; incentive bonus</w:t>
            </w:r>
          </w:p>
        </w:tc>
      </w:tr>
      <w:tr w:rsidR="003C76E8" w:rsidRPr="00FA697F" w14:paraId="2B26888E" w14:textId="77777777" w:rsidTr="00115C53">
        <w:trPr>
          <w:trHeight w:val="864"/>
        </w:trPr>
        <w:tc>
          <w:tcPr>
            <w:tcW w:w="431" w:type="dxa"/>
            <w:vMerge/>
            <w:tcMar>
              <w:left w:w="57" w:type="dxa"/>
              <w:right w:w="57" w:type="dxa"/>
            </w:tcMar>
            <w:vAlign w:val="center"/>
            <w:hideMark/>
          </w:tcPr>
          <w:p w14:paraId="3AA0CAD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4592268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12DD822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56D7F6D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3624EDD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41C6491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6EEF09B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63539B53" w14:textId="62BD7128"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and management of diabetes</w:t>
            </w:r>
            <w:r w:rsidRPr="00FA697F">
              <w:rPr>
                <w:rFonts w:ascii="Times New Roman" w:eastAsia="Times New Roman" w:hAnsi="Times New Roman" w:cs="Times New Roman"/>
                <w:sz w:val="16"/>
                <w:szCs w:val="16"/>
                <w:lang w:eastAsia="en-GB"/>
              </w:rPr>
              <w:br/>
              <w:t>Usual practice: $523</w:t>
            </w:r>
            <w:r w:rsidR="00C078FC"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00577A38"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197A98B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0F409A7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C728AB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14167C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5360A9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541148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CBD586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6F6688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615B4F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9CCA6C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B27C12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F29648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3202A952"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5DCCEF43" w14:textId="77777777" w:rsidTr="00115C53">
        <w:trPr>
          <w:trHeight w:val="2420"/>
        </w:trPr>
        <w:tc>
          <w:tcPr>
            <w:tcW w:w="431" w:type="dxa"/>
            <w:shd w:val="clear" w:color="auto" w:fill="auto"/>
            <w:tcMar>
              <w:left w:w="57" w:type="dxa"/>
              <w:right w:w="57" w:type="dxa"/>
            </w:tcMar>
            <w:hideMark/>
          </w:tcPr>
          <w:p w14:paraId="00517A4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8</w:t>
            </w:r>
          </w:p>
        </w:tc>
        <w:tc>
          <w:tcPr>
            <w:tcW w:w="982" w:type="dxa"/>
            <w:shd w:val="clear" w:color="auto" w:fill="auto"/>
            <w:tcMar>
              <w:left w:w="57" w:type="dxa"/>
              <w:right w:w="57" w:type="dxa"/>
            </w:tcMar>
            <w:hideMark/>
          </w:tcPr>
          <w:p w14:paraId="50CD466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Basu</w:t>
            </w:r>
            <w:r w:rsidR="00B80B83" w:rsidRPr="00FA697F">
              <w:rPr>
                <w:rFonts w:ascii="Times New Roman" w:eastAsia="Times New Roman" w:hAnsi="Times New Roman" w:cs="Times New Roman"/>
                <w:sz w:val="16"/>
                <w:szCs w:val="16"/>
                <w:lang w:eastAsia="en-GB"/>
              </w:rPr>
              <w:fldChar w:fldCharType="begin" w:fldLock="1"/>
            </w:r>
            <w:r w:rsidR="0042389E" w:rsidRPr="00FA697F">
              <w:rPr>
                <w:rFonts w:ascii="Times New Roman" w:eastAsia="Times New Roman" w:hAnsi="Times New Roman" w:cs="Times New Roman"/>
                <w:sz w:val="16"/>
                <w:szCs w:val="16"/>
                <w:lang w:eastAsia="en-GB"/>
              </w:rPr>
              <w:instrText>ADDIN CSL_CITATION {"citationItems":[{"id":"ITEM-1","itemData":{"DOI":"10.1016/S2214-109X(18)30450-9","ISSN":"2214-109X (Electronic)","PMID":"30528531","abstract":"BACKGROUND: Cardiovascular diseases and their risk factors-particularly hypertension, dyslipidaemia, and diabetes-have become an increasing concern for middle-income countries. Using newly available, nationally representative data, we assessed how cardiovascular risk factors are distributed across subpopulations within South Africa and identified which cardiovascular treatments should be prioritised. METHODS: We created a demographically representative simulated population for South Africa and used data from 17 743 respondents aged 15 years or older of the 2012 South African National Health and Nutrition Examination Survey (SANHANES) to assign information on cardiovascular risk factors to each member of the simulated population. We created a microsimulation model to estimate the health and economic implications of two globally recognised treatment recommendations: WHO's package of essential non-communicable disease interventions (PEN) and South Africa's Primary Care 101 (SA PC 101) guidelines. The primary outcome was total disability-adjusted life-years (DALYs) averted through treatment of all cardiovascular disease or microvascular type 2 diabetes complications per 1000 population. We compared outcomes at the aspirational level of achieving access to treatment among 70% of the population. FINDINGS: Based on the SANHANES data, South Africans had a high prevalence of hypertension (24·8%), dyslipidaemia (17·5%), and diabetes (15·3%). Prevalence was disproportionately high and treatment low among male, black, and poor populations. Our simulated population experienced a burden of 40·0 DALYs (95% CI 29·5-52·0) per 1000 population per year from cardiovascular disease or type 2 diabetes complications at current treatment levels, which lowered to 32·9 DALYs (24·4-44·7) under WHO PEN implementation and to 32·5 (24·4-44·8) under SA PC 101 implementation. Under both guidelines, there were increases in blood pressure treatment (4·2 percentage points under WHO PEN vs 12·6 percentage points under SA PC 101), lipid treatment (16·0 vs 14·9), and glucose control medications (1·2 vs 0·6). The incremental cost-effectiveness of implementing SA PC 101 over current treatment would be a saving of US$24 902 (95% CI 14 666-62 579) per DALY averted compared with a saving of $17 587 (1840-42 589) under WHO PEN guidelines. INTERPRETATION: Cardiovascular risk factors are common and disproportionate among disadvantaged populations in South Africa. Treatment with blood pressure agent…","author":[{"dropping-particle":"","family":"Basu","given":"Sanjay","non-dropping-particle":"","parse-names":false,"suffix":""},{"dropping-particle":"","family":"Wagner","given":"Ryan G","non-dropping-particle":"","parse-names":false,"suffix":""},{"dropping-particle":"","family":"Sewpaul","given":"Ronel","non-dropping-particle":"","parse-names":false,"suffix":""},{"dropping-particle":"","family":"Reddy","given":"Priscilla","non-dropping-particle":"","parse-names":false,"suffix":""},{"dropping-particle":"","family":"Davies","given":"Justine","non-dropping-particle":"","parse-names":false,"suffix":""}],"container-title":"The Lancet. Global health","id":"ITEM-1","issue":"2","issued":{"date-parts":[["2019","2"]]},"language":"eng","page":"e270-e280","publisher-place":"England","title":"Implications of scaling up cardiovascular disease treatment in South Africa: a microsimulation and cost-effectiveness analysis.","type":"article-journal","volume":"7"},"uris":["http://www.mendeley.com/documents/?uuid=a59d3cb3-9528-4387-8332-dff97c29e444"]}],"mendeley":{"formattedCitation":"&lt;sup&gt;8&lt;/sup&gt;","plainTextFormattedCitation":"8","previouslyFormattedCitation":"&lt;sup&gt;8&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42389E" w:rsidRPr="00FA697F">
              <w:rPr>
                <w:rFonts w:ascii="Times New Roman" w:eastAsia="Times New Roman" w:hAnsi="Times New Roman" w:cs="Times New Roman"/>
                <w:noProof/>
                <w:sz w:val="16"/>
                <w:szCs w:val="16"/>
                <w:vertAlign w:val="superscript"/>
                <w:lang w:eastAsia="en-GB"/>
              </w:rPr>
              <w:t>8</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6E125E8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economic implications of treatment scale-up under two alternative guidelines</w:t>
            </w:r>
          </w:p>
        </w:tc>
        <w:tc>
          <w:tcPr>
            <w:tcW w:w="1299" w:type="dxa"/>
            <w:shd w:val="clear" w:color="auto" w:fill="auto"/>
            <w:tcMar>
              <w:left w:w="57" w:type="dxa"/>
              <w:right w:w="57" w:type="dxa"/>
            </w:tcMar>
            <w:hideMark/>
          </w:tcPr>
          <w:p w14:paraId="51C1D82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with data available on cardiovascular risk factors; PHC &amp; hospital</w:t>
            </w:r>
          </w:p>
        </w:tc>
        <w:tc>
          <w:tcPr>
            <w:tcW w:w="1017" w:type="dxa"/>
            <w:shd w:val="clear" w:color="auto" w:fill="auto"/>
            <w:tcMar>
              <w:left w:w="57" w:type="dxa"/>
              <w:right w:w="57" w:type="dxa"/>
            </w:tcMar>
            <w:hideMark/>
          </w:tcPr>
          <w:p w14:paraId="148E527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32FE9A90"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6C7C5F6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7A64CB21"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monitoring and management of T2DM</w:t>
            </w:r>
            <w:r w:rsidRPr="00FA697F">
              <w:rPr>
                <w:rFonts w:ascii="Times New Roman" w:eastAsia="Times New Roman" w:hAnsi="Times New Roman" w:cs="Times New Roman"/>
                <w:sz w:val="16"/>
                <w:szCs w:val="16"/>
                <w:lang w:eastAsia="en-GB"/>
              </w:rPr>
              <w:br/>
              <w:t>Physician &amp; nurse visits &amp; labs: $77</w:t>
            </w:r>
            <w:r w:rsidRPr="00FA697F">
              <w:rPr>
                <w:rFonts w:ascii="Times New Roman" w:eastAsia="Times New Roman" w:hAnsi="Times New Roman" w:cs="Times New Roman"/>
                <w:sz w:val="16"/>
                <w:szCs w:val="16"/>
                <w:lang w:eastAsia="en-GB"/>
              </w:rPr>
              <w:br/>
              <w:t>Metformin: $57</w:t>
            </w:r>
            <w:r w:rsidRPr="00FA697F">
              <w:rPr>
                <w:rFonts w:ascii="Times New Roman" w:eastAsia="Times New Roman" w:hAnsi="Times New Roman" w:cs="Times New Roman"/>
                <w:sz w:val="16"/>
                <w:szCs w:val="16"/>
                <w:lang w:eastAsia="en-GB"/>
              </w:rPr>
              <w:br/>
              <w:t>Sulfonylurea: $186</w:t>
            </w:r>
            <w:r w:rsidRPr="00FA697F">
              <w:rPr>
                <w:rFonts w:ascii="Times New Roman" w:eastAsia="Times New Roman" w:hAnsi="Times New Roman" w:cs="Times New Roman"/>
                <w:sz w:val="16"/>
                <w:szCs w:val="16"/>
                <w:lang w:eastAsia="en-GB"/>
              </w:rPr>
              <w:br/>
              <w:t>Insulin, basal: $105</w:t>
            </w:r>
            <w:r w:rsidRPr="00FA697F">
              <w:rPr>
                <w:rFonts w:ascii="Times New Roman" w:eastAsia="Times New Roman" w:hAnsi="Times New Roman" w:cs="Times New Roman"/>
                <w:sz w:val="16"/>
                <w:szCs w:val="16"/>
                <w:lang w:eastAsia="en-GB"/>
              </w:rPr>
              <w:br/>
              <w:t>Aspirin: $0.91</w:t>
            </w:r>
            <w:r w:rsidRPr="00FA697F">
              <w:rPr>
                <w:rFonts w:ascii="Times New Roman" w:eastAsia="Times New Roman" w:hAnsi="Times New Roman" w:cs="Times New Roman"/>
                <w:sz w:val="16"/>
                <w:szCs w:val="16"/>
                <w:lang w:eastAsia="en-GB"/>
              </w:rPr>
              <w:br/>
              <w:t>Statin: $31</w:t>
            </w:r>
            <w:r w:rsidRPr="00FA697F">
              <w:rPr>
                <w:rFonts w:ascii="Times New Roman" w:eastAsia="Times New Roman" w:hAnsi="Times New Roman" w:cs="Times New Roman"/>
                <w:sz w:val="16"/>
                <w:szCs w:val="16"/>
                <w:lang w:eastAsia="en-GB"/>
              </w:rPr>
              <w:br/>
              <w:t>ACE inhibitor: $35</w:t>
            </w:r>
          </w:p>
          <w:p w14:paraId="07D1B398" w14:textId="6FF1B663"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12E3726A" w14:textId="77777777" w:rsidR="00112353" w:rsidRPr="00FA697F" w:rsidRDefault="00112353" w:rsidP="00112353">
            <w:pPr>
              <w:spacing w:after="0" w:line="240" w:lineRule="auto"/>
              <w:rPr>
                <w:rFonts w:ascii="Times New Roman" w:eastAsia="Times New Roman" w:hAnsi="Times New Roman" w:cs="Times New Roman"/>
                <w:iCs/>
                <w:sz w:val="16"/>
                <w:szCs w:val="16"/>
                <w:lang w:eastAsia="en-GB"/>
              </w:rPr>
            </w:pPr>
            <w:r w:rsidRPr="00FA697F">
              <w:rPr>
                <w:rFonts w:ascii="Times New Roman" w:eastAsia="Times New Roman" w:hAnsi="Times New Roman" w:cs="Times New Roman"/>
                <w:iCs/>
                <w:sz w:val="16"/>
                <w:szCs w:val="16"/>
                <w:lang w:eastAsia="en-GB"/>
              </w:rPr>
              <w:t>N/A</w:t>
            </w:r>
          </w:p>
        </w:tc>
        <w:tc>
          <w:tcPr>
            <w:tcW w:w="260" w:type="dxa"/>
            <w:shd w:val="clear" w:color="auto" w:fill="auto"/>
            <w:tcMar>
              <w:left w:w="57" w:type="dxa"/>
              <w:right w:w="57" w:type="dxa"/>
            </w:tcMar>
            <w:hideMark/>
          </w:tcPr>
          <w:p w14:paraId="3AA8F5B8" w14:textId="77777777" w:rsidR="00112353" w:rsidRPr="00FA697F" w:rsidRDefault="00112353" w:rsidP="00112353">
            <w:pPr>
              <w:spacing w:after="0" w:line="240" w:lineRule="auto"/>
              <w:rPr>
                <w:rFonts w:ascii="Times New Roman" w:eastAsia="Times New Roman" w:hAnsi="Times New Roman" w:cs="Times New Roman"/>
                <w:i/>
                <w:iCs/>
                <w:sz w:val="16"/>
                <w:szCs w:val="16"/>
                <w:lang w:eastAsia="en-GB"/>
              </w:rPr>
            </w:pPr>
          </w:p>
        </w:tc>
        <w:tc>
          <w:tcPr>
            <w:tcW w:w="294" w:type="dxa"/>
            <w:shd w:val="clear" w:color="auto" w:fill="auto"/>
            <w:tcMar>
              <w:left w:w="57" w:type="dxa"/>
              <w:right w:w="57" w:type="dxa"/>
            </w:tcMar>
            <w:hideMark/>
          </w:tcPr>
          <w:p w14:paraId="7EE769E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ED7EAB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C542FB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4B86DE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25C332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621F2B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F68669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3357E9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646FDF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C89B7A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0A579A73"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192FCDF9" w14:textId="77777777" w:rsidTr="00DA0AFD">
        <w:trPr>
          <w:trHeight w:val="966"/>
        </w:trPr>
        <w:tc>
          <w:tcPr>
            <w:tcW w:w="431" w:type="dxa"/>
            <w:shd w:val="clear" w:color="auto" w:fill="auto"/>
            <w:tcMar>
              <w:left w:w="57" w:type="dxa"/>
              <w:right w:w="57" w:type="dxa"/>
            </w:tcMar>
            <w:hideMark/>
          </w:tcPr>
          <w:p w14:paraId="1A03D41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11</w:t>
            </w:r>
          </w:p>
        </w:tc>
        <w:tc>
          <w:tcPr>
            <w:tcW w:w="982" w:type="dxa"/>
            <w:shd w:val="clear" w:color="auto" w:fill="auto"/>
            <w:tcMar>
              <w:left w:w="57" w:type="dxa"/>
              <w:right w:w="57" w:type="dxa"/>
            </w:tcMar>
            <w:hideMark/>
          </w:tcPr>
          <w:p w14:paraId="1FECBF7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Erzse</w:t>
            </w:r>
            <w:r w:rsidR="00B80B83" w:rsidRPr="00FA697F">
              <w:rPr>
                <w:rFonts w:ascii="Times New Roman" w:eastAsia="Times New Roman" w:hAnsi="Times New Roman" w:cs="Times New Roman"/>
                <w:sz w:val="16"/>
                <w:szCs w:val="16"/>
                <w:lang w:eastAsia="en-GB"/>
              </w:rPr>
              <w:fldChar w:fldCharType="begin" w:fldLock="1"/>
            </w:r>
            <w:r w:rsidR="00B80B83" w:rsidRPr="00FA697F">
              <w:rPr>
                <w:rFonts w:ascii="Times New Roman" w:eastAsia="Times New Roman" w:hAnsi="Times New Roman" w:cs="Times New Roman"/>
                <w:sz w:val="16"/>
                <w:szCs w:val="16"/>
                <w:lang w:eastAsia="en-GB"/>
              </w:rPr>
              <w:instrText>ADDIN CSL_CITATION {"citationItems":[{"id":"ITEM-1","itemData":{"DOI":"10.1080/16549716.2019.1636611","ISSN":"16549880","PMID":"31282315","abstract":"Background: Type 2 diabetes mellitus (T2DM) is known to require continuous clinical care and management that consumes significant health-care resources. These costs are not well understood, particularly in low- and middle-income countries. Objective: The aim of this study was to estimate the direct medical costs associated with T2DM in the South African public health sector and to project an estimate of the future direct costs of T2DM by 2030. Methods: A cost of illness study was conducted to estimate the direct medical costs of T2DM in South Africa in 2018 and to make projections for potential costs in 2030. Costs were estimated for diagnosis and management of T2DM, and related complications. Analyses were implemented in Microsoft Excel, with sensitivity analysis conducted on particular parameters. Results: In 2018, public sector costs of diagnosed T2DM patients were approximately ZAR 2.7 bn and ZAR 21.8 bn if both diagnosed and undiagnosed patients are considered. In real terms, the 2030 cost of all T2DM cases is estimated to be ZAR 35.1 bn. Approximately 51% of these estimated costs for 2030 are attributable to the management of T2DM, and 49% are attributable to complications. Conclusion: T2DM imposes a significant financial burden on the public healthcare system in South Africa. Treatment of all prevalent cases would incur a cost equivalent to approximately 12% of the total national health budget in 2018. With rising prevalence, direct costs will grow if current care regimes are maintained and case-finding improved. Increased financial resources are necessary in order to deliver effective services to people with T2DM.","author":[{"dropping-particle":"","family":"Erzse","given":"Agnes","non-dropping-particle":"","parse-names":false,"suffix":""},{"dropping-particle":"","family":"Stacey","given":"Nicholas","non-dropping-particle":"","parse-names":false,"suffix":""},{"dropping-particle":"","family":"Chola","given":"Lumbwe","non-dropping-particle":"","parse-names":false,"suffix":""},{"dropping-particle":"","family":"Tugendhaft","given":"Aviva","non-dropping-particle":"","parse-names":false,"suffix":""},{"dropping-particle":"","family":"Freeman","given":"Melvyn","non-dropping-particle":"","parse-names":false,"suffix":""},{"dropping-particle":"","family":"Hofman","given":"Karen","non-dropping-particle":"","parse-names":false,"suffix":""}],"container-title":"Global Health Action","id":"ITEM-1","issue":"1","issued":{"date-parts":[["2019"]]},"page":"1-9","title":"The direct medical cost of type 2 diabetes mellitus in South Africa: a cost of illness study","type":"article-journal","volume":"12"},"uris":["http://www.mendeley.com/documents/?uuid=c3d8c560-9c19-4b84-9be5-8bfe99d443ce"]}],"mendeley":{"formattedCitation":"&lt;sup&gt;11&lt;/sup&gt;","plainTextFormattedCitation":"11","previouslyFormattedCitation":"&lt;sup&gt;11&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B80B83" w:rsidRPr="00FA697F">
              <w:rPr>
                <w:rFonts w:ascii="Times New Roman" w:eastAsia="Times New Roman" w:hAnsi="Times New Roman" w:cs="Times New Roman"/>
                <w:noProof/>
                <w:sz w:val="16"/>
                <w:szCs w:val="16"/>
                <w:vertAlign w:val="superscript"/>
                <w:lang w:eastAsia="en-GB"/>
              </w:rPr>
              <w:t>11</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5879FFC9" w14:textId="6E220F86"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w:t>
            </w:r>
            <w:r w:rsidR="000E4584"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 xml:space="preserve">direct medical costs associated with type 2 diabetes mellitus </w:t>
            </w:r>
          </w:p>
        </w:tc>
        <w:tc>
          <w:tcPr>
            <w:tcW w:w="1299" w:type="dxa"/>
            <w:shd w:val="clear" w:color="auto" w:fill="auto"/>
            <w:tcMar>
              <w:left w:w="57" w:type="dxa"/>
              <w:right w:w="57" w:type="dxa"/>
            </w:tcMar>
            <w:hideMark/>
          </w:tcPr>
          <w:p w14:paraId="5B56ADC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PHC &amp; hospital</w:t>
            </w:r>
          </w:p>
        </w:tc>
        <w:tc>
          <w:tcPr>
            <w:tcW w:w="1017" w:type="dxa"/>
            <w:shd w:val="clear" w:color="auto" w:fill="auto"/>
            <w:tcMar>
              <w:left w:w="57" w:type="dxa"/>
              <w:right w:w="57" w:type="dxa"/>
            </w:tcMar>
            <w:hideMark/>
          </w:tcPr>
          <w:p w14:paraId="275519B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06C7347B"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2335075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4468227F" w14:textId="36483C52"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monitoring and management of T2DM: $455</w:t>
            </w:r>
            <w:r w:rsidR="00906ED0"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6A00465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279665A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FC64B1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53AF37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19AF4B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0AB248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0A598F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BEA766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CCC2CB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FDB911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55AE75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B68E9D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42DFA7A9"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6C1EF4F6" w14:textId="77777777" w:rsidTr="00115C53">
        <w:trPr>
          <w:trHeight w:val="312"/>
        </w:trPr>
        <w:tc>
          <w:tcPr>
            <w:tcW w:w="14967" w:type="dxa"/>
            <w:gridSpan w:val="21"/>
            <w:shd w:val="clear" w:color="auto" w:fill="auto"/>
            <w:tcMar>
              <w:left w:w="57" w:type="dxa"/>
              <w:right w:w="57" w:type="dxa"/>
            </w:tcMar>
            <w:hideMark/>
          </w:tcPr>
          <w:p w14:paraId="59FD792F" w14:textId="7A081556" w:rsidR="00112353" w:rsidRPr="00FA697F" w:rsidRDefault="00112353" w:rsidP="001860A8">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Treatment of diabetes</w:t>
            </w:r>
            <w:r w:rsidR="00DA0AFD" w:rsidRPr="00FA697F">
              <w:rPr>
                <w:rFonts w:ascii="Times New Roman" w:eastAsia="Times New Roman" w:hAnsi="Times New Roman" w:cs="Times New Roman"/>
                <w:b/>
                <w:bCs/>
                <w:sz w:val="16"/>
                <w:szCs w:val="16"/>
                <w:lang w:eastAsia="en-GB"/>
              </w:rPr>
              <w:t>-</w:t>
            </w:r>
            <w:r w:rsidRPr="00FA697F">
              <w:rPr>
                <w:rFonts w:ascii="Times New Roman" w:eastAsia="Times New Roman" w:hAnsi="Times New Roman" w:cs="Times New Roman"/>
                <w:b/>
                <w:bCs/>
                <w:sz w:val="16"/>
                <w:szCs w:val="16"/>
                <w:lang w:eastAsia="en-GB"/>
              </w:rPr>
              <w:t>related renal disease</w:t>
            </w:r>
          </w:p>
        </w:tc>
      </w:tr>
      <w:tr w:rsidR="003C76E8" w:rsidRPr="00FA697F" w14:paraId="36DC6DFE" w14:textId="77777777" w:rsidTr="00115C53">
        <w:trPr>
          <w:trHeight w:val="3402"/>
        </w:trPr>
        <w:tc>
          <w:tcPr>
            <w:tcW w:w="431" w:type="dxa"/>
            <w:shd w:val="clear" w:color="auto" w:fill="auto"/>
            <w:tcMar>
              <w:left w:w="57" w:type="dxa"/>
              <w:right w:w="57" w:type="dxa"/>
            </w:tcMar>
            <w:hideMark/>
          </w:tcPr>
          <w:p w14:paraId="7AA868F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12</w:t>
            </w:r>
          </w:p>
        </w:tc>
        <w:tc>
          <w:tcPr>
            <w:tcW w:w="982" w:type="dxa"/>
            <w:shd w:val="clear" w:color="auto" w:fill="auto"/>
            <w:tcMar>
              <w:left w:w="57" w:type="dxa"/>
              <w:right w:w="57" w:type="dxa"/>
            </w:tcMar>
            <w:hideMark/>
          </w:tcPr>
          <w:p w14:paraId="29D0BA3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Ncube</w:t>
            </w:r>
            <w:r w:rsidR="00D10BE7" w:rsidRPr="00FA697F">
              <w:rPr>
                <w:rFonts w:ascii="Times New Roman" w:eastAsia="Times New Roman" w:hAnsi="Times New Roman" w:cs="Times New Roman"/>
                <w:sz w:val="16"/>
                <w:szCs w:val="16"/>
                <w:lang w:eastAsia="en-GB"/>
              </w:rPr>
              <w:t>-</w:t>
            </w:r>
            <w:r w:rsidR="000F5A32" w:rsidRPr="00FA697F">
              <w:rPr>
                <w:rFonts w:ascii="Times New Roman" w:eastAsia="Times New Roman" w:hAnsi="Times New Roman" w:cs="Times New Roman"/>
                <w:sz w:val="16"/>
                <w:szCs w:val="16"/>
                <w:lang w:eastAsia="en-GB"/>
              </w:rPr>
              <w:t>Zulu</w:t>
            </w:r>
            <w:r w:rsidR="00B80B83" w:rsidRPr="00FA697F">
              <w:rPr>
                <w:rFonts w:ascii="Times New Roman" w:eastAsia="Times New Roman" w:hAnsi="Times New Roman" w:cs="Times New Roman"/>
                <w:sz w:val="16"/>
                <w:szCs w:val="16"/>
                <w:lang w:eastAsia="en-GB"/>
              </w:rPr>
              <w:fldChar w:fldCharType="begin" w:fldLock="1"/>
            </w:r>
            <w:r w:rsidR="00B80B83" w:rsidRPr="00FA697F">
              <w:rPr>
                <w:rFonts w:ascii="Times New Roman" w:eastAsia="Times New Roman" w:hAnsi="Times New Roman" w:cs="Times New Roman"/>
                <w:sz w:val="16"/>
                <w:szCs w:val="16"/>
                <w:lang w:eastAsia="en-GB"/>
              </w:rPr>
              <w:instrText>ADDIN CSL_CITATION {"citationItems":[{"id":"ITEM-1","itemData":{"DOI":"10.1007/s13410-013-0173-8","ISSN":"19983832","abstract":"The study compared the costs and length of hospitalization between patients with diabetes and patients without diabetes for a cross-section of patients (N = 407) discharged with cerebrovascular diseases, ophthalmic conditions, cardiovascular diseases, renal conditions, neurological diseases, and peripheral vascular diseases. A cross-sectional retrospective audit of medical records of all patients discharged from a Tertiary Hospital in Johannesburg with those conditions in December 2009 was conducted. Patients were grouped by ICD-10 codes from the hospital’s database. Medical records were analyzed to determine, the diabetes status of the patients, laboratory tests conducted, medical procedures performed, drugs prescribed, and frequency of hospitalization during the 2009 admission period. Average total hospitalization costs per patient were significantly higher for the patients with diabetes cohorts; R27,216 ± R19,476 compared to R18,185 ± R16,726 for the patients without diabetes, (P &lt; 0.00001). The average length of stay for patients with diabetes was longer, 13.04 ± 9.29 days vs. 8.86 ± 8.33 days (P &lt; 0.00001) than for patients without diabetes. Average admission rate per patient per year in 2009 was higher in the patients with diabetes; 1.8 ± 0.8 times vs. 1.5 ± 0.6 times than in patients without diabetes, (P &lt; 0.00004). Results should be used to advocate for improved diabetes prevention awareness, improved patient understanding of the reasons for strict diabetes control measures, and keen attendance in out-patient clinics to avoid unnecessary hospitalization costs.","author":[{"dropping-particle":"","family":"Ncube-Zulu","given":"Tryphine","non-dropping-particle":"","parse-names":false,"suffix":""},{"dropping-particle":"","family":"Danckwerts","given":"Michael P.","non-dropping-particle":"","parse-names":false,"suffix":""}],"container-title":"International Journal of Diabetes in Developing Countries","id":"ITEM-1","issue":"3","issued":{"date-parts":[["2014"]]},"page":"156-162","title":"Comparative hospitalization cost and length of stay between patients with and without diabetes in a large tertiary hospital in Johannesburg, South Africa","type":"article-journal","volume":"34"},"uris":["http://www.mendeley.com/documents/?uuid=0e1d91a5-0d33-4ee3-b0aa-1f75c4071e52"]}],"mendeley":{"formattedCitation":"&lt;sup&gt;12&lt;/sup&gt;","plainTextFormattedCitation":"12","previouslyFormattedCitation":"&lt;sup&gt;12&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B80B83" w:rsidRPr="00FA697F">
              <w:rPr>
                <w:rFonts w:ascii="Times New Roman" w:eastAsia="Times New Roman" w:hAnsi="Times New Roman" w:cs="Times New Roman"/>
                <w:noProof/>
                <w:sz w:val="16"/>
                <w:szCs w:val="16"/>
                <w:vertAlign w:val="superscript"/>
                <w:lang w:eastAsia="en-GB"/>
              </w:rPr>
              <w:t>12</w:t>
            </w:r>
            <w:r w:rsidR="00B80B83" w:rsidRPr="00FA697F">
              <w:rPr>
                <w:rFonts w:ascii="Times New Roman" w:eastAsia="Times New Roman" w:hAnsi="Times New Roman" w:cs="Times New Roman"/>
                <w:sz w:val="16"/>
                <w:szCs w:val="16"/>
                <w:lang w:eastAsia="en-GB"/>
              </w:rPr>
              <w:fldChar w:fldCharType="end"/>
            </w:r>
            <w:r w:rsidR="000F5A32"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2014)</w:t>
            </w:r>
          </w:p>
        </w:tc>
        <w:tc>
          <w:tcPr>
            <w:tcW w:w="1843" w:type="dxa"/>
            <w:shd w:val="clear" w:color="auto" w:fill="auto"/>
            <w:tcMar>
              <w:left w:w="57" w:type="dxa"/>
              <w:right w:w="57" w:type="dxa"/>
            </w:tcMar>
            <w:hideMark/>
          </w:tcPr>
          <w:p w14:paraId="4784465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Describe the difference in length and cost of hospitalisation between diabetic and non-diabetic patients with cerebrovascular, </w:t>
            </w:r>
            <w:proofErr w:type="spellStart"/>
            <w:r w:rsidRPr="00FA697F">
              <w:rPr>
                <w:rFonts w:ascii="Times New Roman" w:eastAsia="Times New Roman" w:hAnsi="Times New Roman" w:cs="Times New Roman"/>
                <w:sz w:val="16"/>
                <w:szCs w:val="16"/>
                <w:lang w:eastAsia="en-GB"/>
              </w:rPr>
              <w:t>opthalmic</w:t>
            </w:r>
            <w:proofErr w:type="spellEnd"/>
            <w:r w:rsidRPr="00FA697F">
              <w:rPr>
                <w:rFonts w:ascii="Times New Roman" w:eastAsia="Times New Roman" w:hAnsi="Times New Roman" w:cs="Times New Roman"/>
                <w:sz w:val="16"/>
                <w:szCs w:val="16"/>
                <w:lang w:eastAsia="en-GB"/>
              </w:rPr>
              <w:t>, cardiovascular, renal, neurological and peripheral vascular diseases</w:t>
            </w:r>
          </w:p>
        </w:tc>
        <w:tc>
          <w:tcPr>
            <w:tcW w:w="1299" w:type="dxa"/>
            <w:shd w:val="clear" w:color="auto" w:fill="auto"/>
            <w:tcMar>
              <w:left w:w="57" w:type="dxa"/>
              <w:right w:w="57" w:type="dxa"/>
            </w:tcMar>
            <w:hideMark/>
          </w:tcPr>
          <w:p w14:paraId="388A5AB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Discharged patients with; cerebrovascular diseases, ophthalmic conditions, cardiovascular diseases, renal conditions, neurological diseases, </w:t>
            </w:r>
            <w:r w:rsidR="000F5A32" w:rsidRPr="00FA697F">
              <w:rPr>
                <w:rFonts w:ascii="Times New Roman" w:eastAsia="Times New Roman" w:hAnsi="Times New Roman" w:cs="Times New Roman"/>
                <w:sz w:val="16"/>
                <w:szCs w:val="16"/>
                <w:lang w:eastAsia="en-GB"/>
              </w:rPr>
              <w:t>or peripheral</w:t>
            </w:r>
            <w:r w:rsidRPr="00FA697F">
              <w:rPr>
                <w:rFonts w:ascii="Times New Roman" w:eastAsia="Times New Roman" w:hAnsi="Times New Roman" w:cs="Times New Roman"/>
                <w:sz w:val="16"/>
                <w:szCs w:val="16"/>
                <w:lang w:eastAsia="en-GB"/>
              </w:rPr>
              <w:t xml:space="preserve"> vascular diseases; tertiary hospital</w:t>
            </w:r>
          </w:p>
        </w:tc>
        <w:tc>
          <w:tcPr>
            <w:tcW w:w="1017" w:type="dxa"/>
            <w:shd w:val="clear" w:color="auto" w:fill="auto"/>
            <w:tcMar>
              <w:left w:w="57" w:type="dxa"/>
              <w:right w:w="57" w:type="dxa"/>
            </w:tcMar>
            <w:hideMark/>
          </w:tcPr>
          <w:p w14:paraId="2EC69DF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14A68F6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cost, ingredients approach</w:t>
            </w:r>
          </w:p>
        </w:tc>
        <w:tc>
          <w:tcPr>
            <w:tcW w:w="1011" w:type="dxa"/>
            <w:shd w:val="clear" w:color="auto" w:fill="auto"/>
            <w:tcMar>
              <w:left w:w="57" w:type="dxa"/>
              <w:right w:w="57" w:type="dxa"/>
            </w:tcMar>
            <w:hideMark/>
          </w:tcPr>
          <w:p w14:paraId="54D9371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2009</w:t>
            </w:r>
          </w:p>
        </w:tc>
        <w:tc>
          <w:tcPr>
            <w:tcW w:w="2146" w:type="dxa"/>
            <w:shd w:val="clear" w:color="auto" w:fill="auto"/>
            <w:tcMar>
              <w:left w:w="57" w:type="dxa"/>
              <w:right w:w="57" w:type="dxa"/>
            </w:tcMar>
            <w:hideMark/>
          </w:tcPr>
          <w:p w14:paraId="2C2450AB"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renal disease</w:t>
            </w:r>
            <w:r w:rsidRPr="00FA697F">
              <w:rPr>
                <w:rFonts w:ascii="Times New Roman" w:eastAsia="Times New Roman" w:hAnsi="Times New Roman" w:cs="Times New Roman"/>
                <w:sz w:val="16"/>
                <w:szCs w:val="16"/>
                <w:lang w:eastAsia="en-GB"/>
              </w:rPr>
              <w:br/>
              <w:t>Patients with diabetes: $3,585</w:t>
            </w:r>
            <w:r w:rsidRPr="00FA697F">
              <w:rPr>
                <w:rFonts w:ascii="Times New Roman" w:eastAsia="Times New Roman" w:hAnsi="Times New Roman" w:cs="Times New Roman"/>
                <w:sz w:val="16"/>
                <w:szCs w:val="16"/>
                <w:lang w:eastAsia="en-GB"/>
              </w:rPr>
              <w:br/>
              <w:t>Patients without diabetes: $1,898</w:t>
            </w:r>
          </w:p>
          <w:p w14:paraId="083770A3" w14:textId="6306417B"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51E8DFC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SD</w:t>
            </w:r>
            <w:r w:rsidRPr="00FA697F">
              <w:rPr>
                <w:rFonts w:ascii="Times New Roman" w:eastAsia="Times New Roman" w:hAnsi="Times New Roman" w:cs="Times New Roman"/>
                <w:sz w:val="16"/>
                <w:szCs w:val="16"/>
                <w:lang w:eastAsia="en-GB"/>
              </w:rPr>
              <w:br/>
              <w:t>$1,535 - $5,635</w:t>
            </w:r>
            <w:r w:rsidRPr="00FA697F">
              <w:rPr>
                <w:rFonts w:ascii="Times New Roman" w:eastAsia="Times New Roman" w:hAnsi="Times New Roman" w:cs="Times New Roman"/>
                <w:sz w:val="16"/>
                <w:szCs w:val="16"/>
                <w:lang w:eastAsia="en-GB"/>
              </w:rPr>
              <w:br/>
              <w:t>$191 - $3,605</w:t>
            </w:r>
          </w:p>
        </w:tc>
        <w:tc>
          <w:tcPr>
            <w:tcW w:w="260" w:type="dxa"/>
            <w:shd w:val="clear" w:color="auto" w:fill="auto"/>
            <w:tcMar>
              <w:left w:w="57" w:type="dxa"/>
              <w:right w:w="57" w:type="dxa"/>
            </w:tcMar>
            <w:hideMark/>
          </w:tcPr>
          <w:p w14:paraId="6DDCADF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60B38D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7918FF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64CBF1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94C80D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6F7B8F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8805F3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FD14EF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BD03ED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F078C6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FA2449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1F2DB098"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03280D7B" w14:textId="77777777" w:rsidTr="00115C53">
        <w:trPr>
          <w:trHeight w:val="1440"/>
        </w:trPr>
        <w:tc>
          <w:tcPr>
            <w:tcW w:w="431" w:type="dxa"/>
            <w:shd w:val="clear" w:color="auto" w:fill="auto"/>
            <w:tcMar>
              <w:left w:w="57" w:type="dxa"/>
              <w:right w:w="57" w:type="dxa"/>
            </w:tcMar>
            <w:hideMark/>
          </w:tcPr>
          <w:p w14:paraId="41747AA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8</w:t>
            </w:r>
          </w:p>
        </w:tc>
        <w:tc>
          <w:tcPr>
            <w:tcW w:w="982" w:type="dxa"/>
            <w:shd w:val="clear" w:color="auto" w:fill="auto"/>
            <w:tcMar>
              <w:left w:w="57" w:type="dxa"/>
              <w:right w:w="57" w:type="dxa"/>
            </w:tcMar>
            <w:hideMark/>
          </w:tcPr>
          <w:p w14:paraId="2C91EFD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Basu</w:t>
            </w:r>
            <w:r w:rsidR="00B80B83" w:rsidRPr="00FA697F">
              <w:rPr>
                <w:rFonts w:ascii="Times New Roman" w:eastAsia="Times New Roman" w:hAnsi="Times New Roman" w:cs="Times New Roman"/>
                <w:sz w:val="16"/>
                <w:szCs w:val="16"/>
                <w:lang w:eastAsia="en-GB"/>
              </w:rPr>
              <w:fldChar w:fldCharType="begin" w:fldLock="1"/>
            </w:r>
            <w:r w:rsidR="00556188" w:rsidRPr="00FA697F">
              <w:rPr>
                <w:rFonts w:ascii="Times New Roman" w:eastAsia="Times New Roman" w:hAnsi="Times New Roman" w:cs="Times New Roman"/>
                <w:sz w:val="16"/>
                <w:szCs w:val="16"/>
                <w:lang w:eastAsia="en-GB"/>
              </w:rPr>
              <w:instrText>ADDIN CSL_CITATION {"citationItems":[{"id":"ITEM-1","itemData":{"DOI":"10.1016/S2214-109X(18)30450-9","ISSN":"2214-109X (Electronic)","PMID":"30528531","abstract":"BACKGROUND: Cardiovascular diseases and their risk factors-particularly hypertension, dyslipidaemia, and diabetes-have become an increasing concern for middle-income countries. Using newly available, nationally representative data, we assessed how cardiovascular risk factors are distributed across subpopulations within South Africa and identified which cardiovascular treatments should be prioritised. METHODS: We created a demographically representative simulated population for South Africa and used data from 17 743 respondents aged 15 years or older of the 2012 South African National Health and Nutrition Examination Survey (SANHANES) to assign information on cardiovascular risk factors to each member of the simulated population. We created a microsimulation model to estimate the health and economic implications of two globally recognised treatment recommendations: WHO's package of essential non-communicable disease interventions (PEN) and South Africa's Primary Care 101 (SA PC 101) guidelines. The primary outcome was total disability-adjusted life-years (DALYs) averted through treatment of all cardiovascular disease or microvascular type 2 diabetes complications per 1000 population. We compared outcomes at the aspirational level of achieving access to treatment among 70% of the population. FINDINGS: Based on the SANHANES data, South Africans had a high prevalence of hypertension (24·8%), dyslipidaemia (17·5%), and diabetes (15·3%). Prevalence was disproportionately high and treatment low among male, black, and poor populations. Our simulated population experienced a burden of 40·0 DALYs (95% CI 29·5-52·0) per 1000 population per year from cardiovascular disease or type 2 diabetes complications at current treatment levels, which lowered to 32·9 DALYs (24·4-44·7) under WHO PEN implementation and to 32·5 (24·4-44·8) under SA PC 101 implementation. Under both guidelines, there were increases in blood pressure treatment (4·2 percentage points under WHO PEN vs 12·6 percentage points under SA PC 101), lipid treatment (16·0 vs 14·9), and glucose control medications (1·2 vs 0·6). The incremental cost-effectiveness of implementing SA PC 101 over current treatment would be a saving of US$24 902 (95% CI 14 666-62 579) per DALY averted compared with a saving of $17 587 (1840-42 589) under WHO PEN guidelines. INTERPRETATION: Cardiovascular risk factors are common and disproportionate among disadvantaged populations in South Africa. Treatment with blood pressure agent…","author":[{"dropping-particle":"","family":"Basu","given":"Sanjay","non-dropping-particle":"","parse-names":false,"suffix":""},{"dropping-particle":"","family":"Wagner","given":"Ryan G","non-dropping-particle":"","parse-names":false,"suffix":""},{"dropping-particle":"","family":"Sewpaul","given":"Ronel","non-dropping-particle":"","parse-names":false,"suffix":""},{"dropping-particle":"","family":"Reddy","given":"Priscilla","non-dropping-particle":"","parse-names":false,"suffix":""},{"dropping-particle":"","family":"Davies","given":"Justine","non-dropping-particle":"","parse-names":false,"suffix":""}],"container-title":"The Lancet. Global health","id":"ITEM-1","issue":"2","issued":{"date-parts":[["2019","2"]]},"language":"eng","page":"e270-e280","publisher-place":"England","title":"Implications of scaling up cardiovascular disease treatment in South Africa: a microsimulation and cost-effectiveness analysis.","type":"article-journal","volume":"7"},"uris":["http://www.mendeley.com/documents/?uuid=d18f6456-3b63-4234-b66d-4aecb0aad094"]}],"mendeley":{"formattedCitation":"&lt;sup&gt;8&lt;/sup&gt;","plainTextFormattedCitation":"8","previouslyFormattedCitation":"&lt;sup&gt;8&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42389E" w:rsidRPr="00FA697F">
              <w:rPr>
                <w:rFonts w:ascii="Times New Roman" w:eastAsia="Times New Roman" w:hAnsi="Times New Roman" w:cs="Times New Roman"/>
                <w:noProof/>
                <w:sz w:val="16"/>
                <w:szCs w:val="16"/>
                <w:vertAlign w:val="superscript"/>
                <w:lang w:eastAsia="en-GB"/>
              </w:rPr>
              <w:t>8</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75AA29F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economic implications of treatment scale-up under two alternative guidelines</w:t>
            </w:r>
          </w:p>
        </w:tc>
        <w:tc>
          <w:tcPr>
            <w:tcW w:w="1299" w:type="dxa"/>
            <w:shd w:val="clear" w:color="auto" w:fill="auto"/>
            <w:tcMar>
              <w:left w:w="57" w:type="dxa"/>
              <w:right w:w="57" w:type="dxa"/>
            </w:tcMar>
            <w:hideMark/>
          </w:tcPr>
          <w:p w14:paraId="1C1A0C4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with data available on cardiovascular risk factors; PHC &amp; hospital</w:t>
            </w:r>
          </w:p>
        </w:tc>
        <w:tc>
          <w:tcPr>
            <w:tcW w:w="1017" w:type="dxa"/>
            <w:shd w:val="clear" w:color="auto" w:fill="auto"/>
            <w:tcMar>
              <w:left w:w="57" w:type="dxa"/>
              <w:right w:w="57" w:type="dxa"/>
            </w:tcMar>
            <w:hideMark/>
          </w:tcPr>
          <w:p w14:paraId="2E54F3C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0C17FA4C"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0EE9FE8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41D5DDAD" w14:textId="1458F625"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renal failure or end-stage renal disease</w:t>
            </w:r>
            <w:r w:rsidRPr="00FA697F">
              <w:rPr>
                <w:rFonts w:ascii="Times New Roman" w:eastAsia="Times New Roman" w:hAnsi="Times New Roman" w:cs="Times New Roman"/>
                <w:sz w:val="16"/>
                <w:szCs w:val="16"/>
                <w:lang w:eastAsia="en-GB"/>
              </w:rPr>
              <w:br/>
              <w:t>A/</w:t>
            </w:r>
            <w:r w:rsidR="000F5A32" w:rsidRPr="00FA697F">
              <w:rPr>
                <w:rFonts w:ascii="Times New Roman" w:eastAsia="Times New Roman" w:hAnsi="Times New Roman" w:cs="Times New Roman"/>
                <w:sz w:val="16"/>
                <w:szCs w:val="16"/>
                <w:lang w:eastAsia="en-GB"/>
              </w:rPr>
              <w:t>V fistula</w:t>
            </w:r>
            <w:r w:rsidRPr="00FA697F">
              <w:rPr>
                <w:rFonts w:ascii="Times New Roman" w:eastAsia="Times New Roman" w:hAnsi="Times New Roman" w:cs="Times New Roman"/>
                <w:sz w:val="16"/>
                <w:szCs w:val="16"/>
                <w:lang w:eastAsia="en-GB"/>
              </w:rPr>
              <w:t xml:space="preserve"> surgery: $425 (once</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off)</w:t>
            </w:r>
            <w:r w:rsidRPr="00FA697F">
              <w:rPr>
                <w:rFonts w:ascii="Times New Roman" w:eastAsia="Times New Roman" w:hAnsi="Times New Roman" w:cs="Times New Roman"/>
                <w:sz w:val="16"/>
                <w:szCs w:val="16"/>
                <w:lang w:eastAsia="en-GB"/>
              </w:rPr>
              <w:br/>
              <w:t>Haemodialysis: $14,635</w:t>
            </w:r>
            <w:r w:rsidRPr="00FA697F">
              <w:rPr>
                <w:rFonts w:ascii="Times New Roman" w:eastAsia="Times New Roman" w:hAnsi="Times New Roman" w:cs="Times New Roman"/>
                <w:sz w:val="16"/>
                <w:szCs w:val="16"/>
                <w:lang w:eastAsia="en-GB"/>
              </w:rPr>
              <w:br/>
              <w:t>Physician visits &amp; labs: $275</w:t>
            </w:r>
            <w:r w:rsidRPr="00FA697F">
              <w:rPr>
                <w:rFonts w:ascii="Times New Roman" w:eastAsia="Times New Roman" w:hAnsi="Times New Roman" w:cs="Times New Roman"/>
                <w:sz w:val="16"/>
                <w:szCs w:val="16"/>
                <w:lang w:eastAsia="en-GB"/>
              </w:rPr>
              <w:b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44A619E1" w14:textId="77777777" w:rsidR="00112353" w:rsidRPr="00FA697F" w:rsidRDefault="00112353" w:rsidP="00112353">
            <w:pPr>
              <w:spacing w:after="0" w:line="240" w:lineRule="auto"/>
              <w:rPr>
                <w:rFonts w:ascii="Times New Roman" w:eastAsia="Times New Roman" w:hAnsi="Times New Roman" w:cs="Times New Roman"/>
                <w:i/>
                <w:iCs/>
                <w:sz w:val="16"/>
                <w:szCs w:val="16"/>
                <w:lang w:eastAsia="en-GB"/>
              </w:rPr>
            </w:pPr>
            <w:r w:rsidRPr="00FA697F">
              <w:rPr>
                <w:rFonts w:ascii="Times New Roman" w:eastAsia="Times New Roman" w:hAnsi="Times New Roman" w:cs="Times New Roman"/>
                <w:i/>
                <w:iCs/>
                <w:sz w:val="16"/>
                <w:szCs w:val="16"/>
                <w:lang w:eastAsia="en-GB"/>
              </w:rPr>
              <w:t>N/A</w:t>
            </w:r>
          </w:p>
        </w:tc>
        <w:tc>
          <w:tcPr>
            <w:tcW w:w="260" w:type="dxa"/>
            <w:shd w:val="clear" w:color="auto" w:fill="auto"/>
            <w:tcMar>
              <w:left w:w="57" w:type="dxa"/>
              <w:right w:w="57" w:type="dxa"/>
            </w:tcMar>
            <w:hideMark/>
          </w:tcPr>
          <w:p w14:paraId="333B9306" w14:textId="77777777" w:rsidR="00112353" w:rsidRPr="00FA697F" w:rsidRDefault="00112353" w:rsidP="00112353">
            <w:pPr>
              <w:spacing w:after="0" w:line="240" w:lineRule="auto"/>
              <w:rPr>
                <w:rFonts w:ascii="Times New Roman" w:eastAsia="Times New Roman" w:hAnsi="Times New Roman" w:cs="Times New Roman"/>
                <w:i/>
                <w:iCs/>
                <w:sz w:val="16"/>
                <w:szCs w:val="16"/>
                <w:lang w:eastAsia="en-GB"/>
              </w:rPr>
            </w:pPr>
          </w:p>
        </w:tc>
        <w:tc>
          <w:tcPr>
            <w:tcW w:w="294" w:type="dxa"/>
            <w:shd w:val="clear" w:color="auto" w:fill="auto"/>
            <w:tcMar>
              <w:left w:w="57" w:type="dxa"/>
              <w:right w:w="57" w:type="dxa"/>
            </w:tcMar>
            <w:hideMark/>
          </w:tcPr>
          <w:p w14:paraId="0F840F3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847A59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FA9579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E91463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63FA57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2BAA46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D41369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9D91E4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96B130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BC51AC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13A02E97"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AV fistula surgery &amp; h</w:t>
            </w:r>
            <w:r w:rsidR="00B66223" w:rsidRPr="00FA697F">
              <w:rPr>
                <w:rFonts w:ascii="Times New Roman" w:eastAsia="Times New Roman" w:hAnsi="Times New Roman" w:cs="Times New Roman"/>
                <w:sz w:val="16"/>
                <w:szCs w:val="16"/>
                <w:lang w:eastAsia="en-GB"/>
              </w:rPr>
              <w:t>a</w:t>
            </w:r>
            <w:r w:rsidRPr="00FA697F">
              <w:rPr>
                <w:rFonts w:ascii="Times New Roman" w:eastAsia="Times New Roman" w:hAnsi="Times New Roman" w:cs="Times New Roman"/>
                <w:sz w:val="16"/>
                <w:szCs w:val="16"/>
                <w:lang w:eastAsia="en-GB"/>
              </w:rPr>
              <w:t>emodialysis</w:t>
            </w:r>
          </w:p>
        </w:tc>
      </w:tr>
      <w:tr w:rsidR="003C76E8" w:rsidRPr="00FA697F" w14:paraId="7D476558" w14:textId="77777777" w:rsidTr="00115C53">
        <w:trPr>
          <w:trHeight w:val="698"/>
        </w:trPr>
        <w:tc>
          <w:tcPr>
            <w:tcW w:w="431" w:type="dxa"/>
            <w:vMerge w:val="restart"/>
            <w:shd w:val="clear" w:color="auto" w:fill="auto"/>
            <w:tcMar>
              <w:left w:w="57" w:type="dxa"/>
              <w:right w:w="57" w:type="dxa"/>
            </w:tcMar>
            <w:hideMark/>
          </w:tcPr>
          <w:p w14:paraId="3299EB1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11</w:t>
            </w:r>
          </w:p>
        </w:tc>
        <w:tc>
          <w:tcPr>
            <w:tcW w:w="982" w:type="dxa"/>
            <w:vMerge w:val="restart"/>
            <w:shd w:val="clear" w:color="auto" w:fill="auto"/>
            <w:tcMar>
              <w:left w:w="57" w:type="dxa"/>
              <w:right w:w="57" w:type="dxa"/>
            </w:tcMar>
            <w:hideMark/>
          </w:tcPr>
          <w:p w14:paraId="55DDCA0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Erzse</w:t>
            </w:r>
            <w:r w:rsidR="00B80B83" w:rsidRPr="00FA697F">
              <w:rPr>
                <w:rFonts w:ascii="Times New Roman" w:eastAsia="Times New Roman" w:hAnsi="Times New Roman" w:cs="Times New Roman"/>
                <w:sz w:val="16"/>
                <w:szCs w:val="16"/>
                <w:lang w:eastAsia="en-GB"/>
              </w:rPr>
              <w:fldChar w:fldCharType="begin" w:fldLock="1"/>
            </w:r>
            <w:r w:rsidR="00B80B83" w:rsidRPr="00FA697F">
              <w:rPr>
                <w:rFonts w:ascii="Times New Roman" w:eastAsia="Times New Roman" w:hAnsi="Times New Roman" w:cs="Times New Roman"/>
                <w:sz w:val="16"/>
                <w:szCs w:val="16"/>
                <w:lang w:eastAsia="en-GB"/>
              </w:rPr>
              <w:instrText>ADDIN CSL_CITATION {"citationItems":[{"id":"ITEM-1","itemData":{"DOI":"10.1080/16549716.2019.1636611","ISSN":"16549880","PMID":"31282315","abstract":"Background: Type 2 diabetes mellitus (T2DM) is known to require continuous clinical care and management that consumes significant health-care resources. These costs are not well understood, particularly in low- and middle-income countries. Objective: The aim of this study was to estimate the direct medical costs associated with T2DM in the South African public health sector and to project an estimate of the future direct costs of T2DM by 2030. Methods: A cost of illness study was conducted to estimate the direct medical costs of T2DM in South Africa in 2018 and to make projections for potential costs in 2030. Costs were estimated for diagnosis and management of T2DM, and related complications. Analyses were implemented in Microsoft Excel, with sensitivity analysis conducted on particular parameters. Results: In 2018, public sector costs of diagnosed T2DM patients were approximately ZAR 2.7 bn and ZAR 21.8 bn if both diagnosed and undiagnosed patients are considered. In real terms, the 2030 cost of all T2DM cases is estimated to be ZAR 35.1 bn. Approximately 51% of these estimated costs for 2030 are attributable to the management of T2DM, and 49% are attributable to complications. Conclusion: T2DM imposes a significant financial burden on the public healthcare system in South Africa. Treatment of all prevalent cases would incur a cost equivalent to approximately 12% of the total national health budget in 2018. With rising prevalence, direct costs will grow if current care regimes are maintained and case-finding improved. Increased financial resources are necessary in order to deliver effective services to people with T2DM.","author":[{"dropping-particle":"","family":"Erzse","given":"Agnes","non-dropping-particle":"","parse-names":false,"suffix":""},{"dropping-particle":"","family":"Stacey","given":"Nicholas","non-dropping-particle":"","parse-names":false,"suffix":""},{"dropping-particle":"","family":"Chola","given":"Lumbwe","non-dropping-particle":"","parse-names":false,"suffix":""},{"dropping-particle":"","family":"Tugendhaft","given":"Aviva","non-dropping-particle":"","parse-names":false,"suffix":""},{"dropping-particle":"","family":"Freeman","given":"Melvyn","non-dropping-particle":"","parse-names":false,"suffix":""},{"dropping-particle":"","family":"Hofman","given":"Karen","non-dropping-particle":"","parse-names":false,"suffix":""}],"container-title":"Global Health Action","id":"ITEM-1","issue":"1","issued":{"date-parts":[["2019"]]},"page":"1-9","title":"The direct medical cost of type 2 diabetes mellitus in South Africa: a cost of illness study","type":"article-journal","volume":"12"},"uris":["http://www.mendeley.com/documents/?uuid=c3d8c560-9c19-4b84-9be5-8bfe99d443ce"]}],"mendeley":{"formattedCitation":"&lt;sup&gt;11&lt;/sup&gt;","plainTextFormattedCitation":"11","previouslyFormattedCitation":"&lt;sup&gt;11&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B80B83" w:rsidRPr="00FA697F">
              <w:rPr>
                <w:rFonts w:ascii="Times New Roman" w:eastAsia="Times New Roman" w:hAnsi="Times New Roman" w:cs="Times New Roman"/>
                <w:noProof/>
                <w:sz w:val="16"/>
                <w:szCs w:val="16"/>
                <w:vertAlign w:val="superscript"/>
                <w:lang w:eastAsia="en-GB"/>
              </w:rPr>
              <w:t>11</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vMerge w:val="restart"/>
            <w:shd w:val="clear" w:color="auto" w:fill="auto"/>
            <w:tcMar>
              <w:left w:w="57" w:type="dxa"/>
              <w:right w:w="57" w:type="dxa"/>
            </w:tcMar>
            <w:hideMark/>
          </w:tcPr>
          <w:p w14:paraId="389C16C8" w14:textId="2C0CF051"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w:t>
            </w:r>
            <w:r w:rsidR="00DA0AFD"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 xml:space="preserve">direct medical costs associated with type 2 diabetes mellitus </w:t>
            </w:r>
          </w:p>
        </w:tc>
        <w:tc>
          <w:tcPr>
            <w:tcW w:w="1299" w:type="dxa"/>
            <w:vMerge w:val="restart"/>
            <w:shd w:val="clear" w:color="auto" w:fill="auto"/>
            <w:tcMar>
              <w:left w:w="57" w:type="dxa"/>
              <w:right w:w="57" w:type="dxa"/>
            </w:tcMar>
            <w:hideMark/>
          </w:tcPr>
          <w:p w14:paraId="5722BEE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hospital</w:t>
            </w:r>
          </w:p>
        </w:tc>
        <w:tc>
          <w:tcPr>
            <w:tcW w:w="1017" w:type="dxa"/>
            <w:vMerge w:val="restart"/>
            <w:shd w:val="clear" w:color="auto" w:fill="auto"/>
            <w:tcMar>
              <w:left w:w="57" w:type="dxa"/>
              <w:right w:w="57" w:type="dxa"/>
            </w:tcMar>
            <w:hideMark/>
          </w:tcPr>
          <w:p w14:paraId="6B01E83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vMerge w:val="restart"/>
            <w:shd w:val="clear" w:color="auto" w:fill="auto"/>
            <w:tcMar>
              <w:left w:w="57" w:type="dxa"/>
              <w:right w:w="57" w:type="dxa"/>
            </w:tcMar>
            <w:hideMark/>
          </w:tcPr>
          <w:p w14:paraId="4335CF48"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vMerge w:val="restart"/>
            <w:shd w:val="clear" w:color="auto" w:fill="auto"/>
            <w:tcMar>
              <w:left w:w="57" w:type="dxa"/>
              <w:right w:w="57" w:type="dxa"/>
            </w:tcMar>
            <w:hideMark/>
          </w:tcPr>
          <w:p w14:paraId="025DE69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6763AB68" w14:textId="5A0837AF"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Renal imaging: $146</w:t>
            </w:r>
            <w:r w:rsidRPr="00FA697F">
              <w:rPr>
                <w:rFonts w:ascii="Times New Roman" w:eastAsia="Times New Roman" w:hAnsi="Times New Roman" w:cs="Times New Roman"/>
                <w:sz w:val="16"/>
                <w:szCs w:val="16"/>
                <w:lang w:eastAsia="en-GB"/>
              </w:rPr>
              <w:b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75B3A75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0827E7C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DF2E30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9FB7BE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FCDEF9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A6C578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967C05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C49EC8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B0479C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5C05C4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FA0BDE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4A1090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50E506EC"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Imaging</w:t>
            </w:r>
          </w:p>
        </w:tc>
      </w:tr>
      <w:tr w:rsidR="003C76E8" w:rsidRPr="00FA697F" w14:paraId="551E6AEC" w14:textId="77777777" w:rsidTr="00115C53">
        <w:trPr>
          <w:trHeight w:val="567"/>
        </w:trPr>
        <w:tc>
          <w:tcPr>
            <w:tcW w:w="431" w:type="dxa"/>
            <w:vMerge/>
            <w:tcMar>
              <w:left w:w="57" w:type="dxa"/>
              <w:right w:w="57" w:type="dxa"/>
            </w:tcMar>
            <w:vAlign w:val="center"/>
            <w:hideMark/>
          </w:tcPr>
          <w:p w14:paraId="3707EA7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45BA96B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2233FEB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3FC0447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4E10799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6914FA8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64DB1B9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44BEBCA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Renal biopsy: $33</w:t>
            </w:r>
            <w:r w:rsidRPr="00FA697F">
              <w:rPr>
                <w:rFonts w:ascii="Times New Roman" w:eastAsia="Times New Roman" w:hAnsi="Times New Roman" w:cs="Times New Roman"/>
                <w:sz w:val="16"/>
                <w:szCs w:val="16"/>
                <w:lang w:eastAsia="en-GB"/>
              </w:rPr>
              <w:br/>
              <w:t>per kidney</w:t>
            </w:r>
          </w:p>
        </w:tc>
        <w:tc>
          <w:tcPr>
            <w:tcW w:w="1051" w:type="dxa"/>
            <w:shd w:val="clear" w:color="auto" w:fill="auto"/>
            <w:tcMar>
              <w:left w:w="57" w:type="dxa"/>
              <w:right w:w="57" w:type="dxa"/>
            </w:tcMar>
            <w:hideMark/>
          </w:tcPr>
          <w:p w14:paraId="64577CF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0B6157E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076531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65F9F0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D65D14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61A479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938570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1704B3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C0341D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402D24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B4954C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745C9C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2B5ACAAF"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Biopsy</w:t>
            </w:r>
          </w:p>
        </w:tc>
      </w:tr>
      <w:tr w:rsidR="003C76E8" w:rsidRPr="00FA697F" w14:paraId="495735B8" w14:textId="77777777" w:rsidTr="00115C53">
        <w:trPr>
          <w:trHeight w:val="732"/>
        </w:trPr>
        <w:tc>
          <w:tcPr>
            <w:tcW w:w="431" w:type="dxa"/>
            <w:vMerge/>
            <w:tcMar>
              <w:left w:w="57" w:type="dxa"/>
              <w:right w:w="57" w:type="dxa"/>
            </w:tcMar>
            <w:vAlign w:val="center"/>
            <w:hideMark/>
          </w:tcPr>
          <w:p w14:paraId="0AF8C74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0502166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3C227A4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11BA089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28E7E93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63EB89F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5E18F3D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7E506064" w14:textId="12A70239"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Haemodialysis: $25,193</w:t>
            </w:r>
            <w:r w:rsidRPr="00FA697F">
              <w:rPr>
                <w:rFonts w:ascii="Times New Roman" w:eastAsia="Times New Roman" w:hAnsi="Times New Roman" w:cs="Times New Roman"/>
                <w:sz w:val="16"/>
                <w:szCs w:val="16"/>
                <w:lang w:eastAsia="en-GB"/>
              </w:rPr>
              <w:b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6C8EC6E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3C70649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ED0511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8C2F34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9FCFA6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91E75E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09D821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593C90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192E48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B5625F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2FAAE8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6061CF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3391810D" w14:textId="77777777" w:rsidR="00443E91" w:rsidRPr="00FA697F" w:rsidRDefault="00112353" w:rsidP="00B66223">
            <w:pPr>
              <w:spacing w:after="0" w:line="240" w:lineRule="auto"/>
              <w:jc w:val="center"/>
              <w:rPr>
                <w:rFonts w:ascii="Times New Roman" w:eastAsia="Times New Roman" w:hAnsi="Times New Roman" w:cs="Times New Roman"/>
                <w:sz w:val="16"/>
                <w:szCs w:val="16"/>
                <w:lang w:eastAsia="en-GB"/>
              </w:rPr>
            </w:pPr>
            <w:proofErr w:type="spellStart"/>
            <w:r w:rsidRPr="00FA697F">
              <w:rPr>
                <w:rFonts w:ascii="Times New Roman" w:eastAsia="Times New Roman" w:hAnsi="Times New Roman" w:cs="Times New Roman"/>
                <w:sz w:val="16"/>
                <w:szCs w:val="16"/>
                <w:lang w:eastAsia="en-GB"/>
              </w:rPr>
              <w:t>Haemo</w:t>
            </w:r>
            <w:proofErr w:type="spellEnd"/>
            <w:r w:rsidR="00443E91" w:rsidRPr="00FA697F">
              <w:rPr>
                <w:rFonts w:ascii="Times New Roman" w:eastAsia="Times New Roman" w:hAnsi="Times New Roman" w:cs="Times New Roman"/>
                <w:sz w:val="16"/>
                <w:szCs w:val="16"/>
                <w:lang w:eastAsia="en-GB"/>
              </w:rPr>
              <w:t>-</w:t>
            </w:r>
          </w:p>
          <w:p w14:paraId="7010A357"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dialysis sessions</w:t>
            </w:r>
          </w:p>
        </w:tc>
      </w:tr>
      <w:tr w:rsidR="003C76E8" w:rsidRPr="00FA697F" w14:paraId="7AEDEA73" w14:textId="77777777" w:rsidTr="00115C53">
        <w:trPr>
          <w:trHeight w:val="288"/>
        </w:trPr>
        <w:tc>
          <w:tcPr>
            <w:tcW w:w="14967" w:type="dxa"/>
            <w:gridSpan w:val="21"/>
            <w:shd w:val="clear" w:color="auto" w:fill="auto"/>
            <w:tcMar>
              <w:left w:w="57" w:type="dxa"/>
              <w:right w:w="57" w:type="dxa"/>
            </w:tcMar>
            <w:hideMark/>
          </w:tcPr>
          <w:p w14:paraId="31B4AA16" w14:textId="5A6DAE41" w:rsidR="00112353" w:rsidRPr="00FA697F" w:rsidRDefault="00112353" w:rsidP="006A456C">
            <w:pPr>
              <w:spacing w:after="0" w:line="240" w:lineRule="auto"/>
              <w:rPr>
                <w:rFonts w:ascii="Times New Roman" w:eastAsia="Times New Roman" w:hAnsi="Times New Roman" w:cs="Times New Roman"/>
                <w:b/>
                <w:bCs/>
                <w:iCs/>
                <w:sz w:val="16"/>
                <w:szCs w:val="16"/>
                <w:lang w:eastAsia="en-GB"/>
              </w:rPr>
            </w:pPr>
            <w:r w:rsidRPr="00FA697F">
              <w:rPr>
                <w:rFonts w:ascii="Times New Roman" w:eastAsia="Times New Roman" w:hAnsi="Times New Roman" w:cs="Times New Roman"/>
                <w:b/>
                <w:bCs/>
                <w:iCs/>
                <w:sz w:val="16"/>
                <w:szCs w:val="16"/>
                <w:lang w:eastAsia="en-GB"/>
              </w:rPr>
              <w:t>Treatment of diabetes</w:t>
            </w:r>
            <w:r w:rsidR="00DA0AFD" w:rsidRPr="00FA697F">
              <w:rPr>
                <w:rFonts w:ascii="Times New Roman" w:eastAsia="Times New Roman" w:hAnsi="Times New Roman" w:cs="Times New Roman"/>
                <w:b/>
                <w:bCs/>
                <w:iCs/>
                <w:sz w:val="16"/>
                <w:szCs w:val="16"/>
                <w:lang w:eastAsia="en-GB"/>
              </w:rPr>
              <w:t>-</w:t>
            </w:r>
            <w:r w:rsidRPr="00FA697F">
              <w:rPr>
                <w:rFonts w:ascii="Times New Roman" w:eastAsia="Times New Roman" w:hAnsi="Times New Roman" w:cs="Times New Roman"/>
                <w:b/>
                <w:bCs/>
                <w:iCs/>
                <w:sz w:val="16"/>
                <w:szCs w:val="16"/>
                <w:lang w:eastAsia="en-GB"/>
              </w:rPr>
              <w:t>related eye-conditions</w:t>
            </w:r>
          </w:p>
        </w:tc>
      </w:tr>
      <w:tr w:rsidR="003C76E8" w:rsidRPr="00FA697F" w14:paraId="1C67D1BF" w14:textId="77777777" w:rsidTr="00115C53">
        <w:trPr>
          <w:trHeight w:val="2016"/>
        </w:trPr>
        <w:tc>
          <w:tcPr>
            <w:tcW w:w="431" w:type="dxa"/>
            <w:shd w:val="clear" w:color="auto" w:fill="auto"/>
            <w:tcMar>
              <w:left w:w="57" w:type="dxa"/>
              <w:right w:w="57" w:type="dxa"/>
            </w:tcMar>
            <w:hideMark/>
          </w:tcPr>
          <w:p w14:paraId="1448438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13</w:t>
            </w:r>
          </w:p>
        </w:tc>
        <w:tc>
          <w:tcPr>
            <w:tcW w:w="982" w:type="dxa"/>
            <w:shd w:val="clear" w:color="auto" w:fill="auto"/>
            <w:tcMar>
              <w:left w:w="57" w:type="dxa"/>
              <w:right w:w="57" w:type="dxa"/>
            </w:tcMar>
            <w:hideMark/>
          </w:tcPr>
          <w:p w14:paraId="33534E5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Joannou</w:t>
            </w:r>
            <w:r w:rsidR="00B80B83" w:rsidRPr="00FA697F">
              <w:rPr>
                <w:rFonts w:ascii="Times New Roman" w:eastAsia="Times New Roman" w:hAnsi="Times New Roman" w:cs="Times New Roman"/>
                <w:sz w:val="16"/>
                <w:szCs w:val="16"/>
                <w:lang w:eastAsia="en-GB"/>
              </w:rPr>
              <w:fldChar w:fldCharType="begin" w:fldLock="1"/>
            </w:r>
            <w:r w:rsidR="00556188" w:rsidRPr="00FA697F">
              <w:rPr>
                <w:rFonts w:ascii="Times New Roman" w:eastAsia="Times New Roman" w:hAnsi="Times New Roman" w:cs="Times New Roman"/>
                <w:sz w:val="16"/>
                <w:szCs w:val="16"/>
                <w:lang w:eastAsia="en-GB"/>
              </w:rPr>
              <w:instrText>ADDIN CSL_CITATION {"citationItems":[{"id":"ITEM-1","itemData":{"DOI":"10.1046/j.1365-2796.1996.413755000.x","ISSN":"09546820","PMID":"8551199","abstract":"Objectives. Comparison of 60° mydriatic retinal photography, in screening for diabetic retinopathy, with diabetes clinic doctors, formal ophthalmological assessment, and with one or two 45° fields. Design. Consecutive subjects screened by clinicians and photography, and selected eyes evaluated by an ophthalmologist. Randomized photographs assessed through one or two 45° fields (by masking the slides), and at 60°. Setting. The first 663 patients attending for routine clinic visits and screened for retinopathy. Main outcome measures. The relative diagnostic sensitivity of screening methods, the utility of screening one eye only, and the costs of photographic screening. Results. Compared to an ophthalmologist's assessment, retinal photography had a sensitivity of 93% and a specificity of 89% for any retinopathy, and 100 and 75%, respectively, for severe retinopathy. Photography detected 28% more retinopathy (16% severe) than the clinicians. Compared to a 60° field, one 45° field missed 31%, and 2 x 45° fields 11% of retinopathy. Of 57 patients with retinopathy meeting referral criteria, 31 pairs of eyes had substantially discordant scores. The cost of diagnosis in a patient requiring referral to ophthalmologist was about US$ 37.00. Conclusions. 60° retinal photography compares well with an ophthalmologists screening, and is better than clinical and one to two 45° field assessments. Both retinae should be screened. This method is cost-effective in our hands.","author":[{"dropping-particle":"","family":"Joannou","given":"J.","non-dropping-particle":"","parse-names":false,"suffix":""},{"dropping-particle":"","family":"Kalk","given":"W. J.","non-dropping-particle":"","parse-names":false,"suffix":""},{"dropping-particle":"","family":"Mahomed","given":"I.","non-dropping-particle":"","parse-names":false,"suffix":""},{"dropping-particle":"","family":"Ntsepo","given":"S.","non-dropping-particle":"","parse-names":false,"suffix":""},{"dropping-particle":"","family":"Berzin","given":"M.","non-dropping-particle":"","parse-names":false,"suffix":""},{"dropping-particle":"","family":"Joffe","given":"B. I.","non-dropping-particle":"","parse-names":false,"suffix":""},{"dropping-particle":"","family":"Raal","given":"F. J.","non-dropping-particle":"","parse-names":false,"suffix":""},{"dropping-particle":"","family":"Sachs","given":"E.","non-dropping-particle":"","parse-names":false,"suffix":""},{"dropping-particle":"","family":"Merwe","given":"M. T.","non-dropping-particle":"Van Der","parse-names":false,"suffix":""},{"dropping-particle":"","family":"Wing","given":"J. R.","non-dropping-particle":"","parse-names":false,"suffix":""}],"container-title":"Journal of Internal Medicine","id":"ITEM-1","issue":"1","issued":{"date-parts":[["1996"]]},"page":"43-47","title":"Screening for diabetic retinopathy in South Africa with 60° retinal colour photography","type":"article-journal","volume":"239"},"uris":["http://www.mendeley.com/documents/?uuid=a28261d2-7bde-4f59-9038-293409eaeb88"]}],"mendeley":{"formattedCitation":"&lt;sup&gt;13&lt;/sup&gt;","plainTextFormattedCitation":"13","previouslyFormattedCitation":"&lt;sup&gt;13&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42389E" w:rsidRPr="00FA697F">
              <w:rPr>
                <w:rFonts w:ascii="Times New Roman" w:eastAsia="Times New Roman" w:hAnsi="Times New Roman" w:cs="Times New Roman"/>
                <w:noProof/>
                <w:sz w:val="16"/>
                <w:szCs w:val="16"/>
                <w:vertAlign w:val="superscript"/>
                <w:lang w:eastAsia="en-GB"/>
              </w:rPr>
              <w:t>13</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(1996)</w:t>
            </w:r>
          </w:p>
        </w:tc>
        <w:tc>
          <w:tcPr>
            <w:tcW w:w="1843" w:type="dxa"/>
            <w:shd w:val="clear" w:color="auto" w:fill="auto"/>
            <w:tcMar>
              <w:left w:w="57" w:type="dxa"/>
              <w:right w:w="57" w:type="dxa"/>
            </w:tcMar>
            <w:hideMark/>
          </w:tcPr>
          <w:p w14:paraId="1DF201B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Compare; 60° mydriatic retinal photography, diabetes clinic doctors, formal ophthalmological </w:t>
            </w:r>
            <w:r w:rsidR="000F5A32" w:rsidRPr="00FA697F">
              <w:rPr>
                <w:rFonts w:ascii="Times New Roman" w:eastAsia="Times New Roman" w:hAnsi="Times New Roman" w:cs="Times New Roman"/>
                <w:sz w:val="16"/>
                <w:szCs w:val="16"/>
                <w:lang w:eastAsia="en-GB"/>
              </w:rPr>
              <w:t>assessment, and</w:t>
            </w:r>
            <w:r w:rsidRPr="00FA697F">
              <w:rPr>
                <w:rFonts w:ascii="Times New Roman" w:eastAsia="Times New Roman" w:hAnsi="Times New Roman" w:cs="Times New Roman"/>
                <w:sz w:val="16"/>
                <w:szCs w:val="16"/>
                <w:lang w:eastAsia="en-GB"/>
              </w:rPr>
              <w:t xml:space="preserve"> one or two 45° fields in the screening for diabetic retinopathy</w:t>
            </w:r>
          </w:p>
        </w:tc>
        <w:tc>
          <w:tcPr>
            <w:tcW w:w="1299" w:type="dxa"/>
            <w:shd w:val="clear" w:color="auto" w:fill="auto"/>
            <w:tcMar>
              <w:left w:w="57" w:type="dxa"/>
              <w:right w:w="57" w:type="dxa"/>
            </w:tcMar>
            <w:hideMark/>
          </w:tcPr>
          <w:p w14:paraId="6839226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Newly referred diabetes patients and those having an annual assessment for diabetic complications; PHC</w:t>
            </w:r>
          </w:p>
        </w:tc>
        <w:tc>
          <w:tcPr>
            <w:tcW w:w="1017" w:type="dxa"/>
            <w:shd w:val="clear" w:color="auto" w:fill="auto"/>
            <w:tcMar>
              <w:left w:w="57" w:type="dxa"/>
              <w:right w:w="57" w:type="dxa"/>
            </w:tcMar>
            <w:hideMark/>
          </w:tcPr>
          <w:p w14:paraId="72E9771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N/S</w:t>
            </w:r>
          </w:p>
        </w:tc>
        <w:tc>
          <w:tcPr>
            <w:tcW w:w="1130" w:type="dxa"/>
            <w:shd w:val="clear" w:color="auto" w:fill="auto"/>
            <w:tcMar>
              <w:left w:w="57" w:type="dxa"/>
              <w:right w:w="57" w:type="dxa"/>
            </w:tcMar>
            <w:hideMark/>
          </w:tcPr>
          <w:p w14:paraId="018BD8D3"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6D09D42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(1995)</w:t>
            </w:r>
          </w:p>
        </w:tc>
        <w:tc>
          <w:tcPr>
            <w:tcW w:w="2146" w:type="dxa"/>
            <w:shd w:val="clear" w:color="auto" w:fill="auto"/>
            <w:tcMar>
              <w:left w:w="57" w:type="dxa"/>
              <w:right w:w="57" w:type="dxa"/>
            </w:tcMar>
            <w:hideMark/>
          </w:tcPr>
          <w:p w14:paraId="2D1D5455" w14:textId="62393298"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Screening for diabetic retinopathy using 60° mydriatic retinal </w:t>
            </w:r>
            <w:r w:rsidR="000F5A32" w:rsidRPr="00FA697F">
              <w:rPr>
                <w:rFonts w:ascii="Times New Roman" w:eastAsia="Times New Roman" w:hAnsi="Times New Roman" w:cs="Times New Roman"/>
                <w:sz w:val="16"/>
                <w:szCs w:val="16"/>
                <w:lang w:eastAsia="en-GB"/>
              </w:rPr>
              <w:t>photography:</w:t>
            </w:r>
            <w:r w:rsidRPr="00FA697F">
              <w:rPr>
                <w:rFonts w:ascii="Times New Roman" w:eastAsia="Times New Roman" w:hAnsi="Times New Roman" w:cs="Times New Roman"/>
                <w:sz w:val="16"/>
                <w:szCs w:val="16"/>
                <w:lang w:eastAsia="en-GB"/>
              </w:rPr>
              <w:t xml:space="preserve"> $6</w:t>
            </w:r>
            <w:r w:rsidR="00D66FC6"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07</w:t>
            </w:r>
            <w:r w:rsidR="00906ED0"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per person screened</w:t>
            </w:r>
          </w:p>
        </w:tc>
        <w:tc>
          <w:tcPr>
            <w:tcW w:w="1051" w:type="dxa"/>
            <w:shd w:val="clear" w:color="auto" w:fill="auto"/>
            <w:tcMar>
              <w:left w:w="57" w:type="dxa"/>
              <w:right w:w="57" w:type="dxa"/>
            </w:tcMar>
            <w:hideMark/>
          </w:tcPr>
          <w:p w14:paraId="593916A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7E279D7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0D2093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4B9965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EC898D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09D1E4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69FEC2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03363F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E8EE5B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B0FF91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ED3F67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4A330E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43973F65"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Price of film and processing</w:t>
            </w:r>
          </w:p>
        </w:tc>
      </w:tr>
      <w:tr w:rsidR="003C76E8" w:rsidRPr="00FA697F" w14:paraId="544E9173" w14:textId="77777777" w:rsidTr="00DA0AFD">
        <w:trPr>
          <w:trHeight w:val="2703"/>
        </w:trPr>
        <w:tc>
          <w:tcPr>
            <w:tcW w:w="431" w:type="dxa"/>
            <w:shd w:val="clear" w:color="auto" w:fill="auto"/>
            <w:tcMar>
              <w:left w:w="57" w:type="dxa"/>
              <w:right w:w="57" w:type="dxa"/>
            </w:tcMar>
            <w:hideMark/>
          </w:tcPr>
          <w:p w14:paraId="55E64DD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14</w:t>
            </w:r>
          </w:p>
        </w:tc>
        <w:tc>
          <w:tcPr>
            <w:tcW w:w="982" w:type="dxa"/>
            <w:shd w:val="clear" w:color="auto" w:fill="auto"/>
            <w:tcMar>
              <w:left w:w="57" w:type="dxa"/>
              <w:right w:w="57" w:type="dxa"/>
            </w:tcMar>
            <w:hideMark/>
          </w:tcPr>
          <w:p w14:paraId="7F465AC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Khan</w:t>
            </w:r>
            <w:r w:rsidR="00B80B83" w:rsidRPr="00FA697F">
              <w:rPr>
                <w:rFonts w:ascii="Times New Roman" w:eastAsia="Times New Roman" w:hAnsi="Times New Roman" w:cs="Times New Roman"/>
                <w:sz w:val="16"/>
                <w:szCs w:val="16"/>
                <w:lang w:eastAsia="en-GB"/>
              </w:rPr>
              <w:fldChar w:fldCharType="begin" w:fldLock="1"/>
            </w:r>
            <w:r w:rsidR="00556188" w:rsidRPr="00FA697F">
              <w:rPr>
                <w:rFonts w:ascii="Times New Roman" w:eastAsia="Times New Roman" w:hAnsi="Times New Roman" w:cs="Times New Roman"/>
                <w:sz w:val="16"/>
                <w:szCs w:val="16"/>
                <w:lang w:eastAsia="en-GB"/>
              </w:rPr>
              <w:instrText>ADDIN CSL_CITATION {"citationItems":[{"id":"ITEM-1","itemData":{"DOI":"10.1016/j.diabres.2013.05.006","abstract":"Background: South Africa like many other developing countries is experiencing an epidemiologic transition with a marked increase in the non-communicable disease (NCD) burden. Diabetic retinopathy is the most common cause of incidental blindness in adults. A screening programme using a mobile fundal camera in a primary care setting has been shown to be effective in the country. Information on affordability and cost is essential for policymakers to consider its adoption. Methods: Economic evaluation is the comparative analysis of competing alternative interventions in terms of costs and consequences. A cost effectiveness analysis was done using actual costs from the primary care screening programme. Results: A total of 14,541 patients were screened in three primary healthcare facilities in the Western Cape. Photographs were taken by a trained technician with supervision by an ophthalmic nurse. The photographs were then read by a medical officer with ophthalmic experience. A cost effective ratio of $1206 per blindness case averted was obtained. This included costs for screening and treating an individual. The cost just to screen a patient for retinopathy was $22. The costs of screening and treating all incident cases of blindness due to diabetes in South Africa would be 168,000,000 ZAR ($19,310,344) per annum. Conclusion: Non mydriatic digital fundoscopy is a cost effective measure in the screening and diagnosis of diabetic retinopathy in a primary care setting in South Africa. The major savings in the long term are a result of avoiding government disability grant for people who suffer loss of vision. © 2013 Elsevier Ireland Ltd.","author":[{"dropping-particle":"","family":"Khan","given":"T","non-dropping-particle":"","parse-names":false,"suffix":""},{"dropping-particle":"","family":"Bertram","given":"M Y","non-dropping-particle":"","parse-names":false,"suffix":""},{"dropping-particle":"","family":"Jina","given":"R","non-dropping-particle":"","parse-names":false,"suffix":""},{"dropping-particle":"","family":"Mash","given":"B","non-dropping-particle":"","parse-names":false,"suffix":""},{"dropping-particle":"","family":"Levitt","given":"N","non-dropping-particle":"","parse-names":false,"suffix":""},{"dropping-particle":"","family":"Hofman","given":"K","non-dropping-particle":"","parse-names":false,"suffix":""}],"container-title":"Diabetes Research and Clinical Practice","id":"ITEM-1","issue":"2","issued":{"date-parts":[["2013"]]},"note":"Cited By :43\n\nExport Date: 18 April 2021","page":"170-176","publisher-place":"Gauteng Health Department, Charlotte Maxeke Academic Hospital, Johannesburg, South Africa","title":"Preventing diabetes blindness: Cost effectiveness of a screening programme using digital non-mydriatic fundus photography for diabetic retinopathy in a primary health care setting in South Africa","type":"article-journal","volume":"101"},"uris":["http://www.mendeley.com/documents/?uuid=e4847daf-8c9d-461f-b3aa-5549a5fe1c45"]}],"mendeley":{"formattedCitation":"&lt;sup&gt;14&lt;/sup&gt;","plainTextFormattedCitation":"14","previouslyFormattedCitation":"&lt;sup&gt;14&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42389E" w:rsidRPr="00FA697F">
              <w:rPr>
                <w:rFonts w:ascii="Times New Roman" w:eastAsia="Times New Roman" w:hAnsi="Times New Roman" w:cs="Times New Roman"/>
                <w:noProof/>
                <w:sz w:val="16"/>
                <w:szCs w:val="16"/>
                <w:vertAlign w:val="superscript"/>
                <w:lang w:eastAsia="en-GB"/>
              </w:rPr>
              <w:t>14</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(2013)</w:t>
            </w:r>
          </w:p>
        </w:tc>
        <w:tc>
          <w:tcPr>
            <w:tcW w:w="1843" w:type="dxa"/>
            <w:shd w:val="clear" w:color="auto" w:fill="auto"/>
            <w:tcMar>
              <w:left w:w="57" w:type="dxa"/>
              <w:right w:w="57" w:type="dxa"/>
            </w:tcMar>
            <w:hideMark/>
          </w:tcPr>
          <w:p w14:paraId="491533F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Assess the cost-effectiveness of a diabetic retinopathy screening programme using a mobile fundal camera</w:t>
            </w:r>
          </w:p>
        </w:tc>
        <w:tc>
          <w:tcPr>
            <w:tcW w:w="1299" w:type="dxa"/>
            <w:shd w:val="clear" w:color="auto" w:fill="auto"/>
            <w:tcMar>
              <w:left w:w="57" w:type="dxa"/>
              <w:right w:w="57" w:type="dxa"/>
            </w:tcMar>
            <w:hideMark/>
          </w:tcPr>
          <w:p w14:paraId="4D76B8D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Patients were members of a diabetic special care ‘‘club’’ in their respective community health centres; PHC</w:t>
            </w:r>
          </w:p>
        </w:tc>
        <w:tc>
          <w:tcPr>
            <w:tcW w:w="1017" w:type="dxa"/>
            <w:shd w:val="clear" w:color="auto" w:fill="auto"/>
            <w:tcMar>
              <w:left w:w="57" w:type="dxa"/>
              <w:right w:w="57" w:type="dxa"/>
            </w:tcMar>
            <w:hideMark/>
          </w:tcPr>
          <w:p w14:paraId="5E9DAF2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6254401B"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Full financial</w:t>
            </w:r>
            <w:r w:rsidR="00112353" w:rsidRPr="00FA697F">
              <w:rPr>
                <w:rFonts w:ascii="Times New Roman" w:eastAsia="Times New Roman" w:hAnsi="Times New Roman" w:cs="Times New Roman"/>
                <w:sz w:val="16"/>
                <w:szCs w:val="16"/>
                <w:lang w:eastAsia="en-GB"/>
              </w:rPr>
              <w:t xml:space="preserve"> cost, bottom-up approach</w:t>
            </w:r>
          </w:p>
        </w:tc>
        <w:tc>
          <w:tcPr>
            <w:tcW w:w="1011" w:type="dxa"/>
            <w:shd w:val="clear" w:color="auto" w:fill="auto"/>
            <w:tcMar>
              <w:left w:w="57" w:type="dxa"/>
              <w:right w:w="57" w:type="dxa"/>
            </w:tcMar>
            <w:hideMark/>
          </w:tcPr>
          <w:p w14:paraId="552C31B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2007 - 2010</w:t>
            </w:r>
          </w:p>
        </w:tc>
        <w:tc>
          <w:tcPr>
            <w:tcW w:w="2146" w:type="dxa"/>
            <w:shd w:val="clear" w:color="auto" w:fill="auto"/>
            <w:tcMar>
              <w:left w:w="57" w:type="dxa"/>
              <w:right w:w="57" w:type="dxa"/>
            </w:tcMar>
            <w:hideMark/>
          </w:tcPr>
          <w:p w14:paraId="1B7BEE28"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Screening for diabetic </w:t>
            </w:r>
            <w:r w:rsidR="000F5A32" w:rsidRPr="00FA697F">
              <w:rPr>
                <w:rFonts w:ascii="Times New Roman" w:eastAsia="Times New Roman" w:hAnsi="Times New Roman" w:cs="Times New Roman"/>
                <w:sz w:val="16"/>
                <w:szCs w:val="16"/>
                <w:lang w:eastAsia="en-GB"/>
              </w:rPr>
              <w:t>retinopathy using</w:t>
            </w:r>
            <w:r w:rsidRPr="00FA697F">
              <w:rPr>
                <w:rFonts w:ascii="Times New Roman" w:eastAsia="Times New Roman" w:hAnsi="Times New Roman" w:cs="Times New Roman"/>
                <w:sz w:val="16"/>
                <w:szCs w:val="16"/>
                <w:lang w:eastAsia="en-GB"/>
              </w:rPr>
              <w:t xml:space="preserve"> a mobile fundal camera: $20</w:t>
            </w:r>
            <w:r w:rsidRPr="00FA697F">
              <w:rPr>
                <w:rFonts w:ascii="Times New Roman" w:eastAsia="Times New Roman" w:hAnsi="Times New Roman" w:cs="Times New Roman"/>
                <w:sz w:val="16"/>
                <w:szCs w:val="16"/>
                <w:lang w:eastAsia="en-GB"/>
              </w:rPr>
              <w:br/>
              <w:t>Laser treatment in retinopathy: $132</w:t>
            </w:r>
            <w:r w:rsidRPr="00FA697F">
              <w:rPr>
                <w:rFonts w:ascii="Times New Roman" w:eastAsia="Times New Roman" w:hAnsi="Times New Roman" w:cs="Times New Roman"/>
                <w:sz w:val="16"/>
                <w:szCs w:val="16"/>
                <w:lang w:eastAsia="en-GB"/>
              </w:rPr>
              <w:br/>
              <w:t>Management of cataracts: $207</w:t>
            </w:r>
          </w:p>
          <w:p w14:paraId="7C6C429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p>
          <w:p w14:paraId="6044187C" w14:textId="77777777" w:rsidR="00AC4B5B" w:rsidRPr="00FA697F" w:rsidRDefault="00AC4B5B" w:rsidP="00112353">
            <w:pPr>
              <w:spacing w:after="0" w:line="240" w:lineRule="auto"/>
              <w:rPr>
                <w:rFonts w:ascii="Times New Roman" w:eastAsia="Times New Roman" w:hAnsi="Times New Roman" w:cs="Times New Roman"/>
                <w:sz w:val="16"/>
                <w:szCs w:val="16"/>
                <w:lang w:eastAsia="en-GB"/>
              </w:rPr>
            </w:pPr>
          </w:p>
          <w:p w14:paraId="2F6C47B5" w14:textId="77777777" w:rsidR="00AC4B5B" w:rsidRPr="00FA697F" w:rsidRDefault="00AC4B5B"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cataracts (surgery + post-surgery eye drops): $622,524 (total costs)</w:t>
            </w:r>
          </w:p>
        </w:tc>
        <w:tc>
          <w:tcPr>
            <w:tcW w:w="1051" w:type="dxa"/>
            <w:shd w:val="clear" w:color="auto" w:fill="auto"/>
            <w:tcMar>
              <w:left w:w="57" w:type="dxa"/>
              <w:right w:w="57" w:type="dxa"/>
            </w:tcMar>
            <w:hideMark/>
          </w:tcPr>
          <w:p w14:paraId="6807AB7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094AD83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7558ED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855DEA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14B222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A6B081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721475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2BAECA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814F1B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68AFFA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D7DBC1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BA6DC0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2B5418F7"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Transport costs to the patient, travel expenses for referral patient, &amp; vehicle </w:t>
            </w:r>
            <w:r w:rsidR="003E609A" w:rsidRPr="00FA697F">
              <w:rPr>
                <w:rFonts w:ascii="Times New Roman" w:eastAsia="Times New Roman" w:hAnsi="Times New Roman" w:cs="Times New Roman"/>
                <w:sz w:val="16"/>
                <w:szCs w:val="16"/>
                <w:lang w:eastAsia="en-GB"/>
              </w:rPr>
              <w:t>maintenance</w:t>
            </w:r>
          </w:p>
        </w:tc>
      </w:tr>
      <w:tr w:rsidR="003C76E8" w:rsidRPr="00FA697F" w14:paraId="1370A7DE" w14:textId="77777777" w:rsidTr="00DA0AFD">
        <w:trPr>
          <w:trHeight w:val="3252"/>
        </w:trPr>
        <w:tc>
          <w:tcPr>
            <w:tcW w:w="431" w:type="dxa"/>
            <w:shd w:val="clear" w:color="auto" w:fill="auto"/>
            <w:tcMar>
              <w:left w:w="57" w:type="dxa"/>
              <w:right w:w="57" w:type="dxa"/>
            </w:tcMar>
            <w:hideMark/>
          </w:tcPr>
          <w:p w14:paraId="652EBAD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12</w:t>
            </w:r>
          </w:p>
        </w:tc>
        <w:tc>
          <w:tcPr>
            <w:tcW w:w="982" w:type="dxa"/>
            <w:shd w:val="clear" w:color="auto" w:fill="auto"/>
            <w:tcMar>
              <w:left w:w="57" w:type="dxa"/>
              <w:right w:w="57" w:type="dxa"/>
            </w:tcMar>
            <w:hideMark/>
          </w:tcPr>
          <w:p w14:paraId="4CC2068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Ncube-</w:t>
            </w:r>
            <w:r w:rsidR="000F5A32" w:rsidRPr="00FA697F">
              <w:rPr>
                <w:rFonts w:ascii="Times New Roman" w:eastAsia="Times New Roman" w:hAnsi="Times New Roman" w:cs="Times New Roman"/>
                <w:sz w:val="16"/>
                <w:szCs w:val="16"/>
                <w:lang w:eastAsia="en-GB"/>
              </w:rPr>
              <w:t>Zulu</w:t>
            </w:r>
            <w:r w:rsidR="00B80B83" w:rsidRPr="00FA697F">
              <w:rPr>
                <w:rFonts w:ascii="Times New Roman" w:eastAsia="Times New Roman" w:hAnsi="Times New Roman" w:cs="Times New Roman"/>
                <w:sz w:val="16"/>
                <w:szCs w:val="16"/>
                <w:lang w:eastAsia="en-GB"/>
              </w:rPr>
              <w:fldChar w:fldCharType="begin" w:fldLock="1"/>
            </w:r>
            <w:r w:rsidR="00556188" w:rsidRPr="00FA697F">
              <w:rPr>
                <w:rFonts w:ascii="Times New Roman" w:eastAsia="Times New Roman" w:hAnsi="Times New Roman" w:cs="Times New Roman"/>
                <w:sz w:val="16"/>
                <w:szCs w:val="16"/>
                <w:lang w:eastAsia="en-GB"/>
              </w:rPr>
              <w:instrText>ADDIN CSL_CITATION {"citationItems":[{"id":"ITEM-1","itemData":{"DOI":"10.1007/s13410-013-0173-8","ISSN":"19983832","abstract":"The study compared the costs and length of hospitalization between patients with diabetes and patients without diabetes for a cross-section of patients (N = 407) discharged with cerebrovascular diseases, ophthalmic conditions, cardiovascular diseases, renal conditions, neurological diseases, and peripheral vascular diseases. A cross-sectional retrospective audit of medical records of all patients discharged from a Tertiary Hospital in Johannesburg with those conditions in December 2009 was conducted. Patients were grouped by ICD-10 codes from the hospital’s database. Medical records were analyzed to determine, the diabetes status of the patients, laboratory tests conducted, medical procedures performed, drugs prescribed, and frequency of hospitalization during the 2009 admission period. Average total hospitalization costs per patient were significantly higher for the patients with diabetes cohorts; R27,216 ± R19,476 compared to R18,185 ± R16,726 for the patients without diabetes, (P &lt; 0.00001). The average length of stay for patients with diabetes was longer, 13.04 ± 9.29 days vs. 8.86 ± 8.33 days (P &lt; 0.00001) than for patients without diabetes. Average admission rate per patient per year in 2009 was higher in the patients with diabetes; 1.8 ± 0.8 times vs. 1.5 ± 0.6 times than in patients without diabetes, (P &lt; 0.00004). Results should be used to advocate for improved diabetes prevention awareness, improved patient understanding of the reasons for strict diabetes control measures, and keen attendance in out-patient clinics to avoid unnecessary hospitalization costs.","author":[{"dropping-particle":"","family":"Ncube-Zulu","given":"Tryphine","non-dropping-particle":"","parse-names":false,"suffix":""},{"dropping-particle":"","family":"Danckwerts","given":"Michael P.","non-dropping-particle":"","parse-names":false,"suffix":""}],"container-title":"International Journal of Diabetes in Developing Countries","id":"ITEM-1","issue":"3","issued":{"date-parts":[["2014"]]},"page":"156-162","title":"Comparative hospitalization cost and length of stay between patients with and without diabetes in a large tertiary hospital in Johannesburg, South Africa","type":"article-journal","volume":"34"},"uris":["http://www.mendeley.com/documents/?uuid=0e1d91a5-0d33-4ee3-b0aa-1f75c4071e52"]}],"mendeley":{"formattedCitation":"&lt;sup&gt;12&lt;/sup&gt;","plainTextFormattedCitation":"12","previouslyFormattedCitation":"&lt;sup&gt;12&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556188" w:rsidRPr="00FA697F">
              <w:rPr>
                <w:rFonts w:ascii="Times New Roman" w:eastAsia="Times New Roman" w:hAnsi="Times New Roman" w:cs="Times New Roman"/>
                <w:noProof/>
                <w:sz w:val="16"/>
                <w:szCs w:val="16"/>
                <w:vertAlign w:val="superscript"/>
                <w:lang w:eastAsia="en-GB"/>
              </w:rPr>
              <w:t>12</w:t>
            </w:r>
            <w:r w:rsidR="00B80B83" w:rsidRPr="00FA697F">
              <w:rPr>
                <w:rFonts w:ascii="Times New Roman" w:eastAsia="Times New Roman" w:hAnsi="Times New Roman" w:cs="Times New Roman"/>
                <w:sz w:val="16"/>
                <w:szCs w:val="16"/>
                <w:lang w:eastAsia="en-GB"/>
              </w:rPr>
              <w:fldChar w:fldCharType="end"/>
            </w:r>
            <w:r w:rsidR="000F5A32"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2014)</w:t>
            </w:r>
          </w:p>
        </w:tc>
        <w:tc>
          <w:tcPr>
            <w:tcW w:w="1843" w:type="dxa"/>
            <w:shd w:val="clear" w:color="auto" w:fill="auto"/>
            <w:tcMar>
              <w:left w:w="57" w:type="dxa"/>
              <w:right w:w="57" w:type="dxa"/>
            </w:tcMar>
            <w:hideMark/>
          </w:tcPr>
          <w:p w14:paraId="4A80FC4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Describe the difference in length and cost of hospitalisation between diabetic and non-diabetic patients with cerebrovascular, op</w:t>
            </w:r>
            <w:r w:rsidR="00443E91" w:rsidRPr="00FA697F">
              <w:rPr>
                <w:rFonts w:ascii="Times New Roman" w:eastAsia="Times New Roman" w:hAnsi="Times New Roman" w:cs="Times New Roman"/>
                <w:sz w:val="16"/>
                <w:szCs w:val="16"/>
                <w:lang w:eastAsia="en-GB"/>
              </w:rPr>
              <w:t>h</w:t>
            </w:r>
            <w:r w:rsidRPr="00FA697F">
              <w:rPr>
                <w:rFonts w:ascii="Times New Roman" w:eastAsia="Times New Roman" w:hAnsi="Times New Roman" w:cs="Times New Roman"/>
                <w:sz w:val="16"/>
                <w:szCs w:val="16"/>
                <w:lang w:eastAsia="en-GB"/>
              </w:rPr>
              <w:t>thalmic, cardiovascular, renal, neurological and peripheral vascular diseases</w:t>
            </w:r>
          </w:p>
        </w:tc>
        <w:tc>
          <w:tcPr>
            <w:tcW w:w="1299" w:type="dxa"/>
            <w:shd w:val="clear" w:color="auto" w:fill="auto"/>
            <w:tcMar>
              <w:left w:w="57" w:type="dxa"/>
              <w:right w:w="57" w:type="dxa"/>
            </w:tcMar>
            <w:hideMark/>
          </w:tcPr>
          <w:p w14:paraId="515BE39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Discharged patients with; cerebrovascular diseases, ophthalmic conditions, cardiovascular diseases, renal conditions, neurological diseases, </w:t>
            </w:r>
            <w:r w:rsidR="000F5A32" w:rsidRPr="00FA697F">
              <w:rPr>
                <w:rFonts w:ascii="Times New Roman" w:eastAsia="Times New Roman" w:hAnsi="Times New Roman" w:cs="Times New Roman"/>
                <w:sz w:val="16"/>
                <w:szCs w:val="16"/>
                <w:lang w:eastAsia="en-GB"/>
              </w:rPr>
              <w:t>or peripheral</w:t>
            </w:r>
            <w:r w:rsidRPr="00FA697F">
              <w:rPr>
                <w:rFonts w:ascii="Times New Roman" w:eastAsia="Times New Roman" w:hAnsi="Times New Roman" w:cs="Times New Roman"/>
                <w:sz w:val="16"/>
                <w:szCs w:val="16"/>
                <w:lang w:eastAsia="en-GB"/>
              </w:rPr>
              <w:t xml:space="preserve"> vascular diseases; tertiary hospital</w:t>
            </w:r>
          </w:p>
        </w:tc>
        <w:tc>
          <w:tcPr>
            <w:tcW w:w="1017" w:type="dxa"/>
            <w:shd w:val="clear" w:color="auto" w:fill="auto"/>
            <w:tcMar>
              <w:left w:w="57" w:type="dxa"/>
              <w:right w:w="57" w:type="dxa"/>
            </w:tcMar>
            <w:hideMark/>
          </w:tcPr>
          <w:p w14:paraId="4D37455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5C6AFB0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cost, ingredients approach</w:t>
            </w:r>
          </w:p>
        </w:tc>
        <w:tc>
          <w:tcPr>
            <w:tcW w:w="1011" w:type="dxa"/>
            <w:shd w:val="clear" w:color="auto" w:fill="auto"/>
            <w:tcMar>
              <w:left w:w="57" w:type="dxa"/>
              <w:right w:w="57" w:type="dxa"/>
            </w:tcMar>
            <w:hideMark/>
          </w:tcPr>
          <w:p w14:paraId="0F2C599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2009</w:t>
            </w:r>
          </w:p>
        </w:tc>
        <w:tc>
          <w:tcPr>
            <w:tcW w:w="2146" w:type="dxa"/>
            <w:shd w:val="clear" w:color="auto" w:fill="auto"/>
            <w:tcMar>
              <w:left w:w="57" w:type="dxa"/>
              <w:right w:w="57" w:type="dxa"/>
            </w:tcMar>
            <w:hideMark/>
          </w:tcPr>
          <w:p w14:paraId="3376A65D"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ophthalmic disease</w:t>
            </w:r>
            <w:r w:rsidRPr="00FA697F">
              <w:rPr>
                <w:rFonts w:ascii="Times New Roman" w:eastAsia="Times New Roman" w:hAnsi="Times New Roman" w:cs="Times New Roman"/>
                <w:sz w:val="16"/>
                <w:szCs w:val="16"/>
                <w:lang w:eastAsia="en-GB"/>
              </w:rPr>
              <w:br/>
              <w:t>Patients with diabetes: $3,150</w:t>
            </w:r>
            <w:r w:rsidRPr="00FA697F">
              <w:rPr>
                <w:rFonts w:ascii="Times New Roman" w:eastAsia="Times New Roman" w:hAnsi="Times New Roman" w:cs="Times New Roman"/>
                <w:sz w:val="16"/>
                <w:szCs w:val="16"/>
                <w:lang w:eastAsia="en-GB"/>
              </w:rPr>
              <w:br/>
              <w:t>Patients without diabetes: $1,146</w:t>
            </w:r>
          </w:p>
          <w:p w14:paraId="69D91ED1" w14:textId="59C54F89"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49801A62" w14:textId="77777777" w:rsidR="006A456C"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SD</w:t>
            </w:r>
            <w:r w:rsidRPr="00FA697F">
              <w:rPr>
                <w:rFonts w:ascii="Times New Roman" w:eastAsia="Times New Roman" w:hAnsi="Times New Roman" w:cs="Times New Roman"/>
                <w:sz w:val="16"/>
                <w:szCs w:val="16"/>
                <w:lang w:eastAsia="en-GB"/>
              </w:rPr>
              <w:br/>
            </w:r>
          </w:p>
          <w:p w14:paraId="5280EF0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$226 - $6,074</w:t>
            </w:r>
            <w:r w:rsidRPr="00FA697F">
              <w:rPr>
                <w:rFonts w:ascii="Times New Roman" w:eastAsia="Times New Roman" w:hAnsi="Times New Roman" w:cs="Times New Roman"/>
                <w:sz w:val="16"/>
                <w:szCs w:val="16"/>
                <w:lang w:eastAsia="en-GB"/>
              </w:rPr>
              <w:br/>
              <w:t>$160 - $2,133</w:t>
            </w:r>
          </w:p>
        </w:tc>
        <w:tc>
          <w:tcPr>
            <w:tcW w:w="260" w:type="dxa"/>
            <w:shd w:val="clear" w:color="auto" w:fill="auto"/>
            <w:tcMar>
              <w:left w:w="57" w:type="dxa"/>
              <w:right w:w="57" w:type="dxa"/>
            </w:tcMar>
            <w:hideMark/>
          </w:tcPr>
          <w:p w14:paraId="375DC53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362BBC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DC96B2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32065B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CEA562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4F7CCA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728B7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25C3C0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7789BE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902F82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F7430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55D2CF89"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00CFB54E" w14:textId="77777777" w:rsidTr="00115C53">
        <w:trPr>
          <w:trHeight w:hRule="exact" w:val="1573"/>
        </w:trPr>
        <w:tc>
          <w:tcPr>
            <w:tcW w:w="431" w:type="dxa"/>
            <w:shd w:val="clear" w:color="auto" w:fill="auto"/>
            <w:tcMar>
              <w:left w:w="57" w:type="dxa"/>
              <w:right w:w="57" w:type="dxa"/>
            </w:tcMar>
            <w:hideMark/>
          </w:tcPr>
          <w:p w14:paraId="63E4B51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8</w:t>
            </w:r>
          </w:p>
        </w:tc>
        <w:tc>
          <w:tcPr>
            <w:tcW w:w="982" w:type="dxa"/>
            <w:shd w:val="clear" w:color="auto" w:fill="auto"/>
            <w:tcMar>
              <w:left w:w="57" w:type="dxa"/>
              <w:right w:w="57" w:type="dxa"/>
            </w:tcMar>
            <w:hideMark/>
          </w:tcPr>
          <w:p w14:paraId="5804B54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Basu</w:t>
            </w:r>
            <w:r w:rsidR="00B80B83" w:rsidRPr="00FA697F">
              <w:rPr>
                <w:rFonts w:ascii="Times New Roman" w:eastAsia="Times New Roman" w:hAnsi="Times New Roman" w:cs="Times New Roman"/>
                <w:sz w:val="16"/>
                <w:szCs w:val="16"/>
                <w:lang w:eastAsia="en-GB"/>
              </w:rPr>
              <w:fldChar w:fldCharType="begin" w:fldLock="1"/>
            </w:r>
            <w:r w:rsidR="00B80B83" w:rsidRPr="00FA697F">
              <w:rPr>
                <w:rFonts w:ascii="Times New Roman" w:eastAsia="Times New Roman" w:hAnsi="Times New Roman" w:cs="Times New Roman"/>
                <w:sz w:val="16"/>
                <w:szCs w:val="16"/>
                <w:lang w:eastAsia="en-GB"/>
              </w:rPr>
              <w:instrText>ADDIN CSL_CITATION {"citationItems":[{"id":"ITEM-1","itemData":{"DOI":"10.1016/S2214-109X(18)30450-9","ISSN":"2214-109X (Electronic)","PMID":"30528531","abstract":"BACKGROUND: Cardiovascular diseases and their risk factors-particularly hypertension, dyslipidaemia, and diabetes-have become an increasing concern for middle-income countries. Using newly available, nationally representative data, we assessed how cardiovascular risk factors are distributed across subpopulations within South Africa and identified which cardiovascular treatments should be prioritised. METHODS: We created a demographically representative simulated population for South Africa and used data from 17 743 respondents aged 15 years or older of the 2012 South African National Health and Nutrition Examination Survey (SANHANES) to assign information on cardiovascular risk factors to each member of the simulated population. We created a microsimulation model to estimate the health and economic implications of two globally recognised treatment recommendations: WHO's package of essential non-communicable disease interventions (PEN) and South Africa's Primary Care 101 (SA PC 101) guidelines. The primary outcome was total disability-adjusted life-years (DALYs) averted through treatment of all cardiovascular disease or microvascular type 2 diabetes complications per 1000 population. We compared outcomes at the aspirational level of achieving access to treatment among 70% of the population. FINDINGS: Based on the SANHANES data, South Africans had a high prevalence of hypertension (24·8%), dyslipidaemia (17·5%), and diabetes (15·3%). Prevalence was disproportionately high and treatment low among male, black, and poor populations. Our simulated population experienced a burden of 40·0 DALYs (95% CI 29·5-52·0) per 1000 population per year from cardiovascular disease or type 2 diabetes complications at current treatment levels, which lowered to 32·9 DALYs (24·4-44·7) under WHO PEN implementation and to 32·5 (24·4-44·8) under SA PC 101 implementation. Under both guidelines, there were increases in blood pressure treatment (4·2 percentage points under WHO PEN vs 12·6 percentage points under SA PC 101), lipid treatment (16·0 vs 14·9), and glucose control medications (1·2 vs 0·6). The incremental cost-effectiveness of implementing SA PC 101 over current treatment would be a saving of US$24 902 (95% CI 14 666-62 579) per DALY averted compared with a saving of $17 587 (1840-42 589) under WHO PEN guidelines. INTERPRETATION: Cardiovascular risk factors are common and disproportionate among disadvantaged populations in South Africa. Treatment with blood pressure agent…","author":[{"dropping-particle":"","family":"Basu","given":"Sanjay","non-dropping-particle":"","parse-names":false,"suffix":""},{"dropping-particle":"","family":"Wagner","given":"Ryan G","non-dropping-particle":"","parse-names":false,"suffix":""},{"dropping-particle":"","family":"Sewpaul","given":"Ronel","non-dropping-particle":"","parse-names":false,"suffix":""},{"dropping-particle":"","family":"Reddy","given":"Priscilla","non-dropping-particle":"","parse-names":false,"suffix":""},{"dropping-particle":"","family":"Davies","given":"Justine","non-dropping-particle":"","parse-names":false,"suffix":""}],"container-title":"The Lancet. Global health","id":"ITEM-1","issue":"2","issued":{"date-parts":[["2019","2"]]},"language":"eng","page":"e270-e280","publisher-place":"England","title":"Implications of scaling up cardiovascular disease treatment in South Africa: a microsimulation and cost-effectiveness analysis.","type":"article-journal","volume":"7"},"uris":["http://www.mendeley.com/documents/?uuid=a59d3cb3-9528-4387-8332-dff97c29e444"]}],"mendeley":{"formattedCitation":"&lt;sup&gt;8&lt;/sup&gt;","plainTextFormattedCitation":"8","previouslyFormattedCitation":"&lt;sup&gt;8&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B80B83" w:rsidRPr="00FA697F">
              <w:rPr>
                <w:rFonts w:ascii="Times New Roman" w:eastAsia="Times New Roman" w:hAnsi="Times New Roman" w:cs="Times New Roman"/>
                <w:noProof/>
                <w:sz w:val="16"/>
                <w:szCs w:val="16"/>
                <w:vertAlign w:val="superscript"/>
                <w:lang w:eastAsia="en-GB"/>
              </w:rPr>
              <w:t>8</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47AA86C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economic implications of treatment scale-up under two alternative guidelines</w:t>
            </w:r>
          </w:p>
        </w:tc>
        <w:tc>
          <w:tcPr>
            <w:tcW w:w="1299" w:type="dxa"/>
            <w:shd w:val="clear" w:color="auto" w:fill="auto"/>
            <w:tcMar>
              <w:left w:w="57" w:type="dxa"/>
              <w:right w:w="57" w:type="dxa"/>
            </w:tcMar>
            <w:hideMark/>
          </w:tcPr>
          <w:p w14:paraId="74009BE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with data available on cardiovascular risk factors; PHC &amp; hospital</w:t>
            </w:r>
          </w:p>
        </w:tc>
        <w:tc>
          <w:tcPr>
            <w:tcW w:w="1017" w:type="dxa"/>
            <w:shd w:val="clear" w:color="auto" w:fill="auto"/>
            <w:tcMar>
              <w:left w:w="57" w:type="dxa"/>
              <w:right w:w="57" w:type="dxa"/>
            </w:tcMar>
            <w:hideMark/>
          </w:tcPr>
          <w:p w14:paraId="5669446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1F713341"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54C7FB4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1700F678" w14:textId="7D19F48E"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diabetic retinopathy: $55</w:t>
            </w:r>
            <w:r w:rsidR="00906ED0"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1AFC1B3C" w14:textId="77777777" w:rsidR="00112353" w:rsidRPr="00FA697F" w:rsidRDefault="00112353" w:rsidP="00112353">
            <w:pPr>
              <w:spacing w:after="0" w:line="240" w:lineRule="auto"/>
              <w:rPr>
                <w:rFonts w:ascii="Times New Roman" w:eastAsia="Times New Roman" w:hAnsi="Times New Roman" w:cs="Times New Roman"/>
                <w:iCs/>
                <w:sz w:val="16"/>
                <w:szCs w:val="16"/>
                <w:lang w:eastAsia="en-GB"/>
              </w:rPr>
            </w:pPr>
            <w:r w:rsidRPr="00FA697F">
              <w:rPr>
                <w:rFonts w:ascii="Times New Roman" w:eastAsia="Times New Roman" w:hAnsi="Times New Roman" w:cs="Times New Roman"/>
                <w:iCs/>
                <w:sz w:val="16"/>
                <w:szCs w:val="16"/>
                <w:lang w:eastAsia="en-GB"/>
              </w:rPr>
              <w:t>N/A</w:t>
            </w:r>
          </w:p>
        </w:tc>
        <w:tc>
          <w:tcPr>
            <w:tcW w:w="260" w:type="dxa"/>
            <w:shd w:val="clear" w:color="auto" w:fill="auto"/>
            <w:tcMar>
              <w:left w:w="57" w:type="dxa"/>
              <w:right w:w="57" w:type="dxa"/>
            </w:tcMar>
            <w:hideMark/>
          </w:tcPr>
          <w:p w14:paraId="54AD84C4" w14:textId="77777777" w:rsidR="00112353" w:rsidRPr="00FA697F" w:rsidRDefault="00112353" w:rsidP="00112353">
            <w:pPr>
              <w:spacing w:after="0" w:line="240" w:lineRule="auto"/>
              <w:rPr>
                <w:rFonts w:ascii="Times New Roman" w:eastAsia="Times New Roman" w:hAnsi="Times New Roman" w:cs="Times New Roman"/>
                <w:i/>
                <w:iCs/>
                <w:sz w:val="16"/>
                <w:szCs w:val="16"/>
                <w:lang w:eastAsia="en-GB"/>
              </w:rPr>
            </w:pPr>
          </w:p>
        </w:tc>
        <w:tc>
          <w:tcPr>
            <w:tcW w:w="294" w:type="dxa"/>
            <w:shd w:val="clear" w:color="auto" w:fill="auto"/>
            <w:tcMar>
              <w:left w:w="57" w:type="dxa"/>
              <w:right w:w="57" w:type="dxa"/>
            </w:tcMar>
            <w:hideMark/>
          </w:tcPr>
          <w:p w14:paraId="1FCB475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47CC34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15C392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A08ABF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9BACC3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E38785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76DD48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B7F5C5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005736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C2835E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1DA93E82" w14:textId="77777777" w:rsidR="00112353" w:rsidRPr="00FA697F" w:rsidRDefault="003E609A"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Ophthalmologist</w:t>
            </w:r>
            <w:r w:rsidR="00112353" w:rsidRPr="00FA697F">
              <w:rPr>
                <w:rFonts w:ascii="Times New Roman" w:eastAsia="Times New Roman" w:hAnsi="Times New Roman" w:cs="Times New Roman"/>
                <w:sz w:val="16"/>
                <w:szCs w:val="16"/>
                <w:lang w:eastAsia="en-GB"/>
              </w:rPr>
              <w:t xml:space="preserve"> visit, </w:t>
            </w:r>
            <w:r w:rsidRPr="00FA697F">
              <w:rPr>
                <w:rFonts w:ascii="Times New Roman" w:eastAsia="Times New Roman" w:hAnsi="Times New Roman" w:cs="Times New Roman"/>
                <w:sz w:val="16"/>
                <w:szCs w:val="16"/>
                <w:lang w:eastAsia="en-GB"/>
              </w:rPr>
              <w:t>ophthalmology</w:t>
            </w:r>
            <w:r w:rsidR="00112353" w:rsidRPr="00FA697F">
              <w:rPr>
                <w:rFonts w:ascii="Times New Roman" w:eastAsia="Times New Roman" w:hAnsi="Times New Roman" w:cs="Times New Roman"/>
                <w:sz w:val="16"/>
                <w:szCs w:val="16"/>
                <w:lang w:eastAsia="en-GB"/>
              </w:rPr>
              <w:t xml:space="preserve"> care</w:t>
            </w:r>
          </w:p>
        </w:tc>
      </w:tr>
      <w:tr w:rsidR="003C76E8" w:rsidRPr="00FA697F" w14:paraId="105F39E2" w14:textId="77777777" w:rsidTr="00115C53">
        <w:trPr>
          <w:trHeight w:val="720"/>
        </w:trPr>
        <w:tc>
          <w:tcPr>
            <w:tcW w:w="431" w:type="dxa"/>
            <w:vMerge w:val="restart"/>
            <w:shd w:val="clear" w:color="auto" w:fill="auto"/>
            <w:tcMar>
              <w:left w:w="57" w:type="dxa"/>
              <w:right w:w="57" w:type="dxa"/>
            </w:tcMar>
            <w:hideMark/>
          </w:tcPr>
          <w:p w14:paraId="3B6B2E0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11</w:t>
            </w:r>
          </w:p>
        </w:tc>
        <w:tc>
          <w:tcPr>
            <w:tcW w:w="982" w:type="dxa"/>
            <w:vMerge w:val="restart"/>
            <w:shd w:val="clear" w:color="auto" w:fill="auto"/>
            <w:tcMar>
              <w:left w:w="57" w:type="dxa"/>
              <w:right w:w="57" w:type="dxa"/>
            </w:tcMar>
            <w:hideMark/>
          </w:tcPr>
          <w:p w14:paraId="19D1A15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Erzse</w:t>
            </w:r>
            <w:r w:rsidR="00B80B83" w:rsidRPr="00FA697F">
              <w:rPr>
                <w:rFonts w:ascii="Times New Roman" w:eastAsia="Times New Roman" w:hAnsi="Times New Roman" w:cs="Times New Roman"/>
                <w:sz w:val="16"/>
                <w:szCs w:val="16"/>
                <w:lang w:eastAsia="en-GB"/>
              </w:rPr>
              <w:fldChar w:fldCharType="begin" w:fldLock="1"/>
            </w:r>
            <w:r w:rsidR="00B80B83" w:rsidRPr="00FA697F">
              <w:rPr>
                <w:rFonts w:ascii="Times New Roman" w:eastAsia="Times New Roman" w:hAnsi="Times New Roman" w:cs="Times New Roman"/>
                <w:sz w:val="16"/>
                <w:szCs w:val="16"/>
                <w:lang w:eastAsia="en-GB"/>
              </w:rPr>
              <w:instrText>ADDIN CSL_CITATION {"citationItems":[{"id":"ITEM-1","itemData":{"DOI":"10.1080/16549716.2019.1636611","ISSN":"16549880","PMID":"31282315","abstract":"Background: Type 2 diabetes mellitus (T2DM) is known to require continuous clinical care and management that consumes significant health-care resources. These costs are not well understood, particularly in low- and middle-income countries. Objective: The aim of this study was to estimate the direct medical costs associated with T2DM in the South African public health sector and to project an estimate of the future direct costs of T2DM by 2030. Methods: A cost of illness study was conducted to estimate the direct medical costs of T2DM in South Africa in 2018 and to make projections for potential costs in 2030. Costs were estimated for diagnosis and management of T2DM, and related complications. Analyses were implemented in Microsoft Excel, with sensitivity analysis conducted on particular parameters. Results: In 2018, public sector costs of diagnosed T2DM patients were approximately ZAR 2.7 bn and ZAR 21.8 bn if both diagnosed and undiagnosed patients are considered. In real terms, the 2030 cost of all T2DM cases is estimated to be ZAR 35.1 bn. Approximately 51% of these estimated costs for 2030 are attributable to the management of T2DM, and 49% are attributable to complications. Conclusion: T2DM imposes a significant financial burden on the public healthcare system in South Africa. Treatment of all prevalent cases would incur a cost equivalent to approximately 12% of the total national health budget in 2018. With rising prevalence, direct costs will grow if current care regimes are maintained and case-finding improved. Increased financial resources are necessary in order to deliver effective services to people with T2DM.","author":[{"dropping-particle":"","family":"Erzse","given":"Agnes","non-dropping-particle":"","parse-names":false,"suffix":""},{"dropping-particle":"","family":"Stacey","given":"Nicholas","non-dropping-particle":"","parse-names":false,"suffix":""},{"dropping-particle":"","family":"Chola","given":"Lumbwe","non-dropping-particle":"","parse-names":false,"suffix":""},{"dropping-particle":"","family":"Tugendhaft","given":"Aviva","non-dropping-particle":"","parse-names":false,"suffix":""},{"dropping-particle":"","family":"Freeman","given":"Melvyn","non-dropping-particle":"","parse-names":false,"suffix":""},{"dropping-particle":"","family":"Hofman","given":"Karen","non-dropping-particle":"","parse-names":false,"suffix":""}],"container-title":"Global Health Action","id":"ITEM-1","issue":"1","issued":{"date-parts":[["2019"]]},"page":"1-9","title":"The direct medical cost of type 2 diabetes mellitus in South Africa: a cost of illness study","type":"article-journal","volume":"12"},"uris":["http://www.mendeley.com/documents/?uuid=c3d8c560-9c19-4b84-9be5-8bfe99d443ce"]}],"mendeley":{"formattedCitation":"&lt;sup&gt;11&lt;/sup&gt;","plainTextFormattedCitation":"11","previouslyFormattedCitation":"&lt;sup&gt;11&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B80B83" w:rsidRPr="00FA697F">
              <w:rPr>
                <w:rFonts w:ascii="Times New Roman" w:eastAsia="Times New Roman" w:hAnsi="Times New Roman" w:cs="Times New Roman"/>
                <w:noProof/>
                <w:sz w:val="16"/>
                <w:szCs w:val="16"/>
                <w:vertAlign w:val="superscript"/>
                <w:lang w:eastAsia="en-GB"/>
              </w:rPr>
              <w:t>11</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vMerge w:val="restart"/>
            <w:shd w:val="clear" w:color="auto" w:fill="auto"/>
            <w:tcMar>
              <w:left w:w="57" w:type="dxa"/>
              <w:right w:w="57" w:type="dxa"/>
            </w:tcMar>
            <w:hideMark/>
          </w:tcPr>
          <w:p w14:paraId="1A26F034" w14:textId="2CAE49DA"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w:t>
            </w:r>
            <w:r w:rsidR="001860A8"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 xml:space="preserve">direct medical costs associated with type 2 diabetes mellitus </w:t>
            </w:r>
          </w:p>
        </w:tc>
        <w:tc>
          <w:tcPr>
            <w:tcW w:w="1299" w:type="dxa"/>
            <w:vMerge w:val="restart"/>
            <w:shd w:val="clear" w:color="auto" w:fill="auto"/>
            <w:tcMar>
              <w:left w:w="57" w:type="dxa"/>
              <w:right w:w="57" w:type="dxa"/>
            </w:tcMar>
            <w:hideMark/>
          </w:tcPr>
          <w:p w14:paraId="62D9C8D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hospital</w:t>
            </w:r>
          </w:p>
        </w:tc>
        <w:tc>
          <w:tcPr>
            <w:tcW w:w="1017" w:type="dxa"/>
            <w:vMerge w:val="restart"/>
            <w:shd w:val="clear" w:color="auto" w:fill="auto"/>
            <w:tcMar>
              <w:left w:w="57" w:type="dxa"/>
              <w:right w:w="57" w:type="dxa"/>
            </w:tcMar>
            <w:hideMark/>
          </w:tcPr>
          <w:p w14:paraId="57F9D02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vMerge w:val="restart"/>
            <w:shd w:val="clear" w:color="auto" w:fill="auto"/>
            <w:tcMar>
              <w:left w:w="57" w:type="dxa"/>
              <w:right w:w="57" w:type="dxa"/>
            </w:tcMar>
            <w:hideMark/>
          </w:tcPr>
          <w:p w14:paraId="25B3DE16"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005BAB0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57BC74B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cataracts: $2,250,092</w:t>
            </w:r>
            <w:r w:rsidR="00906ED0"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per year</w:t>
            </w:r>
          </w:p>
        </w:tc>
        <w:tc>
          <w:tcPr>
            <w:tcW w:w="1051" w:type="dxa"/>
            <w:shd w:val="clear" w:color="auto" w:fill="auto"/>
            <w:tcMar>
              <w:left w:w="57" w:type="dxa"/>
              <w:right w:w="57" w:type="dxa"/>
            </w:tcMar>
            <w:hideMark/>
          </w:tcPr>
          <w:p w14:paraId="73D5AC0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6734745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25FD64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ACC6E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C58371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F46EBD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ED15EB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12B1EE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E4DFD3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0F79A0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5DC7B6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676B9C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63C17981"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Facility fees</w:t>
            </w:r>
          </w:p>
        </w:tc>
      </w:tr>
      <w:tr w:rsidR="003C76E8" w:rsidRPr="00FA697F" w14:paraId="4E7C8273" w14:textId="77777777" w:rsidTr="00115C53">
        <w:trPr>
          <w:trHeight w:val="720"/>
        </w:trPr>
        <w:tc>
          <w:tcPr>
            <w:tcW w:w="431" w:type="dxa"/>
            <w:vMerge/>
            <w:tcMar>
              <w:left w:w="57" w:type="dxa"/>
              <w:right w:w="57" w:type="dxa"/>
            </w:tcMar>
            <w:vAlign w:val="center"/>
            <w:hideMark/>
          </w:tcPr>
          <w:p w14:paraId="303C5BC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1699E8D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29864A2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1FD6E5E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123D8EF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5EA1F28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1011" w:type="dxa"/>
            <w:shd w:val="clear" w:color="auto" w:fill="auto"/>
            <w:tcMar>
              <w:left w:w="57" w:type="dxa"/>
              <w:right w:w="57" w:type="dxa"/>
            </w:tcMar>
            <w:hideMark/>
          </w:tcPr>
          <w:p w14:paraId="05E2986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60FDCCC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Laser treatment for retinopathy: $1,607,824</w:t>
            </w:r>
            <w:r w:rsidRPr="00FA697F">
              <w:rPr>
                <w:rFonts w:ascii="Times New Roman" w:eastAsia="Times New Roman" w:hAnsi="Times New Roman" w:cs="Times New Roman"/>
                <w:sz w:val="16"/>
                <w:szCs w:val="16"/>
                <w:lang w:eastAsia="en-GB"/>
              </w:rPr>
              <w:br/>
              <w:t>per year</w:t>
            </w:r>
          </w:p>
        </w:tc>
        <w:tc>
          <w:tcPr>
            <w:tcW w:w="1051" w:type="dxa"/>
            <w:shd w:val="clear" w:color="auto" w:fill="auto"/>
            <w:tcMar>
              <w:left w:w="57" w:type="dxa"/>
              <w:right w:w="57" w:type="dxa"/>
            </w:tcMar>
            <w:hideMark/>
          </w:tcPr>
          <w:p w14:paraId="03A6104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14CBB57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5FE1E4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0DC678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27C88C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E98E36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A58084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E43AA3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4E6194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A64D16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8C2F63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A6CC85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3A4D9C93"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Facility fees</w:t>
            </w:r>
          </w:p>
        </w:tc>
      </w:tr>
      <w:tr w:rsidR="003C76E8" w:rsidRPr="00FA697F" w14:paraId="798CA84B" w14:textId="77777777" w:rsidTr="00115C53">
        <w:trPr>
          <w:trHeight w:val="288"/>
        </w:trPr>
        <w:tc>
          <w:tcPr>
            <w:tcW w:w="14967" w:type="dxa"/>
            <w:gridSpan w:val="21"/>
            <w:shd w:val="clear" w:color="auto" w:fill="auto"/>
            <w:tcMar>
              <w:left w:w="57" w:type="dxa"/>
              <w:right w:w="57" w:type="dxa"/>
            </w:tcMar>
            <w:hideMark/>
          </w:tcPr>
          <w:p w14:paraId="19A567D2" w14:textId="77777777" w:rsidR="00112353" w:rsidRPr="00FA697F" w:rsidRDefault="00112353" w:rsidP="006A456C">
            <w:pPr>
              <w:spacing w:after="0" w:line="240" w:lineRule="auto"/>
              <w:rPr>
                <w:rFonts w:ascii="Times New Roman" w:eastAsia="Times New Roman" w:hAnsi="Times New Roman" w:cs="Times New Roman"/>
                <w:b/>
                <w:bCs/>
                <w:iCs/>
                <w:sz w:val="16"/>
                <w:szCs w:val="16"/>
                <w:lang w:eastAsia="en-GB"/>
              </w:rPr>
            </w:pPr>
            <w:r w:rsidRPr="00FA697F">
              <w:rPr>
                <w:rFonts w:ascii="Times New Roman" w:eastAsia="Times New Roman" w:hAnsi="Times New Roman" w:cs="Times New Roman"/>
                <w:b/>
                <w:bCs/>
                <w:iCs/>
                <w:sz w:val="16"/>
                <w:szCs w:val="16"/>
                <w:lang w:eastAsia="en-GB"/>
              </w:rPr>
              <w:t xml:space="preserve">Peripheral artery </w:t>
            </w:r>
            <w:r w:rsidR="000F5A32" w:rsidRPr="00FA697F">
              <w:rPr>
                <w:rFonts w:ascii="Times New Roman" w:eastAsia="Times New Roman" w:hAnsi="Times New Roman" w:cs="Times New Roman"/>
                <w:b/>
                <w:bCs/>
                <w:iCs/>
                <w:sz w:val="16"/>
                <w:szCs w:val="16"/>
                <w:lang w:eastAsia="en-GB"/>
              </w:rPr>
              <w:t>disease and</w:t>
            </w:r>
            <w:r w:rsidRPr="00FA697F">
              <w:rPr>
                <w:rFonts w:ascii="Times New Roman" w:eastAsia="Times New Roman" w:hAnsi="Times New Roman" w:cs="Times New Roman"/>
                <w:b/>
                <w:bCs/>
                <w:iCs/>
                <w:sz w:val="16"/>
                <w:szCs w:val="16"/>
                <w:lang w:eastAsia="en-GB"/>
              </w:rPr>
              <w:t xml:space="preserve"> diabetic neuropathy</w:t>
            </w:r>
          </w:p>
        </w:tc>
      </w:tr>
      <w:tr w:rsidR="003C76E8" w:rsidRPr="00FA697F" w14:paraId="7579658E" w14:textId="77777777" w:rsidTr="00DA0AFD">
        <w:trPr>
          <w:trHeight w:val="3210"/>
        </w:trPr>
        <w:tc>
          <w:tcPr>
            <w:tcW w:w="431" w:type="dxa"/>
            <w:shd w:val="clear" w:color="auto" w:fill="auto"/>
            <w:tcMar>
              <w:left w:w="57" w:type="dxa"/>
              <w:right w:w="57" w:type="dxa"/>
            </w:tcMar>
            <w:hideMark/>
          </w:tcPr>
          <w:p w14:paraId="2421509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12</w:t>
            </w:r>
          </w:p>
        </w:tc>
        <w:tc>
          <w:tcPr>
            <w:tcW w:w="982" w:type="dxa"/>
            <w:shd w:val="clear" w:color="auto" w:fill="auto"/>
            <w:tcMar>
              <w:left w:w="57" w:type="dxa"/>
              <w:right w:w="57" w:type="dxa"/>
            </w:tcMar>
            <w:hideMark/>
          </w:tcPr>
          <w:p w14:paraId="2D1E6B2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Ncube-</w:t>
            </w:r>
            <w:r w:rsidR="000F5A32" w:rsidRPr="00FA697F">
              <w:rPr>
                <w:rFonts w:ascii="Times New Roman" w:eastAsia="Times New Roman" w:hAnsi="Times New Roman" w:cs="Times New Roman"/>
                <w:sz w:val="16"/>
                <w:szCs w:val="16"/>
                <w:lang w:eastAsia="en-GB"/>
              </w:rPr>
              <w:t>Zulu</w:t>
            </w:r>
            <w:r w:rsidR="00B80B83" w:rsidRPr="00FA697F">
              <w:rPr>
                <w:rFonts w:ascii="Times New Roman" w:eastAsia="Times New Roman" w:hAnsi="Times New Roman" w:cs="Times New Roman"/>
                <w:sz w:val="16"/>
                <w:szCs w:val="16"/>
                <w:lang w:eastAsia="en-GB"/>
              </w:rPr>
              <w:fldChar w:fldCharType="begin" w:fldLock="1"/>
            </w:r>
            <w:r w:rsidR="00B80B83" w:rsidRPr="00FA697F">
              <w:rPr>
                <w:rFonts w:ascii="Times New Roman" w:eastAsia="Times New Roman" w:hAnsi="Times New Roman" w:cs="Times New Roman"/>
                <w:sz w:val="16"/>
                <w:szCs w:val="16"/>
                <w:lang w:eastAsia="en-GB"/>
              </w:rPr>
              <w:instrText>ADDIN CSL_CITATION {"citationItems":[{"id":"ITEM-1","itemData":{"DOI":"10.1007/s13410-013-0173-8","ISSN":"19983832","abstract":"The study compared the costs and length of hospitalization between patients with diabetes and patients without diabetes for a cross-section of patients (N = 407) discharged with cerebrovascular diseases, ophthalmic conditions, cardiovascular diseases, renal conditions, neurological diseases, and peripheral vascular diseases. A cross-sectional retrospective audit of medical records of all patients discharged from a Tertiary Hospital in Johannesburg with those conditions in December 2009 was conducted. Patients were grouped by ICD-10 codes from the hospital’s database. Medical records were analyzed to determine, the diabetes status of the patients, laboratory tests conducted, medical procedures performed, drugs prescribed, and frequency of hospitalization during the 2009 admission period. Average total hospitalization costs per patient were significantly higher for the patients with diabetes cohorts; R27,216 ± R19,476 compared to R18,185 ± R16,726 for the patients without diabetes, (P &lt; 0.00001). The average length of stay for patients with diabetes was longer, 13.04 ± 9.29 days vs. 8.86 ± 8.33 days (P &lt; 0.00001) than for patients without diabetes. Average admission rate per patient per year in 2009 was higher in the patients with diabetes; 1.8 ± 0.8 times vs. 1.5 ± 0.6 times than in patients without diabetes, (P &lt; 0.00004). Results should be used to advocate for improved diabetes prevention awareness, improved patient understanding of the reasons for strict diabetes control measures, and keen attendance in out-patient clinics to avoid unnecessary hospitalization costs.","author":[{"dropping-particle":"","family":"Ncube-Zulu","given":"Tryphine","non-dropping-particle":"","parse-names":false,"suffix":""},{"dropping-particle":"","family":"Danckwerts","given":"Michael P.","non-dropping-particle":"","parse-names":false,"suffix":""}],"container-title":"International Journal of Diabetes in Developing Countries","id":"ITEM-1","issue":"3","issued":{"date-parts":[["2014"]]},"page":"156-162","title":"Comparative hospitalization cost and length of stay between patients with and without diabetes in a large tertiary hospital in Johannesburg, South Africa","type":"article-journal","volume":"34"},"uris":["http://www.mendeley.com/documents/?uuid=0e1d91a5-0d33-4ee3-b0aa-1f75c4071e52"]}],"mendeley":{"formattedCitation":"&lt;sup&gt;12&lt;/sup&gt;","plainTextFormattedCitation":"12","previouslyFormattedCitation":"&lt;sup&gt;12&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B80B83" w:rsidRPr="00FA697F">
              <w:rPr>
                <w:rFonts w:ascii="Times New Roman" w:eastAsia="Times New Roman" w:hAnsi="Times New Roman" w:cs="Times New Roman"/>
                <w:noProof/>
                <w:sz w:val="16"/>
                <w:szCs w:val="16"/>
                <w:vertAlign w:val="superscript"/>
                <w:lang w:eastAsia="en-GB"/>
              </w:rPr>
              <w:t>12</w:t>
            </w:r>
            <w:r w:rsidR="00B80B83" w:rsidRPr="00FA697F">
              <w:rPr>
                <w:rFonts w:ascii="Times New Roman" w:eastAsia="Times New Roman" w:hAnsi="Times New Roman" w:cs="Times New Roman"/>
                <w:sz w:val="16"/>
                <w:szCs w:val="16"/>
                <w:lang w:eastAsia="en-GB"/>
              </w:rPr>
              <w:fldChar w:fldCharType="end"/>
            </w:r>
            <w:r w:rsidR="000F5A32"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2014)</w:t>
            </w:r>
          </w:p>
        </w:tc>
        <w:tc>
          <w:tcPr>
            <w:tcW w:w="1843" w:type="dxa"/>
            <w:shd w:val="clear" w:color="auto" w:fill="auto"/>
            <w:tcMar>
              <w:left w:w="57" w:type="dxa"/>
              <w:right w:w="57" w:type="dxa"/>
            </w:tcMar>
            <w:hideMark/>
          </w:tcPr>
          <w:p w14:paraId="03029CE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Describe the difference in length and cost of hospitalisation between diabetic and non-diabetic patients with cerebrovascular, </w:t>
            </w:r>
            <w:proofErr w:type="spellStart"/>
            <w:r w:rsidRPr="00FA697F">
              <w:rPr>
                <w:rFonts w:ascii="Times New Roman" w:eastAsia="Times New Roman" w:hAnsi="Times New Roman" w:cs="Times New Roman"/>
                <w:sz w:val="16"/>
                <w:szCs w:val="16"/>
                <w:lang w:eastAsia="en-GB"/>
              </w:rPr>
              <w:t>opthalmic</w:t>
            </w:r>
            <w:proofErr w:type="spellEnd"/>
            <w:r w:rsidRPr="00FA697F">
              <w:rPr>
                <w:rFonts w:ascii="Times New Roman" w:eastAsia="Times New Roman" w:hAnsi="Times New Roman" w:cs="Times New Roman"/>
                <w:sz w:val="16"/>
                <w:szCs w:val="16"/>
                <w:lang w:eastAsia="en-GB"/>
              </w:rPr>
              <w:t>, cardiovascular, renal, neurological and peripheral vascular diseases</w:t>
            </w:r>
          </w:p>
        </w:tc>
        <w:tc>
          <w:tcPr>
            <w:tcW w:w="1299" w:type="dxa"/>
            <w:shd w:val="clear" w:color="auto" w:fill="auto"/>
            <w:tcMar>
              <w:left w:w="57" w:type="dxa"/>
              <w:right w:w="57" w:type="dxa"/>
            </w:tcMar>
            <w:hideMark/>
          </w:tcPr>
          <w:p w14:paraId="16491D1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Discharged patients with; cerebrovascular diseases, ophthalmic conditions, cardiovascular diseases, renal conditions, neurological diseases, </w:t>
            </w:r>
            <w:r w:rsidR="000F5A32" w:rsidRPr="00FA697F">
              <w:rPr>
                <w:rFonts w:ascii="Times New Roman" w:eastAsia="Times New Roman" w:hAnsi="Times New Roman" w:cs="Times New Roman"/>
                <w:sz w:val="16"/>
                <w:szCs w:val="16"/>
                <w:lang w:eastAsia="en-GB"/>
              </w:rPr>
              <w:t>or peripheral</w:t>
            </w:r>
            <w:r w:rsidRPr="00FA697F">
              <w:rPr>
                <w:rFonts w:ascii="Times New Roman" w:eastAsia="Times New Roman" w:hAnsi="Times New Roman" w:cs="Times New Roman"/>
                <w:sz w:val="16"/>
                <w:szCs w:val="16"/>
                <w:lang w:eastAsia="en-GB"/>
              </w:rPr>
              <w:t xml:space="preserve"> vascular diseases; tertiary hospital</w:t>
            </w:r>
          </w:p>
        </w:tc>
        <w:tc>
          <w:tcPr>
            <w:tcW w:w="1017" w:type="dxa"/>
            <w:shd w:val="clear" w:color="auto" w:fill="auto"/>
            <w:tcMar>
              <w:left w:w="57" w:type="dxa"/>
              <w:right w:w="57" w:type="dxa"/>
            </w:tcMar>
            <w:hideMark/>
          </w:tcPr>
          <w:p w14:paraId="0DECA09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49D8BC8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cost, ingredients approach</w:t>
            </w:r>
          </w:p>
        </w:tc>
        <w:tc>
          <w:tcPr>
            <w:tcW w:w="1011" w:type="dxa"/>
            <w:shd w:val="clear" w:color="auto" w:fill="auto"/>
            <w:tcMar>
              <w:left w:w="57" w:type="dxa"/>
              <w:right w:w="57" w:type="dxa"/>
            </w:tcMar>
            <w:hideMark/>
          </w:tcPr>
          <w:p w14:paraId="1AC58FC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2009</w:t>
            </w:r>
          </w:p>
        </w:tc>
        <w:tc>
          <w:tcPr>
            <w:tcW w:w="2146" w:type="dxa"/>
            <w:shd w:val="clear" w:color="auto" w:fill="auto"/>
            <w:tcMar>
              <w:left w:w="57" w:type="dxa"/>
              <w:right w:w="57" w:type="dxa"/>
            </w:tcMar>
            <w:hideMark/>
          </w:tcPr>
          <w:p w14:paraId="2829FED1"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peripheral vascular disease</w:t>
            </w:r>
            <w:r w:rsidRPr="00FA697F">
              <w:rPr>
                <w:rFonts w:ascii="Times New Roman" w:eastAsia="Times New Roman" w:hAnsi="Times New Roman" w:cs="Times New Roman"/>
                <w:sz w:val="16"/>
                <w:szCs w:val="16"/>
                <w:lang w:eastAsia="en-GB"/>
              </w:rPr>
              <w:br/>
              <w:t>Patients with diabetes: $3,753</w:t>
            </w:r>
            <w:r w:rsidRPr="00FA697F">
              <w:rPr>
                <w:rFonts w:ascii="Times New Roman" w:eastAsia="Times New Roman" w:hAnsi="Times New Roman" w:cs="Times New Roman"/>
                <w:sz w:val="16"/>
                <w:szCs w:val="16"/>
                <w:lang w:eastAsia="en-GB"/>
              </w:rPr>
              <w:br/>
              <w:t>Patients without diabetes: $3,311</w:t>
            </w:r>
          </w:p>
          <w:p w14:paraId="6E2167DF" w14:textId="786EBB94"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129ACEF3" w14:textId="77777777" w:rsidR="006A456C"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SD</w:t>
            </w:r>
            <w:r w:rsidRPr="00FA697F">
              <w:rPr>
                <w:rFonts w:ascii="Times New Roman" w:eastAsia="Times New Roman" w:hAnsi="Times New Roman" w:cs="Times New Roman"/>
                <w:sz w:val="16"/>
                <w:szCs w:val="16"/>
                <w:lang w:eastAsia="en-GB"/>
              </w:rPr>
              <w:br/>
            </w:r>
          </w:p>
          <w:p w14:paraId="5801FA5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$1,429 - $6,077</w:t>
            </w:r>
            <w:r w:rsidRPr="00FA697F">
              <w:rPr>
                <w:rFonts w:ascii="Times New Roman" w:eastAsia="Times New Roman" w:hAnsi="Times New Roman" w:cs="Times New Roman"/>
                <w:sz w:val="16"/>
                <w:szCs w:val="16"/>
                <w:lang w:eastAsia="en-GB"/>
              </w:rPr>
              <w:br/>
              <w:t>$509 - $3,468</w:t>
            </w:r>
          </w:p>
        </w:tc>
        <w:tc>
          <w:tcPr>
            <w:tcW w:w="260" w:type="dxa"/>
            <w:shd w:val="clear" w:color="auto" w:fill="auto"/>
            <w:tcMar>
              <w:left w:w="57" w:type="dxa"/>
              <w:right w:w="57" w:type="dxa"/>
            </w:tcMar>
            <w:hideMark/>
          </w:tcPr>
          <w:p w14:paraId="5EEDF96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A85D2C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AF4583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AE8FEB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7815A7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877B3D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33AEC3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684BAC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CFEDC2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850BF4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CC6CB0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11689DC6"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03F4C618" w14:textId="77777777" w:rsidTr="00115C53">
        <w:trPr>
          <w:trHeight w:val="2328"/>
        </w:trPr>
        <w:tc>
          <w:tcPr>
            <w:tcW w:w="431" w:type="dxa"/>
            <w:shd w:val="clear" w:color="auto" w:fill="auto"/>
            <w:tcMar>
              <w:left w:w="57" w:type="dxa"/>
              <w:right w:w="57" w:type="dxa"/>
            </w:tcMar>
            <w:hideMark/>
          </w:tcPr>
          <w:p w14:paraId="4D39F45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8</w:t>
            </w:r>
          </w:p>
        </w:tc>
        <w:tc>
          <w:tcPr>
            <w:tcW w:w="982" w:type="dxa"/>
            <w:shd w:val="clear" w:color="auto" w:fill="auto"/>
            <w:tcMar>
              <w:left w:w="57" w:type="dxa"/>
              <w:right w:w="57" w:type="dxa"/>
            </w:tcMar>
            <w:hideMark/>
          </w:tcPr>
          <w:p w14:paraId="436096A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Basu</w:t>
            </w:r>
            <w:r w:rsidR="00B80B83" w:rsidRPr="00FA697F">
              <w:rPr>
                <w:rFonts w:ascii="Times New Roman" w:eastAsia="Times New Roman" w:hAnsi="Times New Roman" w:cs="Times New Roman"/>
                <w:sz w:val="16"/>
                <w:szCs w:val="16"/>
                <w:lang w:eastAsia="en-GB"/>
              </w:rPr>
              <w:fldChar w:fldCharType="begin" w:fldLock="1"/>
            </w:r>
            <w:r w:rsidR="00556188" w:rsidRPr="00FA697F">
              <w:rPr>
                <w:rFonts w:ascii="Times New Roman" w:eastAsia="Times New Roman" w:hAnsi="Times New Roman" w:cs="Times New Roman"/>
                <w:sz w:val="16"/>
                <w:szCs w:val="16"/>
                <w:lang w:eastAsia="en-GB"/>
              </w:rPr>
              <w:instrText>ADDIN CSL_CITATION {"citationItems":[{"id":"ITEM-1","itemData":{"DOI":"10.1016/S2214-109X(18)30450-9","ISSN":"2214-109X (Electronic)","PMID":"30528531","abstract":"BACKGROUND: Cardiovascular diseases and their risk factors-particularly hypertension, dyslipidaemia, and diabetes-have become an increasing concern for middle-income countries. Using newly available, nationally representative data, we assessed how cardiovascular risk factors are distributed across subpopulations within South Africa and identified which cardiovascular treatments should be prioritised. METHODS: We created a demographically representative simulated population for South Africa and used data from 17 743 respondents aged 15 years or older of the 2012 South African National Health and Nutrition Examination Survey (SANHANES) to assign information on cardiovascular risk factors to each member of the simulated population. We created a microsimulation model to estimate the health and economic implications of two globally recognised treatment recommendations: WHO's package of essential non-communicable disease interventions (PEN) and South Africa's Primary Care 101 (SA PC 101) guidelines. The primary outcome was total disability-adjusted life-years (DALYs) averted through treatment of all cardiovascular disease or microvascular type 2 diabetes complications per 1000 population. We compared outcomes at the aspirational level of achieving access to treatment among 70% of the population. FINDINGS: Based on the SANHANES data, South Africans had a high prevalence of hypertension (24·8%), dyslipidaemia (17·5%), and diabetes (15·3%). Prevalence was disproportionately high and treatment low among male, black, and poor populations. Our simulated population experienced a burden of 40·0 DALYs (95% CI 29·5-52·0) per 1000 population per year from cardiovascular disease or type 2 diabetes complications at current treatment levels, which lowered to 32·9 DALYs (24·4-44·7) under WHO PEN implementation and to 32·5 (24·4-44·8) under SA PC 101 implementation. Under both guidelines, there were increases in blood pressure treatment (4·2 percentage points under WHO PEN vs 12·6 percentage points under SA PC 101), lipid treatment (16·0 vs 14·9), and glucose control medications (1·2 vs 0·6). The incremental cost-effectiveness of implementing SA PC 101 over current treatment would be a saving of US$24 902 (95% CI 14 666-62 579) per DALY averted compared with a saving of $17 587 (1840-42 589) under WHO PEN guidelines. INTERPRETATION: Cardiovascular risk factors are common and disproportionate among disadvantaged populations in South Africa. Treatment with blood pressure agent…","author":[{"dropping-particle":"","family":"Basu","given":"Sanjay","non-dropping-particle":"","parse-names":false,"suffix":""},{"dropping-particle":"","family":"Wagner","given":"Ryan G","non-dropping-particle":"","parse-names":false,"suffix":""},{"dropping-particle":"","family":"Sewpaul","given":"Ronel","non-dropping-particle":"","parse-names":false,"suffix":""},{"dropping-particle":"","family":"Reddy","given":"Priscilla","non-dropping-particle":"","parse-names":false,"suffix":""},{"dropping-particle":"","family":"Davies","given":"Justine","non-dropping-particle":"","parse-names":false,"suffix":""}],"container-title":"The Lancet. Global health","id":"ITEM-1","issue":"2","issued":{"date-parts":[["2019","2"]]},"language":"eng","page":"e270-e280","publisher-place":"England","title":"Implications of scaling up cardiovascular disease treatment in South Africa: a microsimulation and cost-effectiveness analysis.","type":"article-journal","volume":"7"},"uris":["http://www.mendeley.com/documents/?uuid=d18f6456-3b63-4234-b66d-4aecb0aad094"]}],"mendeley":{"formattedCitation":"&lt;sup&gt;8&lt;/sup&gt;","plainTextFormattedCitation":"8","previouslyFormattedCitation":"&lt;sup&gt;8&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556188" w:rsidRPr="00FA697F">
              <w:rPr>
                <w:rFonts w:ascii="Times New Roman" w:eastAsia="Times New Roman" w:hAnsi="Times New Roman" w:cs="Times New Roman"/>
                <w:noProof/>
                <w:sz w:val="16"/>
                <w:szCs w:val="16"/>
                <w:vertAlign w:val="superscript"/>
                <w:lang w:eastAsia="en-GB"/>
              </w:rPr>
              <w:t>8</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6B819DE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economic implications of treatment scale-up under two alternative guidelines</w:t>
            </w:r>
          </w:p>
        </w:tc>
        <w:tc>
          <w:tcPr>
            <w:tcW w:w="1299" w:type="dxa"/>
            <w:shd w:val="clear" w:color="auto" w:fill="auto"/>
            <w:tcMar>
              <w:left w:w="57" w:type="dxa"/>
              <w:right w:w="57" w:type="dxa"/>
            </w:tcMar>
            <w:hideMark/>
          </w:tcPr>
          <w:p w14:paraId="66946B9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with data available on cardiovascular risk factors; PHC &amp; hospital</w:t>
            </w:r>
          </w:p>
        </w:tc>
        <w:tc>
          <w:tcPr>
            <w:tcW w:w="1017" w:type="dxa"/>
            <w:shd w:val="clear" w:color="auto" w:fill="auto"/>
            <w:tcMar>
              <w:left w:w="57" w:type="dxa"/>
              <w:right w:w="57" w:type="dxa"/>
            </w:tcMar>
            <w:hideMark/>
          </w:tcPr>
          <w:p w14:paraId="66F00EE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22791468"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1A1094C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092761B8" w14:textId="2F78E768"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diabetic neuropathy</w:t>
            </w:r>
            <w:r w:rsidRPr="00FA697F">
              <w:rPr>
                <w:rFonts w:ascii="Times New Roman" w:eastAsia="Times New Roman" w:hAnsi="Times New Roman" w:cs="Times New Roman"/>
                <w:sz w:val="16"/>
                <w:szCs w:val="16"/>
                <w:lang w:eastAsia="en-GB"/>
              </w:rPr>
              <w:br/>
              <w:t xml:space="preserve">Physician &amp; nurse visits &amp; </w:t>
            </w:r>
            <w:r w:rsidR="000F5A32" w:rsidRPr="00FA697F">
              <w:rPr>
                <w:rFonts w:ascii="Times New Roman" w:eastAsia="Times New Roman" w:hAnsi="Times New Roman" w:cs="Times New Roman"/>
                <w:sz w:val="16"/>
                <w:szCs w:val="16"/>
                <w:lang w:eastAsia="en-GB"/>
              </w:rPr>
              <w:t>amitriptyline</w:t>
            </w:r>
            <w:r w:rsidRPr="00FA697F">
              <w:rPr>
                <w:rFonts w:ascii="Times New Roman" w:eastAsia="Times New Roman" w:hAnsi="Times New Roman" w:cs="Times New Roman"/>
                <w:sz w:val="16"/>
                <w:szCs w:val="16"/>
                <w:lang w:eastAsia="en-GB"/>
              </w:rPr>
              <w:t>: $70</w:t>
            </w:r>
            <w:r w:rsidRPr="00FA697F">
              <w:rPr>
                <w:rFonts w:ascii="Times New Roman" w:eastAsia="Times New Roman" w:hAnsi="Times New Roman" w:cs="Times New Roman"/>
                <w:sz w:val="16"/>
                <w:szCs w:val="16"/>
                <w:lang w:eastAsia="en-GB"/>
              </w:rPr>
              <w:br/>
              <w:t>Acute ulcer: $532 ($478 once</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off)</w:t>
            </w:r>
            <w:r w:rsidRPr="00FA697F">
              <w:rPr>
                <w:rFonts w:ascii="Times New Roman" w:eastAsia="Times New Roman" w:hAnsi="Times New Roman" w:cs="Times New Roman"/>
                <w:sz w:val="16"/>
                <w:szCs w:val="16"/>
                <w:lang w:eastAsia="en-GB"/>
              </w:rPr>
              <w:br/>
              <w:t>Minor amputation: $1,709 ($1,656 once off)</w:t>
            </w:r>
            <w:r w:rsidRPr="00FA697F">
              <w:rPr>
                <w:rFonts w:ascii="Times New Roman" w:eastAsia="Times New Roman" w:hAnsi="Times New Roman" w:cs="Times New Roman"/>
                <w:sz w:val="16"/>
                <w:szCs w:val="16"/>
                <w:lang w:eastAsia="en-GB"/>
              </w:rPr>
              <w:br/>
              <w:t>Major amputation: $3,853 ($3,379 once off)</w:t>
            </w:r>
            <w:r w:rsidRPr="00FA697F">
              <w:rPr>
                <w:rFonts w:ascii="Times New Roman" w:eastAsia="Times New Roman" w:hAnsi="Times New Roman" w:cs="Times New Roman"/>
                <w:sz w:val="16"/>
                <w:szCs w:val="16"/>
                <w:lang w:eastAsia="en-GB"/>
              </w:rPr>
              <w:b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46DC8CC3" w14:textId="77777777" w:rsidR="00112353" w:rsidRPr="00FA697F" w:rsidRDefault="00112353" w:rsidP="00112353">
            <w:pPr>
              <w:spacing w:after="0" w:line="240" w:lineRule="auto"/>
              <w:rPr>
                <w:rFonts w:ascii="Times New Roman" w:eastAsia="Times New Roman" w:hAnsi="Times New Roman" w:cs="Times New Roman"/>
                <w:i/>
                <w:iCs/>
                <w:sz w:val="16"/>
                <w:szCs w:val="16"/>
                <w:lang w:eastAsia="en-GB"/>
              </w:rPr>
            </w:pPr>
            <w:r w:rsidRPr="00FA697F">
              <w:rPr>
                <w:rFonts w:ascii="Times New Roman" w:eastAsia="Times New Roman" w:hAnsi="Times New Roman" w:cs="Times New Roman"/>
                <w:i/>
                <w:iCs/>
                <w:sz w:val="16"/>
                <w:szCs w:val="16"/>
                <w:lang w:eastAsia="en-GB"/>
              </w:rPr>
              <w:t>N/A</w:t>
            </w:r>
          </w:p>
        </w:tc>
        <w:tc>
          <w:tcPr>
            <w:tcW w:w="260" w:type="dxa"/>
            <w:shd w:val="clear" w:color="auto" w:fill="auto"/>
            <w:tcMar>
              <w:left w:w="57" w:type="dxa"/>
              <w:right w:w="57" w:type="dxa"/>
            </w:tcMar>
            <w:hideMark/>
          </w:tcPr>
          <w:p w14:paraId="1610E22B" w14:textId="77777777" w:rsidR="00112353" w:rsidRPr="00FA697F" w:rsidRDefault="00112353" w:rsidP="00112353">
            <w:pPr>
              <w:spacing w:after="0" w:line="240" w:lineRule="auto"/>
              <w:rPr>
                <w:rFonts w:ascii="Times New Roman" w:eastAsia="Times New Roman" w:hAnsi="Times New Roman" w:cs="Times New Roman"/>
                <w:i/>
                <w:iCs/>
                <w:sz w:val="16"/>
                <w:szCs w:val="16"/>
                <w:lang w:eastAsia="en-GB"/>
              </w:rPr>
            </w:pPr>
          </w:p>
        </w:tc>
        <w:tc>
          <w:tcPr>
            <w:tcW w:w="294" w:type="dxa"/>
            <w:shd w:val="clear" w:color="auto" w:fill="auto"/>
            <w:tcMar>
              <w:left w:w="57" w:type="dxa"/>
              <w:right w:w="57" w:type="dxa"/>
            </w:tcMar>
            <w:hideMark/>
          </w:tcPr>
          <w:p w14:paraId="20C1507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33955C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99B832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E02AE2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7DF0EB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3445D7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0C1A58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FF7C7B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FB4AC1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13BB41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1A77E0B9"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Surgery </w:t>
            </w:r>
            <w:r w:rsidR="000F5A32" w:rsidRPr="00FA697F">
              <w:rPr>
                <w:rFonts w:ascii="Times New Roman" w:eastAsia="Times New Roman" w:hAnsi="Times New Roman" w:cs="Times New Roman"/>
                <w:sz w:val="16"/>
                <w:szCs w:val="16"/>
                <w:lang w:eastAsia="en-GB"/>
              </w:rPr>
              <w:t>theatre</w:t>
            </w:r>
            <w:r w:rsidRPr="00FA697F">
              <w:rPr>
                <w:rFonts w:ascii="Times New Roman" w:eastAsia="Times New Roman" w:hAnsi="Times New Roman" w:cs="Times New Roman"/>
                <w:sz w:val="16"/>
                <w:szCs w:val="16"/>
                <w:lang w:eastAsia="en-GB"/>
              </w:rPr>
              <w:t xml:space="preserve"> </w:t>
            </w:r>
            <w:r w:rsidR="000F5A32" w:rsidRPr="00FA697F">
              <w:rPr>
                <w:rFonts w:ascii="Times New Roman" w:eastAsia="Times New Roman" w:hAnsi="Times New Roman" w:cs="Times New Roman"/>
                <w:sz w:val="16"/>
                <w:szCs w:val="16"/>
                <w:lang w:eastAsia="en-GB"/>
              </w:rPr>
              <w:t>time, follow</w:t>
            </w:r>
            <w:r w:rsidRPr="00FA697F">
              <w:rPr>
                <w:rFonts w:ascii="Times New Roman" w:eastAsia="Times New Roman" w:hAnsi="Times New Roman" w:cs="Times New Roman"/>
                <w:sz w:val="16"/>
                <w:szCs w:val="16"/>
                <w:lang w:eastAsia="en-GB"/>
              </w:rPr>
              <w:t>-up, physiotherapy for major amputation</w:t>
            </w:r>
          </w:p>
        </w:tc>
      </w:tr>
      <w:tr w:rsidR="003C76E8" w:rsidRPr="00FA697F" w14:paraId="705F924B" w14:textId="77777777" w:rsidTr="00115C53">
        <w:trPr>
          <w:trHeight w:val="922"/>
        </w:trPr>
        <w:tc>
          <w:tcPr>
            <w:tcW w:w="431" w:type="dxa"/>
            <w:shd w:val="clear" w:color="auto" w:fill="auto"/>
            <w:tcMar>
              <w:left w:w="57" w:type="dxa"/>
              <w:right w:w="57" w:type="dxa"/>
            </w:tcMar>
            <w:hideMark/>
          </w:tcPr>
          <w:p w14:paraId="606032A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11</w:t>
            </w:r>
          </w:p>
        </w:tc>
        <w:tc>
          <w:tcPr>
            <w:tcW w:w="982" w:type="dxa"/>
            <w:shd w:val="clear" w:color="auto" w:fill="auto"/>
            <w:tcMar>
              <w:left w:w="57" w:type="dxa"/>
              <w:right w:w="57" w:type="dxa"/>
            </w:tcMar>
            <w:hideMark/>
          </w:tcPr>
          <w:p w14:paraId="65830EE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Erzse</w:t>
            </w:r>
            <w:r w:rsidR="00B80B83" w:rsidRPr="00FA697F">
              <w:rPr>
                <w:rFonts w:ascii="Times New Roman" w:eastAsia="Times New Roman" w:hAnsi="Times New Roman" w:cs="Times New Roman"/>
                <w:sz w:val="16"/>
                <w:szCs w:val="16"/>
                <w:lang w:eastAsia="en-GB"/>
              </w:rPr>
              <w:fldChar w:fldCharType="begin" w:fldLock="1"/>
            </w:r>
            <w:r w:rsidR="00B80B83" w:rsidRPr="00FA697F">
              <w:rPr>
                <w:rFonts w:ascii="Times New Roman" w:eastAsia="Times New Roman" w:hAnsi="Times New Roman" w:cs="Times New Roman"/>
                <w:sz w:val="16"/>
                <w:szCs w:val="16"/>
                <w:lang w:eastAsia="en-GB"/>
              </w:rPr>
              <w:instrText>ADDIN CSL_CITATION {"citationItems":[{"id":"ITEM-1","itemData":{"DOI":"10.1080/16549716.2019.1636611","ISSN":"16549880","PMID":"31282315","abstract":"Background: Type 2 diabetes mellitus (T2DM) is known to require continuous clinical care and management that consumes significant health-care resources. These costs are not well understood, particularly in low- and middle-income countries. Objective: The aim of this study was to estimate the direct medical costs associated with T2DM in the South African public health sector and to project an estimate of the future direct costs of T2DM by 2030. Methods: A cost of illness study was conducted to estimate the direct medical costs of T2DM in South Africa in 2018 and to make projections for potential costs in 2030. Costs were estimated for diagnosis and management of T2DM, and related complications. Analyses were implemented in Microsoft Excel, with sensitivity analysis conducted on particular parameters. Results: In 2018, public sector costs of diagnosed T2DM patients were approximately ZAR 2.7 bn and ZAR 21.8 bn if both diagnosed and undiagnosed patients are considered. In real terms, the 2030 cost of all T2DM cases is estimated to be ZAR 35.1 bn. Approximately 51% of these estimated costs for 2030 are attributable to the management of T2DM, and 49% are attributable to complications. Conclusion: T2DM imposes a significant financial burden on the public healthcare system in South Africa. Treatment of all prevalent cases would incur a cost equivalent to approximately 12% of the total national health budget in 2018. With rising prevalence, direct costs will grow if current care regimes are maintained and case-finding improved. Increased financial resources are necessary in order to deliver effective services to people with T2DM.","author":[{"dropping-particle":"","family":"Erzse","given":"Agnes","non-dropping-particle":"","parse-names":false,"suffix":""},{"dropping-particle":"","family":"Stacey","given":"Nicholas","non-dropping-particle":"","parse-names":false,"suffix":""},{"dropping-particle":"","family":"Chola","given":"Lumbwe","non-dropping-particle":"","parse-names":false,"suffix":""},{"dropping-particle":"","family":"Tugendhaft","given":"Aviva","non-dropping-particle":"","parse-names":false,"suffix":""},{"dropping-particle":"","family":"Freeman","given":"Melvyn","non-dropping-particle":"","parse-names":false,"suffix":""},{"dropping-particle":"","family":"Hofman","given":"Karen","non-dropping-particle":"","parse-names":false,"suffix":""}],"container-title":"Global Health Action","id":"ITEM-1","issue":"1","issued":{"date-parts":[["2019"]]},"page":"1-9","title":"The direct medical cost of type 2 diabetes mellitus in South Africa: a cost of illness study","type":"article-journal","volume":"12"},"uris":["http://www.mendeley.com/documents/?uuid=c3d8c560-9c19-4b84-9be5-8bfe99d443ce"]}],"mendeley":{"formattedCitation":"&lt;sup&gt;11&lt;/sup&gt;","plainTextFormattedCitation":"11","previouslyFormattedCitation":"&lt;sup&gt;11&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B80B83" w:rsidRPr="00FA697F">
              <w:rPr>
                <w:rFonts w:ascii="Times New Roman" w:eastAsia="Times New Roman" w:hAnsi="Times New Roman" w:cs="Times New Roman"/>
                <w:noProof/>
                <w:sz w:val="16"/>
                <w:szCs w:val="16"/>
                <w:vertAlign w:val="superscript"/>
                <w:lang w:eastAsia="en-GB"/>
              </w:rPr>
              <w:t>11</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6FDF612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w:t>
            </w:r>
            <w:r w:rsidR="000F5A32"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direct medical costs associated with T2DM</w:t>
            </w:r>
          </w:p>
        </w:tc>
        <w:tc>
          <w:tcPr>
            <w:tcW w:w="1299" w:type="dxa"/>
            <w:shd w:val="clear" w:color="auto" w:fill="auto"/>
            <w:tcMar>
              <w:left w:w="57" w:type="dxa"/>
              <w:right w:w="57" w:type="dxa"/>
            </w:tcMar>
            <w:hideMark/>
          </w:tcPr>
          <w:p w14:paraId="679FCA1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hospital</w:t>
            </w:r>
          </w:p>
        </w:tc>
        <w:tc>
          <w:tcPr>
            <w:tcW w:w="1017" w:type="dxa"/>
            <w:shd w:val="clear" w:color="auto" w:fill="auto"/>
            <w:tcMar>
              <w:left w:w="57" w:type="dxa"/>
              <w:right w:w="57" w:type="dxa"/>
            </w:tcMar>
            <w:hideMark/>
          </w:tcPr>
          <w:p w14:paraId="7818F75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70D5079C"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3791F19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74ED384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Amputation: $1,936 (once off)</w:t>
            </w:r>
          </w:p>
        </w:tc>
        <w:tc>
          <w:tcPr>
            <w:tcW w:w="1051" w:type="dxa"/>
            <w:shd w:val="clear" w:color="auto" w:fill="auto"/>
            <w:tcMar>
              <w:left w:w="57" w:type="dxa"/>
              <w:right w:w="57" w:type="dxa"/>
            </w:tcMar>
            <w:hideMark/>
          </w:tcPr>
          <w:p w14:paraId="4B956F4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3EDC106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B6F009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C755B6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D41002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B06BD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82587A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2D29B4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49C3C8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8C9D37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1C160D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2AC897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002396DF"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Below knee prosthesis</w:t>
            </w:r>
          </w:p>
        </w:tc>
      </w:tr>
      <w:tr w:rsidR="003C76E8" w:rsidRPr="00FA697F" w14:paraId="44498146" w14:textId="77777777" w:rsidTr="00115C53">
        <w:trPr>
          <w:trHeight w:val="288"/>
        </w:trPr>
        <w:tc>
          <w:tcPr>
            <w:tcW w:w="14967" w:type="dxa"/>
            <w:gridSpan w:val="21"/>
            <w:shd w:val="clear" w:color="auto" w:fill="auto"/>
            <w:tcMar>
              <w:left w:w="57" w:type="dxa"/>
              <w:right w:w="57" w:type="dxa"/>
            </w:tcMar>
            <w:hideMark/>
          </w:tcPr>
          <w:p w14:paraId="1D7C4AAD" w14:textId="77777777" w:rsidR="00112353" w:rsidRPr="00FA697F" w:rsidRDefault="00112353" w:rsidP="00A12EB6">
            <w:pPr>
              <w:spacing w:after="0" w:line="240" w:lineRule="auto"/>
              <w:rPr>
                <w:rFonts w:ascii="Times New Roman" w:eastAsia="Times New Roman" w:hAnsi="Times New Roman" w:cs="Times New Roman"/>
                <w:b/>
                <w:bCs/>
                <w:iCs/>
                <w:sz w:val="16"/>
                <w:szCs w:val="16"/>
                <w:lang w:eastAsia="en-GB"/>
              </w:rPr>
            </w:pPr>
            <w:r w:rsidRPr="00FA697F">
              <w:rPr>
                <w:rFonts w:ascii="Times New Roman" w:eastAsia="Times New Roman" w:hAnsi="Times New Roman" w:cs="Times New Roman"/>
                <w:b/>
                <w:bCs/>
                <w:iCs/>
                <w:sz w:val="16"/>
                <w:szCs w:val="16"/>
                <w:lang w:eastAsia="en-GB"/>
              </w:rPr>
              <w:t>Treatment of other diabetes complications</w:t>
            </w:r>
          </w:p>
        </w:tc>
      </w:tr>
      <w:tr w:rsidR="003C76E8" w:rsidRPr="00FA697F" w14:paraId="51920A90" w14:textId="77777777" w:rsidTr="00DA0AFD">
        <w:trPr>
          <w:trHeight w:val="1317"/>
        </w:trPr>
        <w:tc>
          <w:tcPr>
            <w:tcW w:w="431" w:type="dxa"/>
            <w:shd w:val="clear" w:color="auto" w:fill="auto"/>
            <w:tcMar>
              <w:left w:w="57" w:type="dxa"/>
              <w:right w:w="57" w:type="dxa"/>
            </w:tcMar>
            <w:hideMark/>
          </w:tcPr>
          <w:p w14:paraId="52F13DA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15</w:t>
            </w:r>
          </w:p>
        </w:tc>
        <w:tc>
          <w:tcPr>
            <w:tcW w:w="982" w:type="dxa"/>
            <w:shd w:val="clear" w:color="auto" w:fill="auto"/>
            <w:tcMar>
              <w:left w:w="57" w:type="dxa"/>
              <w:right w:w="57" w:type="dxa"/>
            </w:tcMar>
            <w:hideMark/>
          </w:tcPr>
          <w:p w14:paraId="0BD65C9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Pepper</w:t>
            </w:r>
            <w:r w:rsidR="00B80B83" w:rsidRPr="00FA697F">
              <w:rPr>
                <w:rFonts w:ascii="Times New Roman" w:eastAsia="Times New Roman" w:hAnsi="Times New Roman" w:cs="Times New Roman"/>
                <w:sz w:val="16"/>
                <w:szCs w:val="16"/>
                <w:lang w:eastAsia="en-GB"/>
              </w:rPr>
              <w:fldChar w:fldCharType="begin" w:fldLock="1"/>
            </w:r>
            <w:r w:rsidR="00556188" w:rsidRPr="00FA697F">
              <w:rPr>
                <w:rFonts w:ascii="Times New Roman" w:eastAsia="Times New Roman" w:hAnsi="Times New Roman" w:cs="Times New Roman"/>
                <w:sz w:val="16"/>
                <w:szCs w:val="16"/>
                <w:lang w:eastAsia="en-GB"/>
              </w:rPr>
              <w:instrText>ADDIN CSL_CITATION {"citationItems":[{"id":"ITEM-1","itemData":{"DOI":"10.1080/22201009.2007.10872157","ISSN":"02569574","PMID":"18000580","abstract":"Background and objectives. Diabetes affects approximately 1 million South Africans. Hospital admissions, the largest single item of diabetes expenditure, are often precipitated by hyperglycaemic emergencies. A recent survey of a 200-bed hospital, serving approximately 1.3 million Cape Town residents, showed that hyperglycaemic emergencies comprised 25.6% of high-care unit admissions. A study was undertaken to determine the reasons for, and financial cost of, these admissions. Methods. All hyperglycaemic admissions during a 2-month period (1 September - 31 October 2005) were surveyed prospectively. Admissions were classified using the American Diabetes Association classification of hyperglycaemic emergencies. Demographic data, and the reason for, duration of and primary outcome of admission, were recorded. The following costs per admission were calculated using public- sector pricing: (i) total costs; (ii) patient-specific costs; (iii) non-patient-specific costs; and (iv) capital costs. Results. Sepsis (36%), non-compliance with therapy (32%) and a new diagnosis of diabetes (11%) were the predominant reasons for admission of 53 hyperglycaemic emergency cases. Mean duration of hospital stay was 4 days, with an in-hospital mortality of 7.5%. Mean cost per admission was R5 309. Clinical staff (25.8%), capital (25.6%) and overhead (34%) costs comprised 85.4% of expenditure. Discussion and recommendations. Hyperglycaemic admissions, costing more than R5 300 per patient, represent a health burden that has remained unchanged over the past 20 years. Urgently required primary care preventive strategies include early diagnosis of diabetes, timely identification and treatment of precipitating causes, specifically sepsis, and education to improve compliance.","author":[{"dropping-particle":"","family":"Pepper","given":"Dominique J.","non-dropping-particle":"","parse-names":false,"suffix":""},{"dropping-particle":"","family":"Levitt","given":"N. S.","non-dropping-particle":"","parse-names":false,"suffix":""},{"dropping-particle":"","family":"Cleary","given":"S.","non-dropping-particle":"","parse-names":false,"suffix":""},{"dropping-particle":"","family":"Burch","given":"V. C.","non-dropping-particle":"","parse-names":false,"suffix":""}],"container-title":"South African Medical Journal","id":"ITEM-1","issue":"10 I","issued":{"date-parts":[["2007"]]},"page":"963-967","title":"Hyperglycaemic emergency admissions to a secondary-level hospital - An unnecessary financial burden","type":"article-journal","volume":"97"},"uris":["http://www.mendeley.com/documents/?uuid=8382e4e6-063d-4238-8176-0c300a7a0ba7"]}],"mendeley":{"formattedCitation":"&lt;sup&gt;15&lt;/sup&gt;","plainTextFormattedCitation":"15","previouslyFormattedCitation":"&lt;sup&gt;15&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556188" w:rsidRPr="00FA697F">
              <w:rPr>
                <w:rFonts w:ascii="Times New Roman" w:eastAsia="Times New Roman" w:hAnsi="Times New Roman" w:cs="Times New Roman"/>
                <w:noProof/>
                <w:sz w:val="16"/>
                <w:szCs w:val="16"/>
                <w:vertAlign w:val="superscript"/>
                <w:lang w:eastAsia="en-GB"/>
              </w:rPr>
              <w:t>15</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(2007)</w:t>
            </w:r>
          </w:p>
        </w:tc>
        <w:tc>
          <w:tcPr>
            <w:tcW w:w="1843" w:type="dxa"/>
            <w:shd w:val="clear" w:color="auto" w:fill="auto"/>
            <w:tcMar>
              <w:left w:w="57" w:type="dxa"/>
              <w:right w:w="57" w:type="dxa"/>
            </w:tcMar>
            <w:hideMark/>
          </w:tcPr>
          <w:p w14:paraId="39AA3C6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Determine reasons for and financial costs for hyperglycaemic emergency admissions to an urban, acute adult hospital</w:t>
            </w:r>
          </w:p>
        </w:tc>
        <w:tc>
          <w:tcPr>
            <w:tcW w:w="1299" w:type="dxa"/>
            <w:shd w:val="clear" w:color="auto" w:fill="auto"/>
            <w:tcMar>
              <w:left w:w="57" w:type="dxa"/>
              <w:right w:w="57" w:type="dxa"/>
            </w:tcMar>
            <w:hideMark/>
          </w:tcPr>
          <w:p w14:paraId="52DB524B"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Patients admitted with hyperglycaemic</w:t>
            </w:r>
            <w:r w:rsidR="00112353" w:rsidRPr="00FA697F">
              <w:rPr>
                <w:rFonts w:ascii="Times New Roman" w:eastAsia="Times New Roman" w:hAnsi="Times New Roman" w:cs="Times New Roman"/>
                <w:sz w:val="16"/>
                <w:szCs w:val="16"/>
                <w:lang w:eastAsia="en-GB"/>
              </w:rPr>
              <w:t xml:space="preserve"> emergency; hospital</w:t>
            </w:r>
          </w:p>
        </w:tc>
        <w:tc>
          <w:tcPr>
            <w:tcW w:w="1017" w:type="dxa"/>
            <w:shd w:val="clear" w:color="auto" w:fill="auto"/>
            <w:tcMar>
              <w:left w:w="57" w:type="dxa"/>
              <w:right w:w="57" w:type="dxa"/>
            </w:tcMar>
            <w:hideMark/>
          </w:tcPr>
          <w:p w14:paraId="42F0E72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2EE0B031"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bottom-up approach</w:t>
            </w:r>
          </w:p>
        </w:tc>
        <w:tc>
          <w:tcPr>
            <w:tcW w:w="1011" w:type="dxa"/>
            <w:shd w:val="clear" w:color="auto" w:fill="auto"/>
            <w:tcMar>
              <w:left w:w="57" w:type="dxa"/>
              <w:right w:w="57" w:type="dxa"/>
            </w:tcMar>
            <w:hideMark/>
          </w:tcPr>
          <w:p w14:paraId="7CD4064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2005</w:t>
            </w:r>
          </w:p>
        </w:tc>
        <w:tc>
          <w:tcPr>
            <w:tcW w:w="2146" w:type="dxa"/>
            <w:shd w:val="clear" w:color="auto" w:fill="auto"/>
            <w:tcMar>
              <w:left w:w="57" w:type="dxa"/>
              <w:right w:w="57" w:type="dxa"/>
            </w:tcMar>
            <w:hideMark/>
          </w:tcPr>
          <w:p w14:paraId="6D02317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hyperglycaemic emergency admissions</w:t>
            </w:r>
            <w:r w:rsidRPr="00FA697F">
              <w:rPr>
                <w:rFonts w:ascii="Times New Roman" w:eastAsia="Times New Roman" w:hAnsi="Times New Roman" w:cs="Times New Roman"/>
                <w:sz w:val="16"/>
                <w:szCs w:val="16"/>
                <w:lang w:eastAsia="en-GB"/>
              </w:rPr>
              <w:br/>
              <w:t>Hyperglycaemic emergency admissions: $866</w:t>
            </w:r>
            <w:r w:rsidR="00906ED0"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per admission</w:t>
            </w:r>
          </w:p>
        </w:tc>
        <w:tc>
          <w:tcPr>
            <w:tcW w:w="1051" w:type="dxa"/>
            <w:shd w:val="clear" w:color="auto" w:fill="auto"/>
            <w:tcMar>
              <w:left w:w="57" w:type="dxa"/>
              <w:right w:w="57" w:type="dxa"/>
            </w:tcMar>
            <w:hideMark/>
          </w:tcPr>
          <w:p w14:paraId="083010A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36FA89B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482F9A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FB0DF1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F6AC07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D66195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0E76B3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909B90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50C58C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5B591D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1A7F77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3CE33D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28A809F0"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Imaging</w:t>
            </w:r>
          </w:p>
        </w:tc>
      </w:tr>
      <w:tr w:rsidR="003C76E8" w:rsidRPr="00FA697F" w14:paraId="53EAAB58" w14:textId="77777777" w:rsidTr="00115C53">
        <w:trPr>
          <w:trHeight w:hRule="exact" w:val="2865"/>
        </w:trPr>
        <w:tc>
          <w:tcPr>
            <w:tcW w:w="431" w:type="dxa"/>
            <w:shd w:val="clear" w:color="auto" w:fill="auto"/>
            <w:tcMar>
              <w:left w:w="57" w:type="dxa"/>
              <w:right w:w="57" w:type="dxa"/>
            </w:tcMar>
            <w:hideMark/>
          </w:tcPr>
          <w:p w14:paraId="6AAC100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9</w:t>
            </w:r>
          </w:p>
        </w:tc>
        <w:tc>
          <w:tcPr>
            <w:tcW w:w="982" w:type="dxa"/>
            <w:shd w:val="clear" w:color="auto" w:fill="auto"/>
            <w:tcMar>
              <w:left w:w="57" w:type="dxa"/>
              <w:right w:w="57" w:type="dxa"/>
            </w:tcMar>
            <w:hideMark/>
          </w:tcPr>
          <w:p w14:paraId="65EEBA1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Nomame</w:t>
            </w:r>
            <w:r w:rsidR="00B80B83" w:rsidRPr="00FA697F">
              <w:rPr>
                <w:rFonts w:ascii="Times New Roman" w:eastAsia="Times New Roman" w:hAnsi="Times New Roman" w:cs="Times New Roman"/>
                <w:sz w:val="16"/>
                <w:szCs w:val="16"/>
                <w:lang w:eastAsia="en-GB"/>
              </w:rPr>
              <w:fldChar w:fldCharType="begin" w:fldLock="1"/>
            </w:r>
            <w:r w:rsidR="003B381E" w:rsidRPr="00FA697F">
              <w:rPr>
                <w:rFonts w:ascii="Times New Roman" w:eastAsia="Times New Roman" w:hAnsi="Times New Roman" w:cs="Times New Roman"/>
                <w:sz w:val="16"/>
                <w:szCs w:val="16"/>
                <w:lang w:eastAsia="en-GB"/>
              </w:rPr>
              <w:instrText>ADDIN CSL_CITATION {"citationItems":[{"id":"ITEM-1","itemData":{"author":[{"dropping-particle":"","family":"Nomame","given":"S","non-dropping-particle":"","parse-names":false,"suffix":""}],"id":"ITEM-1","issued":{"date-parts":[["0"]]},"title":"Development of a Model To Predict the Cost of Management of Diabetes Mellitus and Its Complications At Groote Schuur Hospital","type":"article-journal"},"uris":["http://www.mendeley.com/documents/?uuid=c2ccd82e-09b8-45c9-9598-3095c9d5b487"]}],"mendeley":{"formattedCitation":"&lt;sup&gt;9&lt;/sup&gt;","plainTextFormattedCitation":"9","previouslyFormattedCitation":"&lt;sup&gt;9&lt;/sup&gt;"},"properties":{"noteIndex":0},"schema":"https://github.com/citation-style-language/schema/raw/master/csl-citation.json"}</w:instrText>
            </w:r>
            <w:r w:rsidR="00B80B83" w:rsidRPr="00FA697F">
              <w:rPr>
                <w:rFonts w:ascii="Times New Roman" w:eastAsia="Times New Roman" w:hAnsi="Times New Roman" w:cs="Times New Roman"/>
                <w:sz w:val="16"/>
                <w:szCs w:val="16"/>
                <w:lang w:eastAsia="en-GB"/>
              </w:rPr>
              <w:fldChar w:fldCharType="separate"/>
            </w:r>
            <w:r w:rsidR="00B80B83" w:rsidRPr="00FA697F">
              <w:rPr>
                <w:rFonts w:ascii="Times New Roman" w:eastAsia="Times New Roman" w:hAnsi="Times New Roman" w:cs="Times New Roman"/>
                <w:noProof/>
                <w:sz w:val="16"/>
                <w:szCs w:val="16"/>
                <w:vertAlign w:val="superscript"/>
                <w:lang w:eastAsia="en-GB"/>
              </w:rPr>
              <w:t>9</w:t>
            </w:r>
            <w:r w:rsidR="00B80B83"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(2012)</w:t>
            </w:r>
          </w:p>
        </w:tc>
        <w:tc>
          <w:tcPr>
            <w:tcW w:w="1843" w:type="dxa"/>
            <w:shd w:val="clear" w:color="auto" w:fill="auto"/>
            <w:tcMar>
              <w:left w:w="57" w:type="dxa"/>
              <w:right w:w="57" w:type="dxa"/>
            </w:tcMar>
            <w:hideMark/>
          </w:tcPr>
          <w:p w14:paraId="126632B7" w14:textId="3553FBE0"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Determine the direct medical costs and predict the cost of diabetes mellitus and its complications at Groote Schuur hospital</w:t>
            </w:r>
          </w:p>
        </w:tc>
        <w:tc>
          <w:tcPr>
            <w:tcW w:w="1299" w:type="dxa"/>
            <w:shd w:val="clear" w:color="auto" w:fill="auto"/>
            <w:tcMar>
              <w:left w:w="57" w:type="dxa"/>
              <w:right w:w="57" w:type="dxa"/>
            </w:tcMar>
            <w:hideMark/>
          </w:tcPr>
          <w:p w14:paraId="75B463F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Adults (&gt;18) with diabetes </w:t>
            </w:r>
            <w:r w:rsidR="000F5A32" w:rsidRPr="00FA697F">
              <w:rPr>
                <w:rFonts w:ascii="Times New Roman" w:eastAsia="Times New Roman" w:hAnsi="Times New Roman" w:cs="Times New Roman"/>
                <w:sz w:val="16"/>
                <w:szCs w:val="16"/>
                <w:lang w:eastAsia="en-GB"/>
              </w:rPr>
              <w:t>mellitus;</w:t>
            </w:r>
            <w:r w:rsidRPr="00FA697F">
              <w:rPr>
                <w:rFonts w:ascii="Times New Roman" w:eastAsia="Times New Roman" w:hAnsi="Times New Roman" w:cs="Times New Roman"/>
                <w:sz w:val="16"/>
                <w:szCs w:val="16"/>
                <w:lang w:eastAsia="en-GB"/>
              </w:rPr>
              <w:t xml:space="preserve"> tertiary hospital</w:t>
            </w:r>
          </w:p>
        </w:tc>
        <w:tc>
          <w:tcPr>
            <w:tcW w:w="1017" w:type="dxa"/>
            <w:shd w:val="clear" w:color="auto" w:fill="auto"/>
            <w:tcMar>
              <w:left w:w="57" w:type="dxa"/>
              <w:right w:w="57" w:type="dxa"/>
            </w:tcMar>
            <w:hideMark/>
          </w:tcPr>
          <w:p w14:paraId="246B80C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4B39075F"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bottom-up approach</w:t>
            </w:r>
          </w:p>
        </w:tc>
        <w:tc>
          <w:tcPr>
            <w:tcW w:w="1011" w:type="dxa"/>
            <w:shd w:val="clear" w:color="auto" w:fill="auto"/>
            <w:tcMar>
              <w:left w:w="57" w:type="dxa"/>
              <w:right w:w="57" w:type="dxa"/>
            </w:tcMar>
            <w:hideMark/>
          </w:tcPr>
          <w:p w14:paraId="65DCAB9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2009 - 2010</w:t>
            </w:r>
          </w:p>
        </w:tc>
        <w:tc>
          <w:tcPr>
            <w:tcW w:w="2146" w:type="dxa"/>
            <w:shd w:val="clear" w:color="auto" w:fill="auto"/>
            <w:tcMar>
              <w:left w:w="57" w:type="dxa"/>
              <w:right w:w="57" w:type="dxa"/>
            </w:tcMar>
            <w:hideMark/>
          </w:tcPr>
          <w:p w14:paraId="5DB099A6"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Management of diabetes mellitus complications</w:t>
            </w:r>
            <w:r w:rsidRPr="00FA697F">
              <w:rPr>
                <w:rFonts w:ascii="Times New Roman" w:eastAsia="Times New Roman" w:hAnsi="Times New Roman" w:cs="Times New Roman"/>
                <w:sz w:val="16"/>
                <w:szCs w:val="16"/>
                <w:lang w:eastAsia="en-GB"/>
              </w:rPr>
              <w:br/>
              <w:t>Mean: $373</w:t>
            </w:r>
            <w:r w:rsidRPr="00FA697F">
              <w:rPr>
                <w:rFonts w:ascii="Times New Roman" w:eastAsia="Times New Roman" w:hAnsi="Times New Roman" w:cs="Times New Roman"/>
                <w:sz w:val="16"/>
                <w:szCs w:val="16"/>
                <w:lang w:eastAsia="en-GB"/>
              </w:rPr>
              <w:br/>
              <w:t>Median: $155</w:t>
            </w:r>
          </w:p>
          <w:p w14:paraId="5B03598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 over 20 months</w:t>
            </w:r>
          </w:p>
        </w:tc>
        <w:tc>
          <w:tcPr>
            <w:tcW w:w="1051" w:type="dxa"/>
            <w:shd w:val="clear" w:color="auto" w:fill="auto"/>
            <w:tcMar>
              <w:left w:w="57" w:type="dxa"/>
              <w:right w:w="57" w:type="dxa"/>
            </w:tcMar>
            <w:hideMark/>
          </w:tcPr>
          <w:p w14:paraId="2A8F9E23"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SD</w:t>
            </w:r>
            <w:r w:rsidRPr="00FA697F">
              <w:rPr>
                <w:rFonts w:ascii="Times New Roman" w:eastAsia="Times New Roman" w:hAnsi="Times New Roman" w:cs="Times New Roman"/>
                <w:sz w:val="16"/>
                <w:szCs w:val="16"/>
                <w:lang w:eastAsia="en-GB"/>
              </w:rPr>
              <w:br/>
            </w:r>
          </w:p>
          <w:p w14:paraId="62B280B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$4 - $3,518</w:t>
            </w:r>
            <w:r w:rsidRPr="00FA697F">
              <w:rPr>
                <w:rFonts w:ascii="Times New Roman" w:eastAsia="Times New Roman" w:hAnsi="Times New Roman" w:cs="Times New Roman"/>
                <w:sz w:val="16"/>
                <w:szCs w:val="16"/>
                <w:lang w:eastAsia="en-GB"/>
              </w:rPr>
              <w:br/>
              <w:t>N/A</w:t>
            </w:r>
          </w:p>
        </w:tc>
        <w:tc>
          <w:tcPr>
            <w:tcW w:w="260" w:type="dxa"/>
            <w:shd w:val="clear" w:color="auto" w:fill="auto"/>
            <w:tcMar>
              <w:left w:w="57" w:type="dxa"/>
              <w:right w:w="57" w:type="dxa"/>
            </w:tcMar>
            <w:hideMark/>
          </w:tcPr>
          <w:p w14:paraId="75013B8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B54BF3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D37BA6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DF6E81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431CE8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5CD290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AAAA69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FC4B9A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9141A1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33A6C1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35209A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1D49D870" w14:textId="77777777" w:rsidR="00443E91"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Doctor consultations, dispensing fees,</w:t>
            </w:r>
          </w:p>
          <w:p w14:paraId="35010912" w14:textId="77777777" w:rsidR="00443E91"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radiological</w:t>
            </w:r>
            <w:r w:rsidR="00970327"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 xml:space="preserve">&amp; electrography </w:t>
            </w:r>
          </w:p>
          <w:p w14:paraId="03C5BCDA"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procedures, emergency room visits</w:t>
            </w:r>
            <w:r w:rsidR="00970327" w:rsidRPr="00FA697F">
              <w:rPr>
                <w:rFonts w:ascii="Times New Roman" w:eastAsia="Times New Roman" w:hAnsi="Times New Roman" w:cs="Times New Roman"/>
                <w:sz w:val="16"/>
                <w:szCs w:val="16"/>
                <w:lang w:eastAsia="en-GB"/>
              </w:rPr>
              <w:t>.</w:t>
            </w:r>
          </w:p>
        </w:tc>
      </w:tr>
      <w:tr w:rsidR="003C76E8" w:rsidRPr="00FA697F" w14:paraId="0272FA74" w14:textId="77777777" w:rsidTr="00115C53">
        <w:trPr>
          <w:trHeight w:val="3225"/>
        </w:trPr>
        <w:tc>
          <w:tcPr>
            <w:tcW w:w="431" w:type="dxa"/>
            <w:shd w:val="clear" w:color="auto" w:fill="auto"/>
            <w:tcMar>
              <w:left w:w="57" w:type="dxa"/>
              <w:right w:w="57" w:type="dxa"/>
            </w:tcMar>
            <w:hideMark/>
          </w:tcPr>
          <w:p w14:paraId="6CBC38F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12</w:t>
            </w:r>
          </w:p>
        </w:tc>
        <w:tc>
          <w:tcPr>
            <w:tcW w:w="982" w:type="dxa"/>
            <w:shd w:val="clear" w:color="auto" w:fill="auto"/>
            <w:tcMar>
              <w:left w:w="57" w:type="dxa"/>
              <w:right w:w="57" w:type="dxa"/>
            </w:tcMar>
            <w:hideMark/>
          </w:tcPr>
          <w:p w14:paraId="0BE342F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Ncube-</w:t>
            </w:r>
            <w:r w:rsidR="000F5A32" w:rsidRPr="00FA697F">
              <w:rPr>
                <w:rFonts w:ascii="Times New Roman" w:eastAsia="Times New Roman" w:hAnsi="Times New Roman" w:cs="Times New Roman"/>
                <w:sz w:val="16"/>
                <w:szCs w:val="16"/>
                <w:lang w:eastAsia="en-GB"/>
              </w:rPr>
              <w:t>Zulu</w:t>
            </w:r>
            <w:r w:rsidR="003B381E" w:rsidRPr="00FA697F">
              <w:rPr>
                <w:rFonts w:ascii="Times New Roman" w:eastAsia="Times New Roman" w:hAnsi="Times New Roman" w:cs="Times New Roman"/>
                <w:sz w:val="16"/>
                <w:szCs w:val="16"/>
                <w:lang w:eastAsia="en-GB"/>
              </w:rPr>
              <w:fldChar w:fldCharType="begin" w:fldLock="1"/>
            </w:r>
            <w:r w:rsidR="003B381E" w:rsidRPr="00FA697F">
              <w:rPr>
                <w:rFonts w:ascii="Times New Roman" w:eastAsia="Times New Roman" w:hAnsi="Times New Roman" w:cs="Times New Roman"/>
                <w:sz w:val="16"/>
                <w:szCs w:val="16"/>
                <w:lang w:eastAsia="en-GB"/>
              </w:rPr>
              <w:instrText>ADDIN CSL_CITATION {"citationItems":[{"id":"ITEM-1","itemData":{"DOI":"10.1007/s13410-013-0173-8","ISSN":"19983832","abstract":"The study compared the costs and length of hospitalization between patients with diabetes and patients without diabetes for a cross-section of patients (N = 407) discharged with cerebrovascular diseases, ophthalmic conditions, cardiovascular diseases, renal conditions, neurological diseases, and peripheral vascular diseases. A cross-sectional retrospective audit of medical records of all patients discharged from a Tertiary Hospital in Johannesburg with those conditions in December 2009 was conducted. Patients were grouped by ICD-10 codes from the hospital’s database. Medical records were analyzed to determine, the diabetes status of the patients, laboratory tests conducted, medical procedures performed, drugs prescribed, and frequency of hospitalization during the 2009 admission period. Average total hospitalization costs per patient were significantly higher for the patients with diabetes cohorts; R27,216 ± R19,476 compared to R18,185 ± R16,726 for the patients without diabetes, (P &lt; 0.00001). The average length of stay for patients with diabetes was longer, 13.04 ± 9.29 days vs. 8.86 ± 8.33 days (P &lt; 0.00001) than for patients without diabetes. Average admission rate per patient per year in 2009 was higher in the patients with diabetes; 1.8 ± 0.8 times vs. 1.5 ± 0.6 times than in patients without diabetes, (P &lt; 0.00004). Results should be used to advocate for improved diabetes prevention awareness, improved patient understanding of the reasons for strict diabetes control measures, and keen attendance in out-patient clinics to avoid unnecessary hospitalization costs.","author":[{"dropping-particle":"","family":"Ncube-Zulu","given":"Tryphine","non-dropping-particle":"","parse-names":false,"suffix":""},{"dropping-particle":"","family":"Danckwerts","given":"Michael P.","non-dropping-particle":"","parse-names":false,"suffix":""}],"container-title":"International Journal of Diabetes in Developing Countries","id":"ITEM-1","issue":"3","issued":{"date-parts":[["2014"]]},"page":"156-162","title":"Comparative hospitalization cost and length of stay between patients with and without diabetes in a large tertiary hospital in Johannesburg, South Africa","type":"article-journal","volume":"34"},"uris":["http://www.mendeley.com/documents/?uuid=0e1d91a5-0d33-4ee3-b0aa-1f75c4071e52"]}],"mendeley":{"formattedCitation":"&lt;sup&gt;12&lt;/sup&gt;","plainTextFormattedCitation":"12","previouslyFormattedCitation":"&lt;sup&gt;12&lt;/sup&gt;"},"properties":{"noteIndex":0},"schema":"https://github.com/citation-style-language/schema/raw/master/csl-citation.json"}</w:instrText>
            </w:r>
            <w:r w:rsidR="003B381E" w:rsidRPr="00FA697F">
              <w:rPr>
                <w:rFonts w:ascii="Times New Roman" w:eastAsia="Times New Roman" w:hAnsi="Times New Roman" w:cs="Times New Roman"/>
                <w:sz w:val="16"/>
                <w:szCs w:val="16"/>
                <w:lang w:eastAsia="en-GB"/>
              </w:rPr>
              <w:fldChar w:fldCharType="separate"/>
            </w:r>
            <w:r w:rsidR="003B381E" w:rsidRPr="00FA697F">
              <w:rPr>
                <w:rFonts w:ascii="Times New Roman" w:eastAsia="Times New Roman" w:hAnsi="Times New Roman" w:cs="Times New Roman"/>
                <w:noProof/>
                <w:sz w:val="16"/>
                <w:szCs w:val="16"/>
                <w:vertAlign w:val="superscript"/>
                <w:lang w:eastAsia="en-GB"/>
              </w:rPr>
              <w:t>12</w:t>
            </w:r>
            <w:r w:rsidR="003B381E" w:rsidRPr="00FA697F">
              <w:rPr>
                <w:rFonts w:ascii="Times New Roman" w:eastAsia="Times New Roman" w:hAnsi="Times New Roman" w:cs="Times New Roman"/>
                <w:sz w:val="16"/>
                <w:szCs w:val="16"/>
                <w:lang w:eastAsia="en-GB"/>
              </w:rPr>
              <w:fldChar w:fldCharType="end"/>
            </w:r>
            <w:r w:rsidR="000F5A32" w:rsidRPr="00FA697F">
              <w:rPr>
                <w:rFonts w:ascii="Times New Roman" w:eastAsia="Times New Roman" w:hAnsi="Times New Roman" w:cs="Times New Roman"/>
                <w:sz w:val="16"/>
                <w:szCs w:val="16"/>
                <w:lang w:eastAsia="en-GB"/>
              </w:rPr>
              <w:t xml:space="preserve"> (</w:t>
            </w:r>
            <w:r w:rsidRPr="00FA697F">
              <w:rPr>
                <w:rFonts w:ascii="Times New Roman" w:eastAsia="Times New Roman" w:hAnsi="Times New Roman" w:cs="Times New Roman"/>
                <w:sz w:val="16"/>
                <w:szCs w:val="16"/>
                <w:lang w:eastAsia="en-GB"/>
              </w:rPr>
              <w:t>2014)</w:t>
            </w:r>
          </w:p>
        </w:tc>
        <w:tc>
          <w:tcPr>
            <w:tcW w:w="1843" w:type="dxa"/>
            <w:shd w:val="clear" w:color="auto" w:fill="auto"/>
            <w:tcMar>
              <w:left w:w="57" w:type="dxa"/>
              <w:right w:w="57" w:type="dxa"/>
            </w:tcMar>
            <w:hideMark/>
          </w:tcPr>
          <w:p w14:paraId="288BC2F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Describe the difference in length and cost of hospitalisation between diabetic and non-diabetic patients with cerebrovascular, </w:t>
            </w:r>
            <w:r w:rsidR="000F5A32" w:rsidRPr="00FA697F">
              <w:rPr>
                <w:rFonts w:ascii="Times New Roman" w:eastAsia="Times New Roman" w:hAnsi="Times New Roman" w:cs="Times New Roman"/>
                <w:sz w:val="16"/>
                <w:szCs w:val="16"/>
                <w:lang w:eastAsia="en-GB"/>
              </w:rPr>
              <w:t>ophthalmic</w:t>
            </w:r>
            <w:r w:rsidRPr="00FA697F">
              <w:rPr>
                <w:rFonts w:ascii="Times New Roman" w:eastAsia="Times New Roman" w:hAnsi="Times New Roman" w:cs="Times New Roman"/>
                <w:sz w:val="16"/>
                <w:szCs w:val="16"/>
                <w:lang w:eastAsia="en-GB"/>
              </w:rPr>
              <w:t>, cardiovascular, renal, neurological and peripheral vascular diseases</w:t>
            </w:r>
          </w:p>
        </w:tc>
        <w:tc>
          <w:tcPr>
            <w:tcW w:w="1299" w:type="dxa"/>
            <w:shd w:val="clear" w:color="auto" w:fill="auto"/>
            <w:tcMar>
              <w:left w:w="57" w:type="dxa"/>
              <w:right w:w="57" w:type="dxa"/>
            </w:tcMar>
            <w:hideMark/>
          </w:tcPr>
          <w:p w14:paraId="14C22B2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Discharged patients with; cerebrovascular diseases, ophthalmic conditions, cardiovascular diseases, renal conditions, neurological diseases, </w:t>
            </w:r>
            <w:r w:rsidR="000F5A32" w:rsidRPr="00FA697F">
              <w:rPr>
                <w:rFonts w:ascii="Times New Roman" w:eastAsia="Times New Roman" w:hAnsi="Times New Roman" w:cs="Times New Roman"/>
                <w:sz w:val="16"/>
                <w:szCs w:val="16"/>
                <w:lang w:eastAsia="en-GB"/>
              </w:rPr>
              <w:t>or peripheral</w:t>
            </w:r>
            <w:r w:rsidRPr="00FA697F">
              <w:rPr>
                <w:rFonts w:ascii="Times New Roman" w:eastAsia="Times New Roman" w:hAnsi="Times New Roman" w:cs="Times New Roman"/>
                <w:sz w:val="16"/>
                <w:szCs w:val="16"/>
                <w:lang w:eastAsia="en-GB"/>
              </w:rPr>
              <w:t xml:space="preserve"> vascular diseases; tertiary hospital</w:t>
            </w:r>
          </w:p>
        </w:tc>
        <w:tc>
          <w:tcPr>
            <w:tcW w:w="1017" w:type="dxa"/>
            <w:shd w:val="clear" w:color="auto" w:fill="auto"/>
            <w:tcMar>
              <w:left w:w="57" w:type="dxa"/>
              <w:right w:w="57" w:type="dxa"/>
            </w:tcMar>
            <w:hideMark/>
          </w:tcPr>
          <w:p w14:paraId="77FF742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1E18D4D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cost, ingredients approach</w:t>
            </w:r>
          </w:p>
        </w:tc>
        <w:tc>
          <w:tcPr>
            <w:tcW w:w="1011" w:type="dxa"/>
            <w:shd w:val="clear" w:color="auto" w:fill="auto"/>
            <w:tcMar>
              <w:left w:w="57" w:type="dxa"/>
              <w:right w:w="57" w:type="dxa"/>
            </w:tcMar>
            <w:hideMark/>
          </w:tcPr>
          <w:p w14:paraId="39AA049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2009</w:t>
            </w:r>
          </w:p>
        </w:tc>
        <w:tc>
          <w:tcPr>
            <w:tcW w:w="2146" w:type="dxa"/>
            <w:shd w:val="clear" w:color="auto" w:fill="auto"/>
            <w:tcMar>
              <w:left w:w="57" w:type="dxa"/>
              <w:right w:w="57" w:type="dxa"/>
            </w:tcMar>
            <w:hideMark/>
          </w:tcPr>
          <w:p w14:paraId="4A7DD497" w14:textId="77777777" w:rsidR="00112353" w:rsidRPr="00FA697F" w:rsidRDefault="00112353" w:rsidP="00C078FC">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cerebrovascular disease</w:t>
            </w:r>
            <w:r w:rsidRPr="00FA697F">
              <w:rPr>
                <w:rFonts w:ascii="Times New Roman" w:eastAsia="Times New Roman" w:hAnsi="Times New Roman" w:cs="Times New Roman"/>
                <w:sz w:val="16"/>
                <w:szCs w:val="16"/>
                <w:lang w:eastAsia="en-GB"/>
              </w:rPr>
              <w:br/>
              <w:t>Patients with diabetes: $4,996</w:t>
            </w:r>
            <w:r w:rsidRPr="00FA697F">
              <w:rPr>
                <w:rFonts w:ascii="Times New Roman" w:eastAsia="Times New Roman" w:hAnsi="Times New Roman" w:cs="Times New Roman"/>
                <w:sz w:val="16"/>
                <w:szCs w:val="16"/>
                <w:lang w:eastAsia="en-GB"/>
              </w:rPr>
              <w:br/>
              <w:t>Patients without diabetes: $3,164</w:t>
            </w:r>
            <w:r w:rsidRPr="00FA697F">
              <w:rPr>
                <w:rFonts w:ascii="Times New Roman" w:eastAsia="Times New Roman" w:hAnsi="Times New Roman" w:cs="Times New Roman"/>
                <w:sz w:val="16"/>
                <w:szCs w:val="16"/>
                <w:lang w:eastAsia="en-GB"/>
              </w:rPr>
              <w:br/>
            </w:r>
            <w:r w:rsidRPr="00FA697F">
              <w:rPr>
                <w:rFonts w:ascii="Times New Roman" w:eastAsia="Times New Roman" w:hAnsi="Times New Roman" w:cs="Times New Roman"/>
                <w:sz w:val="16"/>
                <w:szCs w:val="16"/>
                <w:lang w:eastAsia="en-GB"/>
              </w:rPr>
              <w:br/>
              <w:t>Treatment of neurological disease</w:t>
            </w:r>
            <w:r w:rsidRPr="00FA697F">
              <w:rPr>
                <w:rFonts w:ascii="Times New Roman" w:eastAsia="Times New Roman" w:hAnsi="Times New Roman" w:cs="Times New Roman"/>
                <w:sz w:val="16"/>
                <w:szCs w:val="16"/>
                <w:lang w:eastAsia="en-GB"/>
              </w:rPr>
              <w:br/>
              <w:t>Patients with diabetes: $5,125</w:t>
            </w:r>
            <w:r w:rsidRPr="00FA697F">
              <w:rPr>
                <w:rFonts w:ascii="Times New Roman" w:eastAsia="Times New Roman" w:hAnsi="Times New Roman" w:cs="Times New Roman"/>
                <w:sz w:val="16"/>
                <w:szCs w:val="16"/>
                <w:lang w:eastAsia="en-GB"/>
              </w:rPr>
              <w:br/>
              <w:t>Patients without diabetes: $4,603</w:t>
            </w:r>
          </w:p>
          <w:p w14:paraId="58517B3F" w14:textId="5AE7FD27" w:rsidR="00406B90" w:rsidRPr="00FA697F" w:rsidRDefault="00406B90" w:rsidP="00C078FC">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48F20A49" w14:textId="77777777" w:rsidR="006A456C"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SD</w:t>
            </w:r>
            <w:r w:rsidRPr="00FA697F">
              <w:rPr>
                <w:rFonts w:ascii="Times New Roman" w:eastAsia="Times New Roman" w:hAnsi="Times New Roman" w:cs="Times New Roman"/>
                <w:sz w:val="16"/>
                <w:szCs w:val="16"/>
                <w:lang w:eastAsia="en-GB"/>
              </w:rPr>
              <w:br/>
            </w:r>
          </w:p>
          <w:p w14:paraId="088169AA" w14:textId="77777777" w:rsidR="006A456C"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$2,258 - $7,734</w:t>
            </w:r>
            <w:r w:rsidRPr="00FA697F">
              <w:rPr>
                <w:rFonts w:ascii="Times New Roman" w:eastAsia="Times New Roman" w:hAnsi="Times New Roman" w:cs="Times New Roman"/>
                <w:sz w:val="16"/>
                <w:szCs w:val="16"/>
                <w:lang w:eastAsia="en-GB"/>
              </w:rPr>
              <w:br/>
              <w:t>$1,091 - $5,238</w:t>
            </w:r>
            <w:r w:rsidRPr="00FA697F">
              <w:rPr>
                <w:rFonts w:ascii="Times New Roman" w:eastAsia="Times New Roman" w:hAnsi="Times New Roman" w:cs="Times New Roman"/>
                <w:sz w:val="16"/>
                <w:szCs w:val="16"/>
                <w:lang w:eastAsia="en-GB"/>
              </w:rPr>
              <w:br/>
            </w:r>
            <w:r w:rsidRPr="00FA697F">
              <w:rPr>
                <w:rFonts w:ascii="Times New Roman" w:eastAsia="Times New Roman" w:hAnsi="Times New Roman" w:cs="Times New Roman"/>
                <w:sz w:val="16"/>
                <w:szCs w:val="16"/>
                <w:lang w:eastAsia="en-GB"/>
              </w:rPr>
              <w:br/>
            </w:r>
          </w:p>
          <w:p w14:paraId="67BF5BBF" w14:textId="77777777" w:rsidR="006A456C" w:rsidRPr="00FA697F" w:rsidRDefault="006A456C" w:rsidP="00112353">
            <w:pPr>
              <w:spacing w:after="0" w:line="240" w:lineRule="auto"/>
              <w:rPr>
                <w:rFonts w:ascii="Times New Roman" w:eastAsia="Times New Roman" w:hAnsi="Times New Roman" w:cs="Times New Roman"/>
                <w:sz w:val="16"/>
                <w:szCs w:val="16"/>
                <w:lang w:eastAsia="en-GB"/>
              </w:rPr>
            </w:pPr>
          </w:p>
          <w:p w14:paraId="332FA90C" w14:textId="77777777" w:rsidR="006A456C"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$2,577 - $7,674</w:t>
            </w:r>
            <w:r w:rsidRPr="00FA697F">
              <w:rPr>
                <w:rFonts w:ascii="Times New Roman" w:eastAsia="Times New Roman" w:hAnsi="Times New Roman" w:cs="Times New Roman"/>
                <w:sz w:val="16"/>
                <w:szCs w:val="16"/>
                <w:lang w:eastAsia="en-GB"/>
              </w:rPr>
              <w:br/>
              <w:t>$834 - $8,373</w:t>
            </w:r>
          </w:p>
          <w:p w14:paraId="4674F21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60" w:type="dxa"/>
            <w:shd w:val="clear" w:color="auto" w:fill="auto"/>
            <w:tcMar>
              <w:left w:w="57" w:type="dxa"/>
              <w:right w:w="57" w:type="dxa"/>
            </w:tcMar>
            <w:hideMark/>
          </w:tcPr>
          <w:p w14:paraId="0F78808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CE76D8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56257A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8CA23B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DC9398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BB21C7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AFB8C5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F44213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3BB815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B5CD2B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30BE17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19D4594F"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407B9069" w14:textId="77777777" w:rsidTr="00115C53">
        <w:trPr>
          <w:trHeight w:val="288"/>
        </w:trPr>
        <w:tc>
          <w:tcPr>
            <w:tcW w:w="14967" w:type="dxa"/>
            <w:gridSpan w:val="21"/>
            <w:shd w:val="clear" w:color="auto" w:fill="auto"/>
            <w:tcMar>
              <w:left w:w="57" w:type="dxa"/>
              <w:right w:w="57" w:type="dxa"/>
            </w:tcMar>
            <w:hideMark/>
          </w:tcPr>
          <w:p w14:paraId="0FFEE3F3" w14:textId="77777777" w:rsidR="00112353" w:rsidRPr="00FA697F" w:rsidRDefault="00112353" w:rsidP="00A12EB6">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 xml:space="preserve">Treatment of </w:t>
            </w:r>
            <w:r w:rsidR="000F5A32" w:rsidRPr="00FA697F">
              <w:rPr>
                <w:rFonts w:ascii="Times New Roman" w:eastAsia="Times New Roman" w:hAnsi="Times New Roman" w:cs="Times New Roman"/>
                <w:b/>
                <w:bCs/>
                <w:sz w:val="16"/>
                <w:szCs w:val="16"/>
                <w:lang w:eastAsia="en-GB"/>
              </w:rPr>
              <w:t>hyperlipidaemia</w:t>
            </w:r>
          </w:p>
        </w:tc>
      </w:tr>
      <w:tr w:rsidR="003C76E8" w:rsidRPr="00FA697F" w14:paraId="510BD4B2" w14:textId="77777777" w:rsidTr="00115C53">
        <w:trPr>
          <w:trHeight w:val="1440"/>
        </w:trPr>
        <w:tc>
          <w:tcPr>
            <w:tcW w:w="431" w:type="dxa"/>
            <w:shd w:val="clear" w:color="auto" w:fill="auto"/>
            <w:tcMar>
              <w:left w:w="57" w:type="dxa"/>
              <w:right w:w="57" w:type="dxa"/>
            </w:tcMar>
            <w:hideMark/>
          </w:tcPr>
          <w:p w14:paraId="5F5FE04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4</w:t>
            </w:r>
          </w:p>
        </w:tc>
        <w:tc>
          <w:tcPr>
            <w:tcW w:w="982" w:type="dxa"/>
            <w:shd w:val="clear" w:color="auto" w:fill="auto"/>
            <w:tcMar>
              <w:left w:w="57" w:type="dxa"/>
              <w:right w:w="57" w:type="dxa"/>
            </w:tcMar>
            <w:hideMark/>
          </w:tcPr>
          <w:p w14:paraId="7C2C500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Ker</w:t>
            </w:r>
            <w:r w:rsidR="003B381E" w:rsidRPr="00FA697F">
              <w:rPr>
                <w:rFonts w:ascii="Times New Roman" w:eastAsia="Times New Roman" w:hAnsi="Times New Roman" w:cs="Times New Roman"/>
                <w:sz w:val="16"/>
                <w:szCs w:val="16"/>
                <w:lang w:eastAsia="en-GB"/>
              </w:rPr>
              <w:fldChar w:fldCharType="begin" w:fldLock="1"/>
            </w:r>
            <w:r w:rsidR="003B381E" w:rsidRPr="00FA697F">
              <w:rPr>
                <w:rFonts w:ascii="Times New Roman" w:eastAsia="Times New Roman" w:hAnsi="Times New Roman" w:cs="Times New Roman"/>
                <w:sz w:val="16"/>
                <w:szCs w:val="16"/>
                <w:lang w:eastAsia="en-GB"/>
              </w:rPr>
              <w:instrText>ADDIN CSL_CITATION {"citationItems":[{"id":"ITEM-1","itemData":{"ISSN":"19951892","PMID":"18516355","abstract":"Background: Many clinical guidelines have adopted a multifactorial cardiovascular risk assessment to identify high-risk individuals for treatment. The F ramingham risk chart is a widely used risk engine to calculate the absolute cardiovascular risk of an individual. Cost-effective analyses are typically used to evaluate therapeutic strategies, but it is more problematic for a clinician when faced with alternative therapeutic strategies to calculate cost effectiveness. Aim: We used a single simulated-patient model to explore the effect of different drug treatments on the calculated absolute cardiovascular risk. Methods: The F ramingham risk score was calculated on a hypothetical patient, and drug treatment was initiated. After every drug introduced, the score was recalculated. Single-exit pricing of the various drugs in South Africa was used to calculate the cost of reducing predicted cardiovascular risk. Results: The cost-effective ratio of an antihypertensive treatment strategy was calculated to be R21.35 per percentage of risk reduction. That of a statin treatment strategy was R22.93 per percentage of risk reduction. U sing a high-dose statin, the cost-effective ratio was R12.81 per percentage of risk reduction. Combining the antihypertensive and statin strategy demonstrated a cost-effective ratio of R23.84 per percentage of risk reduction. A combination of several drugs enabled the hypothetical patient to reduce the risk to 14% at a cost-effective ratio of R17.18 per percentage of risk reduction. Conclusion: This model demonstrates a method to compare different therapeutic strategies to reduce cardiovascular risk with their cost-effective ratios.","author":[{"dropping-particle":"","family":"Ker","given":"J. A.","non-dropping-particle":"","parse-names":false,"suffix":""},{"dropping-particle":"","family":"Oosthuizen","given":"H.","non-dropping-particle":"","parse-names":false,"suffix":""},{"dropping-particle":"","family":"Rheeder","given":"P.","non-dropping-particle":"","parse-names":false,"suffix":""}],"container-title":"Cardiovascular Journal of Africa","id":"ITEM-1","issue":"2","issued":{"date-parts":[["2008"]]},"page":"97-101","title":"Decision-making using absolute cardiovascular risk reduction and incremental cost-effectiveness ratios: A case study","type":"article-journal","volume":"19"},"uris":["http://www.mendeley.com/documents/?uuid=2e4642b3-6f9b-4c35-9930-1a6962b94a78"]}],"mendeley":{"formattedCitation":"&lt;sup&gt;4&lt;/sup&gt;","plainTextFormattedCitation":"4","previouslyFormattedCitation":"&lt;sup&gt;4&lt;/sup&gt;"},"properties":{"noteIndex":0},"schema":"https://github.com/citation-style-language/schema/raw/master/csl-citation.json"}</w:instrText>
            </w:r>
            <w:r w:rsidR="003B381E" w:rsidRPr="00FA697F">
              <w:rPr>
                <w:rFonts w:ascii="Times New Roman" w:eastAsia="Times New Roman" w:hAnsi="Times New Roman" w:cs="Times New Roman"/>
                <w:sz w:val="16"/>
                <w:szCs w:val="16"/>
                <w:lang w:eastAsia="en-GB"/>
              </w:rPr>
              <w:fldChar w:fldCharType="separate"/>
            </w:r>
            <w:r w:rsidR="003B381E" w:rsidRPr="00FA697F">
              <w:rPr>
                <w:rFonts w:ascii="Times New Roman" w:eastAsia="Times New Roman" w:hAnsi="Times New Roman" w:cs="Times New Roman"/>
                <w:noProof/>
                <w:sz w:val="16"/>
                <w:szCs w:val="16"/>
                <w:vertAlign w:val="superscript"/>
                <w:lang w:eastAsia="en-GB"/>
              </w:rPr>
              <w:t>4</w:t>
            </w:r>
            <w:r w:rsidR="003B381E"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(2008)</w:t>
            </w:r>
          </w:p>
        </w:tc>
        <w:tc>
          <w:tcPr>
            <w:tcW w:w="1843" w:type="dxa"/>
            <w:shd w:val="clear" w:color="auto" w:fill="auto"/>
            <w:tcMar>
              <w:left w:w="57" w:type="dxa"/>
              <w:right w:w="57" w:type="dxa"/>
            </w:tcMar>
            <w:hideMark/>
          </w:tcPr>
          <w:p w14:paraId="4B07BC0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Investigate the effect and cost implications of drug treatment on the calculated absolute cardiovascular risk</w:t>
            </w:r>
          </w:p>
        </w:tc>
        <w:tc>
          <w:tcPr>
            <w:tcW w:w="1299" w:type="dxa"/>
            <w:shd w:val="clear" w:color="auto" w:fill="auto"/>
            <w:tcMar>
              <w:left w:w="57" w:type="dxa"/>
              <w:right w:w="57" w:type="dxa"/>
            </w:tcMar>
            <w:hideMark/>
          </w:tcPr>
          <w:p w14:paraId="02C5CA3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Male smoker aged 56 years </w:t>
            </w:r>
            <w:r w:rsidR="000F5A32" w:rsidRPr="00FA697F">
              <w:rPr>
                <w:rFonts w:ascii="Times New Roman" w:eastAsia="Times New Roman" w:hAnsi="Times New Roman" w:cs="Times New Roman"/>
                <w:sz w:val="16"/>
                <w:szCs w:val="16"/>
                <w:lang w:eastAsia="en-GB"/>
              </w:rPr>
              <w:t>old; PHC</w:t>
            </w:r>
          </w:p>
        </w:tc>
        <w:tc>
          <w:tcPr>
            <w:tcW w:w="1017" w:type="dxa"/>
            <w:shd w:val="clear" w:color="auto" w:fill="auto"/>
            <w:tcMar>
              <w:left w:w="57" w:type="dxa"/>
              <w:right w:w="57" w:type="dxa"/>
            </w:tcMar>
            <w:hideMark/>
          </w:tcPr>
          <w:p w14:paraId="78EA654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w:t>
            </w:r>
            <w:r w:rsidR="00BE5DDB" w:rsidRPr="00FA697F">
              <w:rPr>
                <w:rFonts w:ascii="Times New Roman" w:eastAsia="Times New Roman" w:hAnsi="Times New Roman" w:cs="Times New Roman"/>
                <w:sz w:val="16"/>
                <w:szCs w:val="16"/>
                <w:lang w:eastAsia="en-GB"/>
              </w:rPr>
              <w:t>p</w:t>
            </w:r>
            <w:r w:rsidRPr="00FA697F">
              <w:rPr>
                <w:rFonts w:ascii="Times New Roman" w:eastAsia="Times New Roman" w:hAnsi="Times New Roman" w:cs="Times New Roman"/>
                <w:sz w:val="16"/>
                <w:szCs w:val="16"/>
                <w:lang w:eastAsia="en-GB"/>
              </w:rPr>
              <w:t>rivate)</w:t>
            </w:r>
          </w:p>
        </w:tc>
        <w:tc>
          <w:tcPr>
            <w:tcW w:w="1130" w:type="dxa"/>
            <w:shd w:val="clear" w:color="auto" w:fill="auto"/>
            <w:tcMar>
              <w:left w:w="57" w:type="dxa"/>
              <w:right w:w="57" w:type="dxa"/>
            </w:tcMar>
            <w:hideMark/>
          </w:tcPr>
          <w:p w14:paraId="533B7C4E"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2C1C995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2006</w:t>
            </w:r>
          </w:p>
        </w:tc>
        <w:tc>
          <w:tcPr>
            <w:tcW w:w="2146" w:type="dxa"/>
            <w:shd w:val="clear" w:color="auto" w:fill="auto"/>
            <w:tcMar>
              <w:left w:w="57" w:type="dxa"/>
              <w:right w:w="57" w:type="dxa"/>
            </w:tcMar>
            <w:hideMark/>
          </w:tcPr>
          <w:p w14:paraId="6032C896"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hypertension &amp; dyslipidaemia</w:t>
            </w:r>
            <w:r w:rsidRPr="00FA697F">
              <w:rPr>
                <w:rFonts w:ascii="Times New Roman" w:eastAsia="Times New Roman" w:hAnsi="Times New Roman" w:cs="Times New Roman"/>
                <w:sz w:val="16"/>
                <w:szCs w:val="16"/>
                <w:lang w:eastAsia="en-GB"/>
              </w:rPr>
              <w:br/>
              <w:t>Lipid-lowering treatment 10 mg: $25</w:t>
            </w:r>
            <w:r w:rsidRPr="00FA697F">
              <w:rPr>
                <w:rFonts w:ascii="Times New Roman" w:eastAsia="Times New Roman" w:hAnsi="Times New Roman" w:cs="Times New Roman"/>
                <w:sz w:val="16"/>
                <w:szCs w:val="16"/>
                <w:lang w:eastAsia="en-GB"/>
              </w:rPr>
              <w:br/>
              <w:t>Lipid-lowering treatment 40 mg: $44</w:t>
            </w:r>
            <w:r w:rsidRPr="00FA697F">
              <w:rPr>
                <w:rFonts w:ascii="Times New Roman" w:eastAsia="Times New Roman" w:hAnsi="Times New Roman" w:cs="Times New Roman"/>
                <w:sz w:val="16"/>
                <w:szCs w:val="16"/>
                <w:lang w:eastAsia="en-GB"/>
              </w:rPr>
              <w:br/>
              <w:t>Hypertension and lipid-lowering treatment 10 mg: $48</w:t>
            </w:r>
          </w:p>
          <w:p w14:paraId="17460E9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month</w:t>
            </w:r>
          </w:p>
        </w:tc>
        <w:tc>
          <w:tcPr>
            <w:tcW w:w="1051" w:type="dxa"/>
            <w:shd w:val="clear" w:color="auto" w:fill="auto"/>
            <w:tcMar>
              <w:left w:w="57" w:type="dxa"/>
              <w:right w:w="57" w:type="dxa"/>
            </w:tcMar>
            <w:hideMark/>
          </w:tcPr>
          <w:p w14:paraId="75AB7AF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4E9A59E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27902D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76DA8F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4F92AC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5EA326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49DC3F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374778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61A863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29B650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E7F020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97E7E0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54B579BB"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19EFCD09" w14:textId="77777777" w:rsidTr="00115C53">
        <w:trPr>
          <w:trHeight w:val="557"/>
        </w:trPr>
        <w:tc>
          <w:tcPr>
            <w:tcW w:w="431" w:type="dxa"/>
            <w:shd w:val="clear" w:color="auto" w:fill="auto"/>
            <w:tcMar>
              <w:left w:w="57" w:type="dxa"/>
              <w:right w:w="57" w:type="dxa"/>
            </w:tcMar>
            <w:hideMark/>
          </w:tcPr>
          <w:p w14:paraId="4DEBA1B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16</w:t>
            </w:r>
          </w:p>
        </w:tc>
        <w:tc>
          <w:tcPr>
            <w:tcW w:w="982" w:type="dxa"/>
            <w:shd w:val="clear" w:color="auto" w:fill="auto"/>
            <w:tcMar>
              <w:left w:w="57" w:type="dxa"/>
              <w:right w:w="57" w:type="dxa"/>
            </w:tcMar>
            <w:hideMark/>
          </w:tcPr>
          <w:p w14:paraId="63A8607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Wessels</w:t>
            </w:r>
            <w:r w:rsidR="003B381E" w:rsidRPr="00FA697F">
              <w:rPr>
                <w:rFonts w:ascii="Times New Roman" w:eastAsia="Times New Roman" w:hAnsi="Times New Roman" w:cs="Times New Roman"/>
                <w:sz w:val="16"/>
                <w:szCs w:val="16"/>
                <w:lang w:eastAsia="en-GB"/>
              </w:rPr>
              <w:fldChar w:fldCharType="begin" w:fldLock="1"/>
            </w:r>
            <w:r w:rsidR="00556188" w:rsidRPr="00FA697F">
              <w:rPr>
                <w:rFonts w:ascii="Times New Roman" w:eastAsia="Times New Roman" w:hAnsi="Times New Roman" w:cs="Times New Roman"/>
                <w:sz w:val="16"/>
                <w:szCs w:val="16"/>
                <w:lang w:eastAsia="en-GB"/>
              </w:rPr>
              <w:instrText>ADDIN CSL_CITATION {"citationItems":[{"id":"ITEM-1","itemData":{"DOI":"10.5830/CVJA-2010-001","ISSN":"19951892","abstract":"Introduction: This project was based on the FIELD trial.1 It is a localisation of the study by Carrington and Stewart.2 The aim of the original study was to determine the impact of fenofibrate therapy on healthcare costs of middle-aged patients with type 2 diabetes at high risk of future cardiovascular events. Methods: The methodology used in the Carrington article2 was adopted for this study. The clinical foundation for the analysis was derived from the findings of the FIELD study.1 All costs were sourced from electronic databases obtained from private-sector South African funders of healthcare. Event costs for the cardiovascular events were determined and added to the treatment costs for the individual treatment arms. The cost saving was determined as the difference between the event costs saved and the additional treatment costs associated with fenofibrate treatment. All costs were reported as 2008 ZAR and a discount rate of 10% was used. The study adopted a South African private-sector funder perspective. Results: If the same approach is followed as in the Carrington and Stewart study,2 a cost saving of 18% results. This is the difference between the total costs associated with the placebo and fenofibrate arms, respectively (R3 480 471 compared to R2 858 598 per 1 000 patient years for the placebo and fenofibrate arms, respectively). The total costs were determined as the sum of associated event costs and treatment costs for each of the comparators. Conclusions: Based on this exploratory analysis, it seems that Lipanthyl® treatment in middle-aged patients resulted in a cost saving due to the prevention of cardiovascular events when it was used in the treatment of type 2 diabetics, as in the FIELD study. It should therefore be considered to be cost effective, even when just the cardiovascular risk reduction effect is considered.","author":[{"dropping-particle":"","family":"Wessels","given":"Francois","non-dropping-particle":"","parse-names":false,"suffix":""}],"container-title":"Cardiovascular Journal of Africa","id":"ITEM-1","issue":"1","issued":{"date-parts":[["2010"]]},"page":"43-46","title":"Is fenofibrate a cost-saving treatment for middle-aged individuals with type 2 diabetes? A South African private-sector perspective","type":"article-journal","volume":"21"},"uris":["http://www.mendeley.com/documents/?uuid=a65f1554-b1c5-4281-839b-d4e1bab9b2ab"]}],"mendeley":{"formattedCitation":"&lt;sup&gt;16&lt;/sup&gt;","plainTextFormattedCitation":"16","previouslyFormattedCitation":"&lt;sup&gt;16&lt;/sup&gt;"},"properties":{"noteIndex":0},"schema":"https://github.com/citation-style-language/schema/raw/master/csl-citation.json"}</w:instrText>
            </w:r>
            <w:r w:rsidR="003B381E" w:rsidRPr="00FA697F">
              <w:rPr>
                <w:rFonts w:ascii="Times New Roman" w:eastAsia="Times New Roman" w:hAnsi="Times New Roman" w:cs="Times New Roman"/>
                <w:sz w:val="16"/>
                <w:szCs w:val="16"/>
                <w:lang w:eastAsia="en-GB"/>
              </w:rPr>
              <w:fldChar w:fldCharType="separate"/>
            </w:r>
            <w:r w:rsidR="00556188" w:rsidRPr="00FA697F">
              <w:rPr>
                <w:rFonts w:ascii="Times New Roman" w:eastAsia="Times New Roman" w:hAnsi="Times New Roman" w:cs="Times New Roman"/>
                <w:noProof/>
                <w:sz w:val="16"/>
                <w:szCs w:val="16"/>
                <w:vertAlign w:val="superscript"/>
                <w:lang w:eastAsia="en-GB"/>
              </w:rPr>
              <w:t>16</w:t>
            </w:r>
            <w:r w:rsidR="003B381E"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(2010)</w:t>
            </w:r>
          </w:p>
        </w:tc>
        <w:tc>
          <w:tcPr>
            <w:tcW w:w="1843" w:type="dxa"/>
            <w:shd w:val="clear" w:color="auto" w:fill="auto"/>
            <w:tcMar>
              <w:left w:w="57" w:type="dxa"/>
              <w:right w:w="57" w:type="dxa"/>
            </w:tcMar>
            <w:hideMark/>
          </w:tcPr>
          <w:p w14:paraId="4D88C34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Establish the healthcare cost impact of fenofibrate </w:t>
            </w:r>
            <w:r w:rsidR="000F5A32" w:rsidRPr="00FA697F">
              <w:rPr>
                <w:rFonts w:ascii="Times New Roman" w:eastAsia="Times New Roman" w:hAnsi="Times New Roman" w:cs="Times New Roman"/>
                <w:sz w:val="16"/>
                <w:szCs w:val="16"/>
                <w:lang w:eastAsia="en-GB"/>
              </w:rPr>
              <w:t>therapy for</w:t>
            </w:r>
            <w:r w:rsidRPr="00FA697F">
              <w:rPr>
                <w:rFonts w:ascii="Times New Roman" w:eastAsia="Times New Roman" w:hAnsi="Times New Roman" w:cs="Times New Roman"/>
                <w:sz w:val="16"/>
                <w:szCs w:val="16"/>
                <w:lang w:eastAsia="en-GB"/>
              </w:rPr>
              <w:t xml:space="preserve"> middle-aged </w:t>
            </w:r>
            <w:r w:rsidR="006A456C" w:rsidRPr="00FA697F">
              <w:rPr>
                <w:rFonts w:ascii="Times New Roman" w:eastAsia="Times New Roman" w:hAnsi="Times New Roman" w:cs="Times New Roman"/>
                <w:sz w:val="16"/>
                <w:szCs w:val="16"/>
                <w:lang w:eastAsia="en-GB"/>
              </w:rPr>
              <w:t>T2DM</w:t>
            </w:r>
            <w:r w:rsidRPr="00FA697F">
              <w:rPr>
                <w:rFonts w:ascii="Times New Roman" w:eastAsia="Times New Roman" w:hAnsi="Times New Roman" w:cs="Times New Roman"/>
                <w:sz w:val="16"/>
                <w:szCs w:val="16"/>
                <w:lang w:eastAsia="en-GB"/>
              </w:rPr>
              <w:t xml:space="preserve"> patients at high risk of CVD</w:t>
            </w:r>
          </w:p>
        </w:tc>
        <w:tc>
          <w:tcPr>
            <w:tcW w:w="1299" w:type="dxa"/>
            <w:shd w:val="clear" w:color="auto" w:fill="auto"/>
            <w:tcMar>
              <w:left w:w="57" w:type="dxa"/>
              <w:right w:w="57" w:type="dxa"/>
            </w:tcMar>
            <w:hideMark/>
          </w:tcPr>
          <w:p w14:paraId="12B7D6F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Patients aged 50 to 75 years with T2DM; PHC</w:t>
            </w:r>
          </w:p>
        </w:tc>
        <w:tc>
          <w:tcPr>
            <w:tcW w:w="1017" w:type="dxa"/>
            <w:shd w:val="clear" w:color="auto" w:fill="auto"/>
            <w:tcMar>
              <w:left w:w="57" w:type="dxa"/>
              <w:right w:w="57" w:type="dxa"/>
            </w:tcMar>
            <w:hideMark/>
          </w:tcPr>
          <w:p w14:paraId="31BF156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shd w:val="clear" w:color="auto" w:fill="auto"/>
            <w:tcMar>
              <w:left w:w="57" w:type="dxa"/>
              <w:right w:w="57" w:type="dxa"/>
            </w:tcMar>
            <w:hideMark/>
          </w:tcPr>
          <w:p w14:paraId="0AA4EF6E"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Full financial</w:t>
            </w:r>
            <w:r w:rsidR="00112353" w:rsidRPr="00FA697F">
              <w:rPr>
                <w:rFonts w:ascii="Times New Roman" w:eastAsia="Times New Roman" w:hAnsi="Times New Roman" w:cs="Times New Roman"/>
                <w:sz w:val="16"/>
                <w:szCs w:val="16"/>
                <w:lang w:eastAsia="en-GB"/>
              </w:rPr>
              <w:t xml:space="preserve"> cost, top-down approach</w:t>
            </w:r>
          </w:p>
        </w:tc>
        <w:tc>
          <w:tcPr>
            <w:tcW w:w="1011" w:type="dxa"/>
            <w:shd w:val="clear" w:color="auto" w:fill="auto"/>
            <w:tcMar>
              <w:left w:w="57" w:type="dxa"/>
              <w:right w:w="57" w:type="dxa"/>
            </w:tcMar>
            <w:hideMark/>
          </w:tcPr>
          <w:p w14:paraId="74820EB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2008</w:t>
            </w:r>
          </w:p>
        </w:tc>
        <w:tc>
          <w:tcPr>
            <w:tcW w:w="2146" w:type="dxa"/>
            <w:shd w:val="clear" w:color="auto" w:fill="auto"/>
            <w:tcMar>
              <w:left w:w="57" w:type="dxa"/>
              <w:right w:w="57" w:type="dxa"/>
            </w:tcMar>
            <w:hideMark/>
          </w:tcPr>
          <w:p w14:paraId="3C7BBF27"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Lipid management</w:t>
            </w:r>
            <w:r w:rsidRPr="00FA697F">
              <w:rPr>
                <w:rFonts w:ascii="Times New Roman" w:eastAsia="Times New Roman" w:hAnsi="Times New Roman" w:cs="Times New Roman"/>
                <w:sz w:val="16"/>
                <w:szCs w:val="16"/>
                <w:lang w:eastAsia="en-GB"/>
              </w:rPr>
              <w:br/>
            </w:r>
            <w:proofErr w:type="spellStart"/>
            <w:r w:rsidRPr="00FA697F">
              <w:rPr>
                <w:rFonts w:ascii="Times New Roman" w:eastAsia="Times New Roman" w:hAnsi="Times New Roman" w:cs="Times New Roman"/>
                <w:sz w:val="16"/>
                <w:szCs w:val="16"/>
                <w:lang w:eastAsia="en-GB"/>
              </w:rPr>
              <w:t>Lipanthyl</w:t>
            </w:r>
            <w:proofErr w:type="spellEnd"/>
            <w:r w:rsidRPr="00FA697F">
              <w:rPr>
                <w:rFonts w:ascii="Times New Roman" w:eastAsia="Times New Roman" w:hAnsi="Times New Roman" w:cs="Times New Roman"/>
                <w:sz w:val="16"/>
                <w:szCs w:val="16"/>
                <w:lang w:eastAsia="en-GB"/>
              </w:rPr>
              <w:t xml:space="preserve"> 200mg/day): $201</w:t>
            </w:r>
            <w:r w:rsidRPr="00FA697F">
              <w:rPr>
                <w:rFonts w:ascii="Times New Roman" w:eastAsia="Times New Roman" w:hAnsi="Times New Roman" w:cs="Times New Roman"/>
                <w:sz w:val="16"/>
                <w:szCs w:val="16"/>
                <w:lang w:eastAsia="en-GB"/>
              </w:rPr>
              <w:br/>
              <w:t>10mg simvastatin/day: $457</w:t>
            </w:r>
          </w:p>
          <w:p w14:paraId="7260FD07" w14:textId="70676169"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0DD7E8C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2F0A289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3C3B37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5C9E10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CCADE3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DBB32C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196E2F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48EEBD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9FA481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1AD2C1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B80767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A4DC1D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3411622B"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09DECC60" w14:textId="77777777" w:rsidTr="00115C53">
        <w:trPr>
          <w:trHeight w:val="2592"/>
        </w:trPr>
        <w:tc>
          <w:tcPr>
            <w:tcW w:w="431" w:type="dxa"/>
            <w:shd w:val="clear" w:color="auto" w:fill="auto"/>
            <w:tcMar>
              <w:left w:w="57" w:type="dxa"/>
              <w:right w:w="57" w:type="dxa"/>
            </w:tcMar>
            <w:hideMark/>
          </w:tcPr>
          <w:p w14:paraId="1F999BB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17</w:t>
            </w:r>
          </w:p>
        </w:tc>
        <w:tc>
          <w:tcPr>
            <w:tcW w:w="982" w:type="dxa"/>
            <w:shd w:val="clear" w:color="auto" w:fill="auto"/>
            <w:tcMar>
              <w:left w:w="57" w:type="dxa"/>
              <w:right w:w="57" w:type="dxa"/>
            </w:tcMar>
            <w:hideMark/>
          </w:tcPr>
          <w:p w14:paraId="62F6FC2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Gaziano</w:t>
            </w:r>
            <w:r w:rsidR="003B381E" w:rsidRPr="00FA697F">
              <w:rPr>
                <w:rFonts w:ascii="Times New Roman" w:eastAsia="Times New Roman" w:hAnsi="Times New Roman" w:cs="Times New Roman"/>
                <w:sz w:val="16"/>
                <w:szCs w:val="16"/>
                <w:lang w:eastAsia="en-GB"/>
              </w:rPr>
              <w:fldChar w:fldCharType="begin" w:fldLock="1"/>
            </w:r>
            <w:r w:rsidR="00556188" w:rsidRPr="00FA697F">
              <w:rPr>
                <w:rFonts w:ascii="Times New Roman" w:eastAsia="Times New Roman" w:hAnsi="Times New Roman" w:cs="Times New Roman"/>
                <w:sz w:val="16"/>
                <w:szCs w:val="16"/>
                <w:lang w:eastAsia="en-GB"/>
              </w:rPr>
              <w:instrText>ADDIN CSL_CITATION {"citationItems":[{"id":"ITEM-1","itemData":{"DOI":"10.1377/hlthaff.2015.0351","ISSN":"15445208","PMID":"26355061","abstract":"South Africa's rates of statin use are among the world's lowest, despite statins' demonstrated effectiveness for people with a high blood cholesterol level or history of cardiovascular disease. Almost 5 percent of the country's total mortality has been attributed to high cholesterol levels, fueled in part by low levels of statin adherence. Drawing upon experience elsewhere, we used a microsimulation model of cardiovascular disease to investigate the health and economic impacts of increasing prescription length from the standard thirty days to either sixty or ninety days, for South African adults on a stable statin regimen. Increasing prescription length to sixty or ninety days could save 1,694 or 2,553 lives per million adults, respectively. In addition, annual per patient costs related to cardiovascular disease would decrease by $152.41 and $210.29, respectively. Savings would largely accrue to patients in the form of time savings and reduced transportation costs, as a result of less frequent trips to the pharmacy. Increasing statin prescription length would both save resources and improve health outcomes in South Africa.","author":[{"dropping-particle":"","family":"Gaziano","given":"Thomas","non-dropping-particle":"","parse-names":false,"suffix":""},{"dropping-particle":"","family":"Cho","given":"Sylvia","non-dropping-particle":"","parse-names":false,"suffix":""},{"dropping-particle":"","family":"Sy","given":"Stephen","non-dropping-particle":"","parse-names":false,"suffix":""},{"dropping-particle":"","family":"Pandya","given":"Ankur","non-dropping-particle":"","parse-names":false,"suffix":""},{"dropping-particle":"","family":"Levitt","given":"Naomi S.","non-dropping-particle":"","parse-names":false,"suffix":""},{"dropping-particle":"","family":"Steyn","given":"Krisela","non-dropping-particle":"","parse-names":false,"suffix":""}],"container-title":"Health Affairs","id":"ITEM-1","issue":"9","issued":{"date-parts":[["2015"]]},"page":"1578-1585","title":"Increasing prescription length could cut cardiovascular disease burden and produce savings in south africa","type":"article-journal","volume":"34"},"uris":["http://www.mendeley.com/documents/?uuid=34db10da-0f1f-4a11-80c3-e0b878729d34"]}],"mendeley":{"formattedCitation":"&lt;sup&gt;17&lt;/sup&gt;","plainTextFormattedCitation":"17","previouslyFormattedCitation":"&lt;sup&gt;17&lt;/sup&gt;"},"properties":{"noteIndex":0},"schema":"https://github.com/citation-style-language/schema/raw/master/csl-citation.json"}</w:instrText>
            </w:r>
            <w:r w:rsidR="003B381E" w:rsidRPr="00FA697F">
              <w:rPr>
                <w:rFonts w:ascii="Times New Roman" w:eastAsia="Times New Roman" w:hAnsi="Times New Roman" w:cs="Times New Roman"/>
                <w:sz w:val="16"/>
                <w:szCs w:val="16"/>
                <w:lang w:eastAsia="en-GB"/>
              </w:rPr>
              <w:fldChar w:fldCharType="separate"/>
            </w:r>
            <w:r w:rsidR="00556188" w:rsidRPr="00FA697F">
              <w:rPr>
                <w:rFonts w:ascii="Times New Roman" w:eastAsia="Times New Roman" w:hAnsi="Times New Roman" w:cs="Times New Roman"/>
                <w:noProof/>
                <w:sz w:val="16"/>
                <w:szCs w:val="16"/>
                <w:vertAlign w:val="superscript"/>
                <w:lang w:eastAsia="en-GB"/>
              </w:rPr>
              <w:t>17</w:t>
            </w:r>
            <w:r w:rsidR="003B381E"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(2015b)</w:t>
            </w:r>
          </w:p>
        </w:tc>
        <w:tc>
          <w:tcPr>
            <w:tcW w:w="1843" w:type="dxa"/>
            <w:shd w:val="clear" w:color="auto" w:fill="auto"/>
            <w:tcMar>
              <w:left w:w="57" w:type="dxa"/>
              <w:right w:w="57" w:type="dxa"/>
            </w:tcMar>
            <w:hideMark/>
          </w:tcPr>
          <w:p w14:paraId="3834C4C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Investigate the health and economic </w:t>
            </w:r>
            <w:r w:rsidR="000F5A32" w:rsidRPr="00FA697F">
              <w:rPr>
                <w:rFonts w:ascii="Times New Roman" w:eastAsia="Times New Roman" w:hAnsi="Times New Roman" w:cs="Times New Roman"/>
                <w:sz w:val="16"/>
                <w:szCs w:val="16"/>
                <w:lang w:eastAsia="en-GB"/>
              </w:rPr>
              <w:t>impact</w:t>
            </w:r>
            <w:r w:rsidRPr="00FA697F">
              <w:rPr>
                <w:rFonts w:ascii="Times New Roman" w:eastAsia="Times New Roman" w:hAnsi="Times New Roman" w:cs="Times New Roman"/>
                <w:sz w:val="16"/>
                <w:szCs w:val="16"/>
                <w:lang w:eastAsia="en-GB"/>
              </w:rPr>
              <w:t xml:space="preserve"> of increasing prescription length from the standard monthly prescription</w:t>
            </w:r>
          </w:p>
        </w:tc>
        <w:tc>
          <w:tcPr>
            <w:tcW w:w="1299" w:type="dxa"/>
            <w:shd w:val="clear" w:color="auto" w:fill="auto"/>
            <w:tcMar>
              <w:left w:w="57" w:type="dxa"/>
              <w:right w:w="57" w:type="dxa"/>
            </w:tcMar>
            <w:hideMark/>
          </w:tcPr>
          <w:p w14:paraId="5B6EDBBD"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w:t>
            </w:r>
            <w:r w:rsidR="00112353" w:rsidRPr="00FA697F">
              <w:rPr>
                <w:rFonts w:ascii="Times New Roman" w:eastAsia="Times New Roman" w:hAnsi="Times New Roman" w:cs="Times New Roman"/>
                <w:sz w:val="16"/>
                <w:szCs w:val="16"/>
                <w:lang w:eastAsia="en-GB"/>
              </w:rPr>
              <w:t xml:space="preserve">≥35) on a stable statin regimen for six months &amp; no history of previous diagnosis of hypertension or diabetes or </w:t>
            </w:r>
            <w:r w:rsidRPr="00FA697F">
              <w:rPr>
                <w:rFonts w:ascii="Times New Roman" w:eastAsia="Times New Roman" w:hAnsi="Times New Roman" w:cs="Times New Roman"/>
                <w:sz w:val="16"/>
                <w:szCs w:val="16"/>
                <w:lang w:eastAsia="en-GB"/>
              </w:rPr>
              <w:t>CVD; PHC</w:t>
            </w:r>
          </w:p>
        </w:tc>
        <w:tc>
          <w:tcPr>
            <w:tcW w:w="1017" w:type="dxa"/>
            <w:shd w:val="clear" w:color="auto" w:fill="auto"/>
            <w:tcMar>
              <w:left w:w="57" w:type="dxa"/>
              <w:right w:w="57" w:type="dxa"/>
            </w:tcMar>
            <w:hideMark/>
          </w:tcPr>
          <w:p w14:paraId="46F0D7B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20919E6B"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bottom-up approach</w:t>
            </w:r>
          </w:p>
        </w:tc>
        <w:tc>
          <w:tcPr>
            <w:tcW w:w="1011" w:type="dxa"/>
            <w:shd w:val="clear" w:color="auto" w:fill="auto"/>
            <w:tcMar>
              <w:left w:w="57" w:type="dxa"/>
              <w:right w:w="57" w:type="dxa"/>
            </w:tcMar>
            <w:hideMark/>
          </w:tcPr>
          <w:p w14:paraId="0D77352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(2014)</w:t>
            </w:r>
          </w:p>
        </w:tc>
        <w:tc>
          <w:tcPr>
            <w:tcW w:w="2146" w:type="dxa"/>
            <w:shd w:val="clear" w:color="auto" w:fill="auto"/>
            <w:tcMar>
              <w:left w:w="57" w:type="dxa"/>
              <w:right w:w="57" w:type="dxa"/>
            </w:tcMar>
            <w:hideMark/>
          </w:tcPr>
          <w:p w14:paraId="313F018B"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high cholesterol</w:t>
            </w:r>
            <w:r w:rsidRPr="00FA697F">
              <w:rPr>
                <w:rFonts w:ascii="Times New Roman" w:eastAsia="Times New Roman" w:hAnsi="Times New Roman" w:cs="Times New Roman"/>
                <w:sz w:val="16"/>
                <w:szCs w:val="16"/>
                <w:lang w:eastAsia="en-GB"/>
              </w:rPr>
              <w:br/>
              <w:t>Simvastatin 20 mg (30-day prescription): $19</w:t>
            </w:r>
            <w:r w:rsidRPr="00FA697F">
              <w:rPr>
                <w:rFonts w:ascii="Times New Roman" w:eastAsia="Times New Roman" w:hAnsi="Times New Roman" w:cs="Times New Roman"/>
                <w:sz w:val="16"/>
                <w:szCs w:val="16"/>
                <w:lang w:eastAsia="en-GB"/>
              </w:rPr>
              <w:br/>
              <w:t>Simvastatin 20 mg (60-day prescription): $14</w:t>
            </w:r>
            <w:r w:rsidRPr="00FA697F">
              <w:rPr>
                <w:rFonts w:ascii="Times New Roman" w:eastAsia="Times New Roman" w:hAnsi="Times New Roman" w:cs="Times New Roman"/>
                <w:sz w:val="16"/>
                <w:szCs w:val="16"/>
                <w:lang w:eastAsia="en-GB"/>
              </w:rPr>
              <w:br/>
              <w:t>Simvastatin 20 mg (90-day prescription): $12</w:t>
            </w:r>
            <w:r w:rsidRPr="00FA697F">
              <w:rPr>
                <w:rFonts w:ascii="Times New Roman" w:eastAsia="Times New Roman" w:hAnsi="Times New Roman" w:cs="Times New Roman"/>
                <w:sz w:val="16"/>
                <w:szCs w:val="16"/>
                <w:lang w:eastAsia="en-GB"/>
              </w:rPr>
              <w:br/>
              <w:t>Atorvastatin 20 mg (30-day prescription): $33</w:t>
            </w:r>
            <w:r w:rsidRPr="00FA697F">
              <w:rPr>
                <w:rFonts w:ascii="Times New Roman" w:eastAsia="Times New Roman" w:hAnsi="Times New Roman" w:cs="Times New Roman"/>
                <w:sz w:val="16"/>
                <w:szCs w:val="16"/>
                <w:lang w:eastAsia="en-GB"/>
              </w:rPr>
              <w:br/>
              <w:t>Atorvastatin 20 mg (60-day prescription): $29</w:t>
            </w:r>
          </w:p>
          <w:p w14:paraId="592B0C4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p>
        </w:tc>
        <w:tc>
          <w:tcPr>
            <w:tcW w:w="1051" w:type="dxa"/>
            <w:shd w:val="clear" w:color="auto" w:fill="auto"/>
            <w:tcMar>
              <w:left w:w="57" w:type="dxa"/>
              <w:right w:w="57" w:type="dxa"/>
            </w:tcMar>
            <w:hideMark/>
          </w:tcPr>
          <w:p w14:paraId="6384123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5CBC51F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FA1B6E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9F319B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E2E016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5F8C5A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3C36D7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B4B20E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C394FD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DB9184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0E4B9C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1B7CF7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239E458C"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50D6491D" w14:textId="77777777" w:rsidTr="00115C53">
        <w:trPr>
          <w:trHeight w:val="1427"/>
        </w:trPr>
        <w:tc>
          <w:tcPr>
            <w:tcW w:w="431" w:type="dxa"/>
            <w:shd w:val="clear" w:color="auto" w:fill="auto"/>
            <w:tcMar>
              <w:left w:w="57" w:type="dxa"/>
              <w:right w:w="57" w:type="dxa"/>
            </w:tcMar>
            <w:hideMark/>
          </w:tcPr>
          <w:p w14:paraId="4353416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8</w:t>
            </w:r>
          </w:p>
        </w:tc>
        <w:tc>
          <w:tcPr>
            <w:tcW w:w="982" w:type="dxa"/>
            <w:shd w:val="clear" w:color="auto" w:fill="auto"/>
            <w:tcMar>
              <w:left w:w="57" w:type="dxa"/>
              <w:right w:w="57" w:type="dxa"/>
            </w:tcMar>
            <w:hideMark/>
          </w:tcPr>
          <w:p w14:paraId="6C013E5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Basu</w:t>
            </w:r>
            <w:r w:rsidR="003B381E" w:rsidRPr="00FA697F">
              <w:rPr>
                <w:rFonts w:ascii="Times New Roman" w:eastAsia="Times New Roman" w:hAnsi="Times New Roman" w:cs="Times New Roman"/>
                <w:sz w:val="16"/>
                <w:szCs w:val="16"/>
                <w:lang w:eastAsia="en-GB"/>
              </w:rPr>
              <w:fldChar w:fldCharType="begin" w:fldLock="1"/>
            </w:r>
            <w:r w:rsidR="00C232B6" w:rsidRPr="00FA697F">
              <w:rPr>
                <w:rFonts w:ascii="Times New Roman" w:eastAsia="Times New Roman" w:hAnsi="Times New Roman" w:cs="Times New Roman"/>
                <w:sz w:val="16"/>
                <w:szCs w:val="16"/>
                <w:lang w:eastAsia="en-GB"/>
              </w:rPr>
              <w:instrText>ADDIN CSL_CITATION {"citationItems":[{"id":"ITEM-1","itemData":{"DOI":"10.1016/S2214-109X(18)30450-9","ISSN":"2214-109X (Electronic)","PMID":"30528531","abstract":"BACKGROUND: Cardiovascular diseases and their risk factors-particularly hypertension, dyslipidaemia, and diabetes-have become an increasing concern for middle-income countries. Using newly available, nationally representative data, we assessed how cardiovascular risk factors are distributed across subpopulations within South Africa and identified which cardiovascular treatments should be prioritised. METHODS: We created a demographically representative simulated population for South Africa and used data from 17 743 respondents aged 15 years or older of the 2012 South African National Health and Nutrition Examination Survey (SANHANES) to assign information on cardiovascular risk factors to each member of the simulated population. We created a microsimulation model to estimate the health and economic implications of two globally recognised treatment recommendations: WHO's package of essential non-communicable disease interventions (PEN) and South Africa's Primary Care 101 (SA PC 101) guidelines. The primary outcome was total disability-adjusted life-years (DALYs) averted through treatment of all cardiovascular disease or microvascular type 2 diabetes complications per 1000 population. We compared outcomes at the aspirational level of achieving access to treatment among 70% of the population. FINDINGS: Based on the SANHANES data, South Africans had a high prevalence of hypertension (24·8%), dyslipidaemia (17·5%), and diabetes (15·3%). Prevalence was disproportionately high and treatment low among male, black, and poor populations. Our simulated population experienced a burden of 40·0 DALYs (95% CI 29·5-52·0) per 1000 population per year from cardiovascular disease or type 2 diabetes complications at current treatment levels, which lowered to 32·9 DALYs (24·4-44·7) under WHO PEN implementation and to 32·5 (24·4-44·8) under SA PC 101 implementation. Under both guidelines, there were increases in blood pressure treatment (4·2 percentage points under WHO PEN vs 12·6 percentage points under SA PC 101), lipid treatment (16·0 vs 14·9), and glucose control medications (1·2 vs 0·6). The incremental cost-effectiveness of implementing SA PC 101 over current treatment would be a saving of US$24 902 (95% CI 14 666-62 579) per DALY averted compared with a saving of $17 587 (1840-42 589) under WHO PEN guidelines. INTERPRETATION: Cardiovascular risk factors are common and disproportionate among disadvantaged populations in South Africa. Treatment with blood pressure agent…","author":[{"dropping-particle":"","family":"Basu","given":"Sanjay","non-dropping-particle":"","parse-names":false,"suffix":""},{"dropping-particle":"","family":"Wagner","given":"Ryan G","non-dropping-particle":"","parse-names":false,"suffix":""},{"dropping-particle":"","family":"Sewpaul","given":"Ronel","non-dropping-particle":"","parse-names":false,"suffix":""},{"dropping-particle":"","family":"Reddy","given":"Priscilla","non-dropping-particle":"","parse-names":false,"suffix":""},{"dropping-particle":"","family":"Davies","given":"Justine","non-dropping-particle":"","parse-names":false,"suffix":""}],"container-title":"The Lancet. Global health","id":"ITEM-1","issue":"2","issued":{"date-parts":[["2019","2"]]},"language":"eng","page":"e270-e280","publisher-place":"England","title":"Implications of scaling up cardiovascular disease treatment in South Africa: a microsimulation and cost-effectiveness analysis.","type":"article-journal","volume":"7"},"uris":["http://www.mendeley.com/documents/?uuid=a59d3cb3-9528-4387-8332-dff97c29e444"]}],"mendeley":{"formattedCitation":"&lt;sup&gt;8&lt;/sup&gt;","plainTextFormattedCitation":"8","previouslyFormattedCitation":"&lt;sup&gt;8&lt;/sup&gt;"},"properties":{"noteIndex":0},"schema":"https://github.com/citation-style-language/schema/raw/master/csl-citation.json"}</w:instrText>
            </w:r>
            <w:r w:rsidR="003B381E" w:rsidRPr="00FA697F">
              <w:rPr>
                <w:rFonts w:ascii="Times New Roman" w:eastAsia="Times New Roman" w:hAnsi="Times New Roman" w:cs="Times New Roman"/>
                <w:sz w:val="16"/>
                <w:szCs w:val="16"/>
                <w:lang w:eastAsia="en-GB"/>
              </w:rPr>
              <w:fldChar w:fldCharType="separate"/>
            </w:r>
            <w:r w:rsidR="003B381E" w:rsidRPr="00FA697F">
              <w:rPr>
                <w:rFonts w:ascii="Times New Roman" w:eastAsia="Times New Roman" w:hAnsi="Times New Roman" w:cs="Times New Roman"/>
                <w:noProof/>
                <w:sz w:val="16"/>
                <w:szCs w:val="16"/>
                <w:vertAlign w:val="superscript"/>
                <w:lang w:eastAsia="en-GB"/>
              </w:rPr>
              <w:t>8</w:t>
            </w:r>
            <w:r w:rsidR="003B381E"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06C2AB9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economic implications of treatment scale-up under two alternative guidelines</w:t>
            </w:r>
          </w:p>
        </w:tc>
        <w:tc>
          <w:tcPr>
            <w:tcW w:w="1299" w:type="dxa"/>
            <w:shd w:val="clear" w:color="auto" w:fill="auto"/>
            <w:tcMar>
              <w:left w:w="57" w:type="dxa"/>
              <w:right w:w="57" w:type="dxa"/>
            </w:tcMar>
            <w:hideMark/>
          </w:tcPr>
          <w:p w14:paraId="753C804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with data available on cardiovascular risk factors in all provinces; PHC &amp; hospital</w:t>
            </w:r>
          </w:p>
        </w:tc>
        <w:tc>
          <w:tcPr>
            <w:tcW w:w="1017" w:type="dxa"/>
            <w:shd w:val="clear" w:color="auto" w:fill="auto"/>
            <w:tcMar>
              <w:left w:w="57" w:type="dxa"/>
              <w:right w:w="57" w:type="dxa"/>
            </w:tcMar>
            <w:hideMark/>
          </w:tcPr>
          <w:p w14:paraId="2D11791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125F0674"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6287523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7C6A5CD9"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dyslipidaemia</w:t>
            </w:r>
            <w:r w:rsidRPr="00FA697F">
              <w:rPr>
                <w:rFonts w:ascii="Times New Roman" w:eastAsia="Times New Roman" w:hAnsi="Times New Roman" w:cs="Times New Roman"/>
                <w:sz w:val="16"/>
                <w:szCs w:val="16"/>
                <w:lang w:eastAsia="en-GB"/>
              </w:rPr>
              <w:br/>
              <w:t>Physician visit &amp; labs: $24</w:t>
            </w:r>
            <w:r w:rsidRPr="00FA697F">
              <w:rPr>
                <w:rFonts w:ascii="Times New Roman" w:eastAsia="Times New Roman" w:hAnsi="Times New Roman" w:cs="Times New Roman"/>
                <w:sz w:val="16"/>
                <w:szCs w:val="16"/>
                <w:lang w:eastAsia="en-GB"/>
              </w:rPr>
              <w:br/>
              <w:t>Statin: $31</w:t>
            </w:r>
          </w:p>
          <w:p w14:paraId="1778F29C" w14:textId="2B62DB45"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1600153A" w14:textId="77777777" w:rsidR="00112353" w:rsidRPr="00FA697F" w:rsidRDefault="00112353" w:rsidP="00112353">
            <w:pPr>
              <w:spacing w:after="0" w:line="240" w:lineRule="auto"/>
              <w:rPr>
                <w:rFonts w:ascii="Times New Roman" w:eastAsia="Times New Roman" w:hAnsi="Times New Roman" w:cs="Times New Roman"/>
                <w:i/>
                <w:iCs/>
                <w:sz w:val="16"/>
                <w:szCs w:val="16"/>
                <w:lang w:eastAsia="en-GB"/>
              </w:rPr>
            </w:pPr>
            <w:r w:rsidRPr="00FA697F">
              <w:rPr>
                <w:rFonts w:ascii="Times New Roman" w:eastAsia="Times New Roman" w:hAnsi="Times New Roman" w:cs="Times New Roman"/>
                <w:i/>
                <w:iCs/>
                <w:sz w:val="16"/>
                <w:szCs w:val="16"/>
                <w:lang w:eastAsia="en-GB"/>
              </w:rPr>
              <w:t>N/A</w:t>
            </w:r>
          </w:p>
        </w:tc>
        <w:tc>
          <w:tcPr>
            <w:tcW w:w="260" w:type="dxa"/>
            <w:shd w:val="clear" w:color="auto" w:fill="auto"/>
            <w:tcMar>
              <w:left w:w="57" w:type="dxa"/>
              <w:right w:w="57" w:type="dxa"/>
            </w:tcMar>
            <w:hideMark/>
          </w:tcPr>
          <w:p w14:paraId="1C3B21A6" w14:textId="77777777" w:rsidR="00112353" w:rsidRPr="00FA697F" w:rsidRDefault="00112353" w:rsidP="00112353">
            <w:pPr>
              <w:spacing w:after="0" w:line="240" w:lineRule="auto"/>
              <w:rPr>
                <w:rFonts w:ascii="Times New Roman" w:eastAsia="Times New Roman" w:hAnsi="Times New Roman" w:cs="Times New Roman"/>
                <w:i/>
                <w:iCs/>
                <w:sz w:val="16"/>
                <w:szCs w:val="16"/>
                <w:lang w:eastAsia="en-GB"/>
              </w:rPr>
            </w:pPr>
          </w:p>
        </w:tc>
        <w:tc>
          <w:tcPr>
            <w:tcW w:w="294" w:type="dxa"/>
            <w:shd w:val="clear" w:color="auto" w:fill="auto"/>
            <w:tcMar>
              <w:left w:w="57" w:type="dxa"/>
              <w:right w:w="57" w:type="dxa"/>
            </w:tcMar>
            <w:hideMark/>
          </w:tcPr>
          <w:p w14:paraId="23868D0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BDD60C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6D7335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8DAA57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709C97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D83169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906DE2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785273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A3ECA9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5EED9A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371F8FA4"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229F9BE4" w14:textId="77777777" w:rsidTr="00115C53">
        <w:trPr>
          <w:trHeight w:val="288"/>
        </w:trPr>
        <w:tc>
          <w:tcPr>
            <w:tcW w:w="14967" w:type="dxa"/>
            <w:gridSpan w:val="21"/>
            <w:shd w:val="clear" w:color="auto" w:fill="auto"/>
            <w:tcMar>
              <w:left w:w="57" w:type="dxa"/>
              <w:right w:w="57" w:type="dxa"/>
            </w:tcMar>
            <w:hideMark/>
          </w:tcPr>
          <w:p w14:paraId="47BFC2C3" w14:textId="77777777" w:rsidR="00112353" w:rsidRPr="00FA697F" w:rsidRDefault="00112353" w:rsidP="00A12EB6">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CVD screening and secondary prevention</w:t>
            </w:r>
          </w:p>
        </w:tc>
      </w:tr>
      <w:tr w:rsidR="003C76E8" w:rsidRPr="00FA697F" w14:paraId="5FD93CE5" w14:textId="77777777" w:rsidTr="00115C53">
        <w:trPr>
          <w:trHeight w:val="1728"/>
        </w:trPr>
        <w:tc>
          <w:tcPr>
            <w:tcW w:w="431" w:type="dxa"/>
            <w:shd w:val="clear" w:color="auto" w:fill="auto"/>
            <w:tcMar>
              <w:left w:w="57" w:type="dxa"/>
              <w:right w:w="57" w:type="dxa"/>
            </w:tcMar>
            <w:hideMark/>
          </w:tcPr>
          <w:p w14:paraId="602C46A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7</w:t>
            </w:r>
          </w:p>
        </w:tc>
        <w:tc>
          <w:tcPr>
            <w:tcW w:w="982" w:type="dxa"/>
            <w:shd w:val="clear" w:color="auto" w:fill="auto"/>
            <w:tcMar>
              <w:left w:w="57" w:type="dxa"/>
              <w:right w:w="57" w:type="dxa"/>
            </w:tcMar>
            <w:hideMark/>
          </w:tcPr>
          <w:p w14:paraId="1D9E6F4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Gaziano</w:t>
            </w:r>
            <w:r w:rsidR="00C232B6" w:rsidRPr="00FA697F">
              <w:rPr>
                <w:rFonts w:ascii="Times New Roman" w:eastAsia="Times New Roman" w:hAnsi="Times New Roman" w:cs="Times New Roman"/>
                <w:sz w:val="16"/>
                <w:szCs w:val="16"/>
                <w:lang w:eastAsia="en-GB"/>
              </w:rPr>
              <w:fldChar w:fldCharType="begin" w:fldLock="1"/>
            </w:r>
            <w:r w:rsidR="00C232B6" w:rsidRPr="00FA697F">
              <w:rPr>
                <w:rFonts w:ascii="Times New Roman" w:eastAsia="Times New Roman" w:hAnsi="Times New Roman" w:cs="Times New Roman"/>
                <w:sz w:val="16"/>
                <w:szCs w:val="16"/>
                <w:lang w:eastAsia="en-GB"/>
              </w:rPr>
              <w:instrText>ADDIN CSL_CITATION {"citationItems":[{"id":"ITEM-1","itemData":{"DOI":"10.1377/hlthaff.2015.0349","author":[{"dropping-particle":"","family":"Gaziano","given":"T","non-dropping-particle":"","parse-names":false,"suffix":""},{"dropping-particle":"","family":"Abrahams-Gessel","given":"S","non-dropping-particle":"","parse-names":false,"suffix":""},{"dropping-particle":"","family":"Surka","given":"S","non-dropping-particle":"","parse-names":false,"suffix":""},{"dropping-particle":"","family":"Sy","given":"S","non-dropping-particle":"","parse-names":false,"suffix":""},{"dropping-particle":"","family":"Pandya","given":"A","non-dropping-particle":"","parse-names":false,"suffix":""},{"dropping-particle":"","family":"Denman","given":"C A","non-dropping-particle":"","parse-names":false,"suffix":""},{"dropping-particle":"","family":"Mendoza","given":"C","non-dropping-particle":"","parse-names":false,"suffix":""},{"dropping-particle":"","family":"Puoane","given":"T","non-dropping-particle":"","parse-names":false,"suffix":""}],"container-title":"Health Affairs","id":"ITEM-1","issue":"9","issued":{"date-parts":[["2015"]]},"note":"Cited By :19\n\nExport Date: 31 May 2021","page":"1538-1545","title":"Cardiovascular disease screening by community health workers can be cost-effective in low- resource countries","type":"article-journal","volume":"34"},"uris":["http://www.mendeley.com/documents/?uuid=d2507643-121f-493d-9599-f1e10a2bba2e"]}],"mendeley":{"formattedCitation":"&lt;sup&gt;7&lt;/sup&gt;","plainTextFormattedCitation":"7","previouslyFormattedCitation":"&lt;sup&gt;7&lt;/sup&gt;"},"properties":{"noteIndex":0},"schema":"https://github.com/citation-style-language/schema/raw/master/csl-citation.json"}</w:instrText>
            </w:r>
            <w:r w:rsidR="00C232B6" w:rsidRPr="00FA697F">
              <w:rPr>
                <w:rFonts w:ascii="Times New Roman" w:eastAsia="Times New Roman" w:hAnsi="Times New Roman" w:cs="Times New Roman"/>
                <w:sz w:val="16"/>
                <w:szCs w:val="16"/>
                <w:lang w:eastAsia="en-GB"/>
              </w:rPr>
              <w:fldChar w:fldCharType="separate"/>
            </w:r>
            <w:r w:rsidR="00C232B6" w:rsidRPr="00FA697F">
              <w:rPr>
                <w:rFonts w:ascii="Times New Roman" w:eastAsia="Times New Roman" w:hAnsi="Times New Roman" w:cs="Times New Roman"/>
                <w:noProof/>
                <w:sz w:val="16"/>
                <w:szCs w:val="16"/>
                <w:vertAlign w:val="superscript"/>
                <w:lang w:eastAsia="en-GB"/>
              </w:rPr>
              <w:t>7</w:t>
            </w:r>
            <w:r w:rsidR="00C232B6"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(2015a)</w:t>
            </w:r>
          </w:p>
        </w:tc>
        <w:tc>
          <w:tcPr>
            <w:tcW w:w="1843" w:type="dxa"/>
            <w:shd w:val="clear" w:color="auto" w:fill="auto"/>
            <w:tcMar>
              <w:left w:w="57" w:type="dxa"/>
              <w:right w:w="57" w:type="dxa"/>
            </w:tcMar>
            <w:hideMark/>
          </w:tcPr>
          <w:p w14:paraId="6220842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Evaluate the benefits, risks, and costs of two interventions for cardiovascular screening</w:t>
            </w:r>
          </w:p>
        </w:tc>
        <w:tc>
          <w:tcPr>
            <w:tcW w:w="1299" w:type="dxa"/>
            <w:shd w:val="clear" w:color="auto" w:fill="auto"/>
            <w:tcMar>
              <w:left w:w="57" w:type="dxa"/>
              <w:right w:w="57" w:type="dxa"/>
            </w:tcMar>
            <w:hideMark/>
          </w:tcPr>
          <w:p w14:paraId="147AF2A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Adults (35–74) with no prior history of stroke or ischemic heart </w:t>
            </w:r>
            <w:r w:rsidR="000F5A32" w:rsidRPr="00FA697F">
              <w:rPr>
                <w:rFonts w:ascii="Times New Roman" w:eastAsia="Times New Roman" w:hAnsi="Times New Roman" w:cs="Times New Roman"/>
                <w:sz w:val="16"/>
                <w:szCs w:val="16"/>
                <w:lang w:eastAsia="en-GB"/>
              </w:rPr>
              <w:t>disease; community</w:t>
            </w:r>
            <w:r w:rsidRPr="00FA697F">
              <w:rPr>
                <w:rFonts w:ascii="Times New Roman" w:eastAsia="Times New Roman" w:hAnsi="Times New Roman" w:cs="Times New Roman"/>
                <w:sz w:val="16"/>
                <w:szCs w:val="16"/>
                <w:lang w:eastAsia="en-GB"/>
              </w:rPr>
              <w:t xml:space="preserve"> health workers</w:t>
            </w:r>
          </w:p>
        </w:tc>
        <w:tc>
          <w:tcPr>
            <w:tcW w:w="1017" w:type="dxa"/>
            <w:shd w:val="clear" w:color="auto" w:fill="auto"/>
            <w:tcMar>
              <w:left w:w="57" w:type="dxa"/>
              <w:right w:w="57" w:type="dxa"/>
            </w:tcMar>
            <w:hideMark/>
          </w:tcPr>
          <w:p w14:paraId="4BBC081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078F8499"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27DE891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(2014)</w:t>
            </w:r>
          </w:p>
        </w:tc>
        <w:tc>
          <w:tcPr>
            <w:tcW w:w="2146" w:type="dxa"/>
            <w:shd w:val="clear" w:color="auto" w:fill="auto"/>
            <w:tcMar>
              <w:left w:w="57" w:type="dxa"/>
              <w:right w:w="57" w:type="dxa"/>
            </w:tcMar>
            <w:hideMark/>
          </w:tcPr>
          <w:p w14:paraId="1F3D46D1" w14:textId="011DA12F"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Screening of CVD</w:t>
            </w:r>
            <w:r w:rsidRPr="00FA697F">
              <w:rPr>
                <w:rFonts w:ascii="Times New Roman" w:eastAsia="Times New Roman" w:hAnsi="Times New Roman" w:cs="Times New Roman"/>
                <w:sz w:val="16"/>
                <w:szCs w:val="16"/>
                <w:lang w:eastAsia="en-GB"/>
              </w:rPr>
              <w:br/>
              <w:t>Paper-based screening: $1</w:t>
            </w:r>
            <w:r w:rsidR="00D66FC6"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97</w:t>
            </w:r>
            <w:r w:rsidRPr="00FA697F">
              <w:rPr>
                <w:rFonts w:ascii="Times New Roman" w:eastAsia="Times New Roman" w:hAnsi="Times New Roman" w:cs="Times New Roman"/>
                <w:sz w:val="16"/>
                <w:szCs w:val="16"/>
                <w:lang w:eastAsia="en-GB"/>
              </w:rPr>
              <w:br/>
              <w:t>Mobile phone-based screening: $1</w:t>
            </w:r>
            <w:r w:rsidR="00D66FC6"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01</w:t>
            </w:r>
          </w:p>
          <w:p w14:paraId="0CD27A2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 screened</w:t>
            </w:r>
          </w:p>
        </w:tc>
        <w:tc>
          <w:tcPr>
            <w:tcW w:w="1051" w:type="dxa"/>
            <w:shd w:val="clear" w:color="auto" w:fill="auto"/>
            <w:tcMar>
              <w:left w:w="57" w:type="dxa"/>
              <w:right w:w="57" w:type="dxa"/>
            </w:tcMar>
            <w:hideMark/>
          </w:tcPr>
          <w:p w14:paraId="01A4BC7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27DE6DE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B2B26D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17EB97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59F311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72B096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913E02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A89F83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A03AEC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A557BB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C78BAE7"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EA7276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0DA075F0"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Training</w:t>
            </w:r>
          </w:p>
        </w:tc>
      </w:tr>
      <w:tr w:rsidR="003C76E8" w:rsidRPr="00FA697F" w14:paraId="6711148E" w14:textId="77777777" w:rsidTr="00115C53">
        <w:trPr>
          <w:trHeight w:val="2880"/>
        </w:trPr>
        <w:tc>
          <w:tcPr>
            <w:tcW w:w="431" w:type="dxa"/>
            <w:shd w:val="clear" w:color="auto" w:fill="auto"/>
            <w:tcMar>
              <w:left w:w="57" w:type="dxa"/>
              <w:right w:w="57" w:type="dxa"/>
            </w:tcMar>
            <w:hideMark/>
          </w:tcPr>
          <w:p w14:paraId="2C020CB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18</w:t>
            </w:r>
          </w:p>
        </w:tc>
        <w:tc>
          <w:tcPr>
            <w:tcW w:w="982" w:type="dxa"/>
            <w:shd w:val="clear" w:color="auto" w:fill="auto"/>
            <w:tcMar>
              <w:left w:w="57" w:type="dxa"/>
              <w:right w:w="57" w:type="dxa"/>
            </w:tcMar>
            <w:hideMark/>
          </w:tcPr>
          <w:p w14:paraId="65AD7A3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Golovaty</w:t>
            </w:r>
            <w:r w:rsidR="00C232B6" w:rsidRPr="00FA697F">
              <w:rPr>
                <w:rFonts w:ascii="Times New Roman" w:eastAsia="Times New Roman" w:hAnsi="Times New Roman" w:cs="Times New Roman"/>
                <w:sz w:val="16"/>
                <w:szCs w:val="16"/>
                <w:lang w:eastAsia="en-GB"/>
              </w:rPr>
              <w:fldChar w:fldCharType="begin" w:fldLock="1"/>
            </w:r>
            <w:r w:rsidR="00556188" w:rsidRPr="00FA697F">
              <w:rPr>
                <w:rFonts w:ascii="Times New Roman" w:eastAsia="Times New Roman" w:hAnsi="Times New Roman" w:cs="Times New Roman"/>
                <w:sz w:val="16"/>
                <w:szCs w:val="16"/>
                <w:lang w:eastAsia="en-GB"/>
              </w:rPr>
              <w:instrText>ADDIN CSL_CITATION {"citationItems":[{"id":"ITEM-1","itemData":{"DOI":"10.1097/QAI.0000000000001713","ISBN":"0000000000","ISSN":"10779450","PMID":"29771779","abstract":"Introduction: Integrated HIV-noncommunicable disease (NCD) services have the potential to avert death and disability but require data on program costs to assess the impact of integrated services on affordability. Methods: We estimated the incremental costs of NCD screening as part of home-based HIV testing and counseling (HTC) and referral to care in KwaZulu-Natal, South Africa. All adults in the households were offered integrated HIV-NCD screening (for HIV, diabetes, hypertension, hypercholesterolemia, obesity, depression, tobacco, and alcohol use), counseling, and linkage to care. We conducted comprehensive program microcosting including ingredient-based and activity-based costing, staff interviews, and time assessment studies. Sensitivity analyses varied cost inputs and screening efficiency. Results: Integrating all-inclusive NCD screening as part of home-based HTC in a high HIV prevalence setting increased program costs by $3.95 (42%) per person screened (from $9.36 to $13.31 per person). Integrated NCD screening, excluding point-of-care cholesterol testing, increased program costs by $2.24 (24%). Furthermore, NCD screening integrated into HTC services reduced the number of persons tested by 15%-20% per day. Conclusions: Integrated HIV-NCD screening has the potential to efficiently use resources compared with stand-alone services. Although all-inclusive NCD screening could increase the incremental cost per person screened for integrated HIV-NCD services over 40%, a less costly lipid assay or targeted screening would result in a modest increase in costs with the potential to avert NCD death and disability. Our analysis highlights the need for implementation science studies to estimate the cost-effectiveness of integrated HIV-NCD screening and linkage per disability-adjusted life year and death averted.","author":[{"dropping-particle":"","family":"Golovaty","given":"Ilya","non-dropping-particle":"","parse-names":false,"suffix":""},{"dropping-particle":"","family":"Sharma","given":"Monisha","non-dropping-particle":"","parse-names":false,"suffix":""},{"dropping-particle":"","family":"Heerden","given":"Alastair","non-dropping-particle":"Van","parse-names":false,"suffix":""},{"dropping-particle":"","family":"Rooyen","given":"Heidi","non-dropping-particle":"Van","parse-names":false,"suffix":""},{"dropping-particle":"","family":"Baeten","given":"Jared M.","non-dropping-particle":"","parse-names":false,"suffix":""},{"dropping-particle":"","family":"Celum","given":"Connie","non-dropping-particle":"","parse-names":false,"suffix":""},{"dropping-particle":"V.","family":"Barnabas","given":"Ruanne","non-dropping-particle":"","parse-names":false,"suffix":""}],"container-title":"Journal of Acquired Immune Deficiency Syndromes","id":"ITEM-1","issue":"5","issued":{"date-parts":[["2018"]]},"page":"522-526","title":"Cost of integrating noncommunicable disease screening into home-based HIV testing and counseling in South Africa","type":"article-journal","volume":"78"},"uris":["http://www.mendeley.com/documents/?uuid=b3dfde91-d6cb-4356-880e-8721341e12b7"]}],"mendeley":{"formattedCitation":"&lt;sup&gt;18&lt;/sup&gt;","plainTextFormattedCitation":"18","previouslyFormattedCitation":"&lt;sup&gt;18&lt;/sup&gt;"},"properties":{"noteIndex":0},"schema":"https://github.com/citation-style-language/schema/raw/master/csl-citation.json"}</w:instrText>
            </w:r>
            <w:r w:rsidR="00C232B6" w:rsidRPr="00FA697F">
              <w:rPr>
                <w:rFonts w:ascii="Times New Roman" w:eastAsia="Times New Roman" w:hAnsi="Times New Roman" w:cs="Times New Roman"/>
                <w:sz w:val="16"/>
                <w:szCs w:val="16"/>
                <w:lang w:eastAsia="en-GB"/>
              </w:rPr>
              <w:fldChar w:fldCharType="separate"/>
            </w:r>
            <w:r w:rsidR="00556188" w:rsidRPr="00FA697F">
              <w:rPr>
                <w:rFonts w:ascii="Times New Roman" w:eastAsia="Times New Roman" w:hAnsi="Times New Roman" w:cs="Times New Roman"/>
                <w:noProof/>
                <w:sz w:val="16"/>
                <w:szCs w:val="16"/>
                <w:vertAlign w:val="superscript"/>
                <w:lang w:eastAsia="en-GB"/>
              </w:rPr>
              <w:t>18</w:t>
            </w:r>
            <w:r w:rsidR="00C232B6"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(2018)</w:t>
            </w:r>
          </w:p>
        </w:tc>
        <w:tc>
          <w:tcPr>
            <w:tcW w:w="1843" w:type="dxa"/>
            <w:shd w:val="clear" w:color="auto" w:fill="auto"/>
            <w:tcMar>
              <w:left w:w="57" w:type="dxa"/>
              <w:right w:w="57" w:type="dxa"/>
            </w:tcMar>
            <w:hideMark/>
          </w:tcPr>
          <w:p w14:paraId="4B35F48E" w14:textId="71F28562"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Determine the per-person incremental costs of integrating NCD screening and </w:t>
            </w:r>
            <w:r w:rsidR="000F5A32" w:rsidRPr="00FA697F">
              <w:rPr>
                <w:rFonts w:ascii="Times New Roman" w:eastAsia="Times New Roman" w:hAnsi="Times New Roman" w:cs="Times New Roman"/>
                <w:sz w:val="16"/>
                <w:szCs w:val="16"/>
                <w:lang w:eastAsia="en-GB"/>
              </w:rPr>
              <w:t>counselling</w:t>
            </w:r>
            <w:r w:rsidRPr="00FA697F">
              <w:rPr>
                <w:rFonts w:ascii="Times New Roman" w:eastAsia="Times New Roman" w:hAnsi="Times New Roman" w:cs="Times New Roman"/>
                <w:sz w:val="16"/>
                <w:szCs w:val="16"/>
                <w:lang w:eastAsia="en-GB"/>
              </w:rPr>
              <w:t xml:space="preserve"> to a home-based HIV </w:t>
            </w:r>
            <w:r w:rsidR="000F5A32" w:rsidRPr="00FA697F">
              <w:rPr>
                <w:rFonts w:ascii="Times New Roman" w:eastAsia="Times New Roman" w:hAnsi="Times New Roman" w:cs="Times New Roman"/>
                <w:sz w:val="16"/>
                <w:szCs w:val="16"/>
                <w:lang w:eastAsia="en-GB"/>
              </w:rPr>
              <w:t>counselling</w:t>
            </w:r>
            <w:r w:rsidRPr="00FA697F">
              <w:rPr>
                <w:rFonts w:ascii="Times New Roman" w:eastAsia="Times New Roman" w:hAnsi="Times New Roman" w:cs="Times New Roman"/>
                <w:sz w:val="16"/>
                <w:szCs w:val="16"/>
                <w:lang w:eastAsia="en-GB"/>
              </w:rPr>
              <w:t xml:space="preserve"> and testing program</w:t>
            </w:r>
          </w:p>
        </w:tc>
        <w:tc>
          <w:tcPr>
            <w:tcW w:w="1299" w:type="dxa"/>
            <w:shd w:val="clear" w:color="auto" w:fill="auto"/>
            <w:tcMar>
              <w:left w:w="57" w:type="dxa"/>
              <w:right w:w="57" w:type="dxa"/>
            </w:tcMar>
            <w:hideMark/>
          </w:tcPr>
          <w:p w14:paraId="6FF3D95A" w14:textId="0E4D7DFE"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(≥18); HIV-/</w:t>
            </w:r>
            <w:r w:rsidR="000F5A32" w:rsidRPr="00FA697F">
              <w:rPr>
                <w:rFonts w:ascii="Times New Roman" w:eastAsia="Times New Roman" w:hAnsi="Times New Roman" w:cs="Times New Roman"/>
                <w:sz w:val="16"/>
                <w:szCs w:val="16"/>
                <w:lang w:eastAsia="en-GB"/>
              </w:rPr>
              <w:t>+; Previously</w:t>
            </w:r>
            <w:r w:rsidRPr="00FA697F">
              <w:rPr>
                <w:rFonts w:ascii="Times New Roman" w:eastAsia="Times New Roman" w:hAnsi="Times New Roman" w:cs="Times New Roman"/>
                <w:sz w:val="16"/>
                <w:szCs w:val="16"/>
                <w:lang w:eastAsia="en-GB"/>
              </w:rPr>
              <w:t xml:space="preserve"> enrolled in cohort study of HIV home-based testing and counselling (HTC) in 2012–2013 in rural KwaZulu </w:t>
            </w:r>
            <w:r w:rsidR="000F5A32" w:rsidRPr="00FA697F">
              <w:rPr>
                <w:rFonts w:ascii="Times New Roman" w:eastAsia="Times New Roman" w:hAnsi="Times New Roman" w:cs="Times New Roman"/>
                <w:sz w:val="16"/>
                <w:szCs w:val="16"/>
                <w:lang w:eastAsia="en-GB"/>
              </w:rPr>
              <w:t>Natal,</w:t>
            </w:r>
            <w:r w:rsidRPr="00FA697F">
              <w:rPr>
                <w:rFonts w:ascii="Times New Roman" w:eastAsia="Times New Roman" w:hAnsi="Times New Roman" w:cs="Times New Roman"/>
                <w:sz w:val="16"/>
                <w:szCs w:val="16"/>
                <w:lang w:eastAsia="en-GB"/>
              </w:rPr>
              <w:t xml:space="preserve"> </w:t>
            </w:r>
            <w:r w:rsidR="000F5A32" w:rsidRPr="00FA697F">
              <w:rPr>
                <w:rFonts w:ascii="Times New Roman" w:eastAsia="Times New Roman" w:hAnsi="Times New Roman" w:cs="Times New Roman"/>
                <w:sz w:val="16"/>
                <w:szCs w:val="16"/>
                <w:lang w:eastAsia="en-GB"/>
              </w:rPr>
              <w:t>South</w:t>
            </w:r>
            <w:r w:rsidRPr="00FA697F">
              <w:rPr>
                <w:rFonts w:ascii="Times New Roman" w:eastAsia="Times New Roman" w:hAnsi="Times New Roman" w:cs="Times New Roman"/>
                <w:sz w:val="16"/>
                <w:szCs w:val="16"/>
                <w:lang w:eastAsia="en-GB"/>
              </w:rPr>
              <w:t xml:space="preserve"> Africa; </w:t>
            </w:r>
            <w:r w:rsidR="00F5333D" w:rsidRPr="00FA697F">
              <w:rPr>
                <w:rFonts w:ascii="Times New Roman" w:eastAsia="Times New Roman" w:hAnsi="Times New Roman" w:cs="Times New Roman"/>
                <w:sz w:val="16"/>
                <w:szCs w:val="16"/>
                <w:lang w:eastAsia="en-GB"/>
              </w:rPr>
              <w:t>c</w:t>
            </w:r>
            <w:r w:rsidRPr="00FA697F">
              <w:rPr>
                <w:rFonts w:ascii="Times New Roman" w:eastAsia="Times New Roman" w:hAnsi="Times New Roman" w:cs="Times New Roman"/>
                <w:sz w:val="16"/>
                <w:szCs w:val="16"/>
                <w:lang w:eastAsia="en-GB"/>
              </w:rPr>
              <w:t>ommunity</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based</w:t>
            </w:r>
          </w:p>
        </w:tc>
        <w:tc>
          <w:tcPr>
            <w:tcW w:w="1017" w:type="dxa"/>
            <w:shd w:val="clear" w:color="auto" w:fill="auto"/>
            <w:tcMar>
              <w:left w:w="57" w:type="dxa"/>
              <w:right w:w="57" w:type="dxa"/>
            </w:tcMar>
            <w:hideMark/>
          </w:tcPr>
          <w:p w14:paraId="78E655D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37790F60"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3A4F94B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Baseline costs - 2013 </w:t>
            </w:r>
            <w:r w:rsidRPr="00FA697F">
              <w:rPr>
                <w:rFonts w:ascii="Times New Roman" w:eastAsia="Times New Roman" w:hAnsi="Times New Roman" w:cs="Times New Roman"/>
                <w:sz w:val="16"/>
                <w:szCs w:val="16"/>
                <w:lang w:eastAsia="en-GB"/>
              </w:rPr>
              <w:br/>
              <w:t>Incremental costs of HIV-NCD - 2016</w:t>
            </w:r>
          </w:p>
        </w:tc>
        <w:tc>
          <w:tcPr>
            <w:tcW w:w="2146" w:type="dxa"/>
            <w:shd w:val="clear" w:color="auto" w:fill="auto"/>
            <w:tcMar>
              <w:left w:w="57" w:type="dxa"/>
              <w:right w:w="57" w:type="dxa"/>
            </w:tcMar>
            <w:hideMark/>
          </w:tcPr>
          <w:p w14:paraId="1A09FFB6" w14:textId="77777777" w:rsidR="00906ED0"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Screening (testing</w:t>
            </w:r>
            <w:r w:rsidR="000F5A32" w:rsidRPr="00FA697F">
              <w:rPr>
                <w:rFonts w:ascii="Times New Roman" w:eastAsia="Times New Roman" w:hAnsi="Times New Roman" w:cs="Times New Roman"/>
                <w:sz w:val="16"/>
                <w:szCs w:val="16"/>
                <w:lang w:eastAsia="en-GB"/>
              </w:rPr>
              <w:t>), counselling</w:t>
            </w:r>
            <w:r w:rsidRPr="00FA697F">
              <w:rPr>
                <w:rFonts w:ascii="Times New Roman" w:eastAsia="Times New Roman" w:hAnsi="Times New Roman" w:cs="Times New Roman"/>
                <w:sz w:val="16"/>
                <w:szCs w:val="16"/>
                <w:lang w:eastAsia="en-GB"/>
              </w:rPr>
              <w:t xml:space="preserve"> and referral to care </w:t>
            </w:r>
            <w:r w:rsidRPr="00FA697F">
              <w:rPr>
                <w:rFonts w:ascii="Times New Roman" w:eastAsia="Times New Roman" w:hAnsi="Times New Roman" w:cs="Times New Roman"/>
                <w:sz w:val="16"/>
                <w:szCs w:val="16"/>
                <w:lang w:eastAsia="en-GB"/>
              </w:rPr>
              <w:br/>
              <w:t>HIV rapid test &amp; counselling: $11</w:t>
            </w:r>
            <w:r w:rsidRPr="00FA697F">
              <w:rPr>
                <w:rFonts w:ascii="Times New Roman" w:eastAsia="Times New Roman" w:hAnsi="Times New Roman" w:cs="Times New Roman"/>
                <w:sz w:val="16"/>
                <w:szCs w:val="16"/>
                <w:lang w:eastAsia="en-GB"/>
              </w:rPr>
              <w:br/>
              <w:t>HIV testing &amp; NCD screening + counselling: $15</w:t>
            </w:r>
          </w:p>
          <w:p w14:paraId="0CA3B5E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 screened</w:t>
            </w:r>
          </w:p>
        </w:tc>
        <w:tc>
          <w:tcPr>
            <w:tcW w:w="1051" w:type="dxa"/>
            <w:shd w:val="clear" w:color="auto" w:fill="auto"/>
            <w:tcMar>
              <w:left w:w="57" w:type="dxa"/>
              <w:right w:w="57" w:type="dxa"/>
            </w:tcMar>
            <w:hideMark/>
          </w:tcPr>
          <w:p w14:paraId="7F86D92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7346874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3BFEF2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547897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4712DF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4FC2143"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794CF5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2E3522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5D3DE0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BF9013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AB16D6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3C000D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27EDC0FB"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Start-up, recurring meetings, and mobile phone data usage</w:t>
            </w:r>
          </w:p>
        </w:tc>
      </w:tr>
      <w:tr w:rsidR="003C76E8" w:rsidRPr="00FA697F" w14:paraId="7F9D3FCE" w14:textId="77777777" w:rsidTr="00443E91">
        <w:trPr>
          <w:trHeight w:val="3979"/>
        </w:trPr>
        <w:tc>
          <w:tcPr>
            <w:tcW w:w="431" w:type="dxa"/>
            <w:shd w:val="clear" w:color="auto" w:fill="auto"/>
            <w:tcMar>
              <w:left w:w="57" w:type="dxa"/>
              <w:right w:w="57" w:type="dxa"/>
            </w:tcMar>
            <w:hideMark/>
          </w:tcPr>
          <w:p w14:paraId="154E6E5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19</w:t>
            </w:r>
          </w:p>
        </w:tc>
        <w:tc>
          <w:tcPr>
            <w:tcW w:w="982" w:type="dxa"/>
            <w:shd w:val="clear" w:color="auto" w:fill="auto"/>
            <w:tcMar>
              <w:left w:w="57" w:type="dxa"/>
              <w:right w:w="57" w:type="dxa"/>
            </w:tcMar>
            <w:hideMark/>
          </w:tcPr>
          <w:p w14:paraId="7CEBE8E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Laas</w:t>
            </w:r>
            <w:r w:rsidR="00C232B6" w:rsidRPr="00FA697F">
              <w:rPr>
                <w:rFonts w:ascii="Times New Roman" w:eastAsia="Times New Roman" w:hAnsi="Times New Roman" w:cs="Times New Roman"/>
                <w:sz w:val="16"/>
                <w:szCs w:val="16"/>
                <w:lang w:eastAsia="en-GB"/>
              </w:rPr>
              <w:fldChar w:fldCharType="begin" w:fldLock="1"/>
            </w:r>
            <w:r w:rsidR="00556188" w:rsidRPr="00FA697F">
              <w:rPr>
                <w:rFonts w:ascii="Times New Roman" w:eastAsia="Times New Roman" w:hAnsi="Times New Roman" w:cs="Times New Roman"/>
                <w:sz w:val="16"/>
                <w:szCs w:val="16"/>
                <w:lang w:eastAsia="en-GB"/>
              </w:rPr>
              <w:instrText>ADDIN CSL_CITATION {"citationItems":[{"id":"ITEM-1","itemData":{"DOI":"10.7196/SAMJ.2018.v108i12.13256","author":[{"dropping-particle":"","family":"Laäs","given":"D J","non-dropping-particle":"","parse-names":false,"suffix":""},{"dropping-particle":"","family":"Naidoo","given":"M","non-dropping-particle":"","parse-names":false,"suffix":""}],"container-title":"South African Medical Journal","id":"ITEM-1","issue":"12","issued":{"date-parts":[["2018"]]},"note":"Cited By :4\n\nExport Date: 11 August 2021","page":"1046-1050","title":"An evaluation of warfarin use at an urban district-level hospital in Kwazulu-natal Province, South Africa","type":"article-journal","volume":"108"},"uris":["http://www.mendeley.com/documents/?uuid=e6cf25dd-8477-4c35-bcb8-5cddd68b8863"]}],"mendeley":{"formattedCitation":"&lt;sup&gt;19&lt;/sup&gt;","plainTextFormattedCitation":"19","previouslyFormattedCitation":"&lt;sup&gt;19&lt;/sup&gt;"},"properties":{"noteIndex":0},"schema":"https://github.com/citation-style-language/schema/raw/master/csl-citation.json"}</w:instrText>
            </w:r>
            <w:r w:rsidR="00C232B6" w:rsidRPr="00FA697F">
              <w:rPr>
                <w:rFonts w:ascii="Times New Roman" w:eastAsia="Times New Roman" w:hAnsi="Times New Roman" w:cs="Times New Roman"/>
                <w:sz w:val="16"/>
                <w:szCs w:val="16"/>
                <w:lang w:eastAsia="en-GB"/>
              </w:rPr>
              <w:fldChar w:fldCharType="separate"/>
            </w:r>
            <w:r w:rsidR="00556188" w:rsidRPr="00FA697F">
              <w:rPr>
                <w:rFonts w:ascii="Times New Roman" w:eastAsia="Times New Roman" w:hAnsi="Times New Roman" w:cs="Times New Roman"/>
                <w:noProof/>
                <w:sz w:val="16"/>
                <w:szCs w:val="16"/>
                <w:vertAlign w:val="superscript"/>
                <w:lang w:eastAsia="en-GB"/>
              </w:rPr>
              <w:t>19</w:t>
            </w:r>
            <w:r w:rsidR="00C232B6"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(2018)</w:t>
            </w:r>
          </w:p>
        </w:tc>
        <w:tc>
          <w:tcPr>
            <w:tcW w:w="1843" w:type="dxa"/>
            <w:shd w:val="clear" w:color="auto" w:fill="auto"/>
            <w:tcMar>
              <w:left w:w="57" w:type="dxa"/>
              <w:right w:w="57" w:type="dxa"/>
            </w:tcMar>
            <w:hideMark/>
          </w:tcPr>
          <w:p w14:paraId="0151E173" w14:textId="399B28B0"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Evaluate the cost</w:t>
            </w:r>
            <w:r w:rsidR="00DA0AFD" w:rsidRPr="00FA697F">
              <w:rPr>
                <w:rFonts w:ascii="Times New Roman" w:eastAsia="Times New Roman" w:hAnsi="Times New Roman" w:cs="Times New Roman"/>
                <w:sz w:val="16"/>
                <w:szCs w:val="16"/>
                <w:lang w:eastAsia="en-GB"/>
              </w:rPr>
              <w:t>-</w:t>
            </w:r>
            <w:r w:rsidR="000F5A32" w:rsidRPr="00FA697F">
              <w:rPr>
                <w:rFonts w:ascii="Times New Roman" w:eastAsia="Times New Roman" w:hAnsi="Times New Roman" w:cs="Times New Roman"/>
                <w:sz w:val="16"/>
                <w:szCs w:val="16"/>
                <w:lang w:eastAsia="en-GB"/>
              </w:rPr>
              <w:t>effectiveness and</w:t>
            </w:r>
            <w:r w:rsidRPr="00FA697F">
              <w:rPr>
                <w:rFonts w:ascii="Times New Roman" w:eastAsia="Times New Roman" w:hAnsi="Times New Roman" w:cs="Times New Roman"/>
                <w:sz w:val="16"/>
                <w:szCs w:val="16"/>
                <w:lang w:eastAsia="en-GB"/>
              </w:rPr>
              <w:t xml:space="preserve"> patients’ quality of care of warfarin therapy </w:t>
            </w:r>
            <w:r w:rsidRPr="00FA697F">
              <w:rPr>
                <w:rFonts w:ascii="Times New Roman" w:eastAsia="Times New Roman" w:hAnsi="Times New Roman" w:cs="Times New Roman"/>
                <w:sz w:val="16"/>
                <w:szCs w:val="16"/>
                <w:lang w:eastAsia="en-GB"/>
              </w:rPr>
              <w:br/>
              <w:t xml:space="preserve"> </w:t>
            </w:r>
          </w:p>
        </w:tc>
        <w:tc>
          <w:tcPr>
            <w:tcW w:w="1299" w:type="dxa"/>
            <w:shd w:val="clear" w:color="auto" w:fill="auto"/>
            <w:tcMar>
              <w:left w:w="57" w:type="dxa"/>
              <w:right w:w="57" w:type="dxa"/>
            </w:tcMar>
            <w:hideMark/>
          </w:tcPr>
          <w:p w14:paraId="3D42A6D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Patients on </w:t>
            </w:r>
            <w:r w:rsidR="000F5A32" w:rsidRPr="00FA697F">
              <w:rPr>
                <w:rFonts w:ascii="Times New Roman" w:eastAsia="Times New Roman" w:hAnsi="Times New Roman" w:cs="Times New Roman"/>
                <w:sz w:val="16"/>
                <w:szCs w:val="16"/>
                <w:lang w:eastAsia="en-GB"/>
              </w:rPr>
              <w:t>warfarin; hospital</w:t>
            </w:r>
          </w:p>
        </w:tc>
        <w:tc>
          <w:tcPr>
            <w:tcW w:w="1017" w:type="dxa"/>
            <w:shd w:val="clear" w:color="auto" w:fill="auto"/>
            <w:tcMar>
              <w:left w:w="57" w:type="dxa"/>
              <w:right w:w="57" w:type="dxa"/>
            </w:tcMar>
            <w:hideMark/>
          </w:tcPr>
          <w:p w14:paraId="4108149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6E0B0C3E"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approaches</w:t>
            </w:r>
          </w:p>
        </w:tc>
        <w:tc>
          <w:tcPr>
            <w:tcW w:w="1011" w:type="dxa"/>
            <w:shd w:val="clear" w:color="auto" w:fill="auto"/>
            <w:tcMar>
              <w:left w:w="57" w:type="dxa"/>
              <w:right w:w="57" w:type="dxa"/>
            </w:tcMar>
            <w:hideMark/>
          </w:tcPr>
          <w:p w14:paraId="38E19E7C"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2017</w:t>
            </w:r>
          </w:p>
        </w:tc>
        <w:tc>
          <w:tcPr>
            <w:tcW w:w="2146" w:type="dxa"/>
            <w:shd w:val="clear" w:color="auto" w:fill="auto"/>
            <w:tcMar>
              <w:left w:w="57" w:type="dxa"/>
              <w:right w:w="57" w:type="dxa"/>
            </w:tcMar>
            <w:hideMark/>
          </w:tcPr>
          <w:p w14:paraId="4289CD8B" w14:textId="77777777" w:rsidR="00A12EB6"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Indication for warfarin - all</w:t>
            </w:r>
            <w:r w:rsidRPr="00FA697F">
              <w:rPr>
                <w:rFonts w:ascii="Times New Roman" w:eastAsia="Times New Roman" w:hAnsi="Times New Roman" w:cs="Times New Roman"/>
                <w:sz w:val="16"/>
                <w:szCs w:val="16"/>
                <w:lang w:eastAsia="en-GB"/>
              </w:rPr>
              <w:br/>
              <w:t>Median: $24</w:t>
            </w:r>
          </w:p>
          <w:p w14:paraId="3B9F26D0" w14:textId="77777777" w:rsidR="00A12EB6"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br/>
              <w:t>Mean: $32</w:t>
            </w:r>
            <w:r w:rsidRPr="00FA697F">
              <w:rPr>
                <w:rFonts w:ascii="Times New Roman" w:eastAsia="Times New Roman" w:hAnsi="Times New Roman" w:cs="Times New Roman"/>
                <w:sz w:val="16"/>
                <w:szCs w:val="16"/>
                <w:lang w:eastAsia="en-GB"/>
              </w:rPr>
              <w:br/>
            </w:r>
            <w:r w:rsidRPr="00FA697F">
              <w:rPr>
                <w:rFonts w:ascii="Times New Roman" w:eastAsia="Times New Roman" w:hAnsi="Times New Roman" w:cs="Times New Roman"/>
                <w:sz w:val="16"/>
                <w:szCs w:val="16"/>
                <w:lang w:eastAsia="en-GB"/>
              </w:rPr>
              <w:br/>
              <w:t>Indication for warfarin - non-valvular atrial fibrillation</w:t>
            </w:r>
            <w:r w:rsidRPr="00FA697F">
              <w:rPr>
                <w:rFonts w:ascii="Times New Roman" w:eastAsia="Times New Roman" w:hAnsi="Times New Roman" w:cs="Times New Roman"/>
                <w:sz w:val="16"/>
                <w:szCs w:val="16"/>
                <w:lang w:eastAsia="en-GB"/>
              </w:rPr>
              <w:br/>
              <w:t>Median: $24</w:t>
            </w:r>
            <w:r w:rsidRPr="00FA697F">
              <w:rPr>
                <w:rFonts w:ascii="Times New Roman" w:eastAsia="Times New Roman" w:hAnsi="Times New Roman" w:cs="Times New Roman"/>
                <w:sz w:val="16"/>
                <w:szCs w:val="16"/>
                <w:lang w:eastAsia="en-GB"/>
              </w:rPr>
              <w:br/>
            </w:r>
          </w:p>
          <w:p w14:paraId="63A0C0D1" w14:textId="77777777" w:rsidR="00A12EB6"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Mean: $35</w:t>
            </w:r>
            <w:r w:rsidRPr="00FA697F">
              <w:rPr>
                <w:rFonts w:ascii="Times New Roman" w:eastAsia="Times New Roman" w:hAnsi="Times New Roman" w:cs="Times New Roman"/>
                <w:sz w:val="16"/>
                <w:szCs w:val="16"/>
                <w:lang w:eastAsia="en-GB"/>
              </w:rPr>
              <w:br/>
            </w:r>
            <w:r w:rsidRPr="00FA697F">
              <w:rPr>
                <w:rFonts w:ascii="Times New Roman" w:eastAsia="Times New Roman" w:hAnsi="Times New Roman" w:cs="Times New Roman"/>
                <w:sz w:val="16"/>
                <w:szCs w:val="16"/>
                <w:lang w:eastAsia="en-GB"/>
              </w:rPr>
              <w:br/>
              <w:t>Indication for warfarin - other</w:t>
            </w:r>
            <w:r w:rsidRPr="00FA697F">
              <w:rPr>
                <w:rFonts w:ascii="Times New Roman" w:eastAsia="Times New Roman" w:hAnsi="Times New Roman" w:cs="Times New Roman"/>
                <w:sz w:val="16"/>
                <w:szCs w:val="16"/>
                <w:lang w:eastAsia="en-GB"/>
              </w:rPr>
              <w:br/>
              <w:t>Median: $24</w:t>
            </w:r>
          </w:p>
          <w:p w14:paraId="2912082A" w14:textId="77777777" w:rsidR="00A12EB6"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br/>
              <w:t>Mean: $30</w:t>
            </w:r>
          </w:p>
          <w:p w14:paraId="33CFFED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br/>
              <w:t>per person month</w:t>
            </w:r>
          </w:p>
        </w:tc>
        <w:tc>
          <w:tcPr>
            <w:tcW w:w="1051" w:type="dxa"/>
            <w:shd w:val="clear" w:color="auto" w:fill="auto"/>
            <w:tcMar>
              <w:left w:w="57" w:type="dxa"/>
              <w:right w:w="57" w:type="dxa"/>
            </w:tcMar>
            <w:hideMark/>
          </w:tcPr>
          <w:p w14:paraId="4D712253" w14:textId="77777777" w:rsidR="00C078FC" w:rsidRPr="00FA697F" w:rsidRDefault="00C078FC" w:rsidP="00112353">
            <w:pPr>
              <w:spacing w:after="0" w:line="240" w:lineRule="auto"/>
              <w:rPr>
                <w:rFonts w:ascii="Times New Roman" w:eastAsia="Times New Roman" w:hAnsi="Times New Roman" w:cs="Times New Roman"/>
                <w:sz w:val="16"/>
                <w:szCs w:val="16"/>
                <w:lang w:eastAsia="en-GB"/>
              </w:rPr>
            </w:pPr>
          </w:p>
          <w:p w14:paraId="083EB348" w14:textId="056A8CC3" w:rsidR="00A12EB6"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IQR: $23</w:t>
            </w:r>
            <w:r w:rsidR="00443E91"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27</w:t>
            </w:r>
            <w:r w:rsidRPr="00FA697F">
              <w:rPr>
                <w:rFonts w:ascii="Times New Roman" w:eastAsia="Times New Roman" w:hAnsi="Times New Roman" w:cs="Times New Roman"/>
                <w:sz w:val="16"/>
                <w:szCs w:val="16"/>
                <w:lang w:eastAsia="en-GB"/>
              </w:rPr>
              <w:br/>
            </w:r>
            <w:proofErr w:type="gramStart"/>
            <w:r w:rsidRPr="00FA697F">
              <w:rPr>
                <w:rFonts w:ascii="Times New Roman" w:eastAsia="Times New Roman" w:hAnsi="Times New Roman" w:cs="Times New Roman"/>
                <w:sz w:val="16"/>
                <w:szCs w:val="16"/>
                <w:lang w:eastAsia="en-GB"/>
              </w:rPr>
              <w:t>SEM:$</w:t>
            </w:r>
            <w:proofErr w:type="gramEnd"/>
            <w:r w:rsidR="00BF6EDC"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2836</w:t>
            </w:r>
            <w:r w:rsidRPr="00FA697F">
              <w:rPr>
                <w:rFonts w:ascii="Times New Roman" w:eastAsia="Times New Roman" w:hAnsi="Times New Roman" w:cs="Times New Roman"/>
                <w:sz w:val="16"/>
                <w:szCs w:val="16"/>
                <w:lang w:eastAsia="en-GB"/>
              </w:rPr>
              <w:br/>
            </w:r>
            <w:r w:rsidRPr="00FA697F">
              <w:rPr>
                <w:rFonts w:ascii="Times New Roman" w:eastAsia="Times New Roman" w:hAnsi="Times New Roman" w:cs="Times New Roman"/>
                <w:sz w:val="16"/>
                <w:szCs w:val="16"/>
                <w:lang w:eastAsia="en-GB"/>
              </w:rPr>
              <w:br/>
            </w:r>
          </w:p>
          <w:p w14:paraId="68707E90" w14:textId="77777777" w:rsidR="00C078FC" w:rsidRPr="00FA697F" w:rsidRDefault="00C078FC" w:rsidP="00112353">
            <w:pPr>
              <w:spacing w:after="0" w:line="240" w:lineRule="auto"/>
              <w:rPr>
                <w:rFonts w:ascii="Times New Roman" w:eastAsia="Times New Roman" w:hAnsi="Times New Roman" w:cs="Times New Roman"/>
                <w:sz w:val="16"/>
                <w:szCs w:val="16"/>
                <w:lang w:eastAsia="en-GB"/>
              </w:rPr>
            </w:pPr>
          </w:p>
          <w:p w14:paraId="3EB43700" w14:textId="1D3F98F4"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IQR: $2</w:t>
            </w:r>
            <w:r w:rsidR="00BF6EDC"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328</w:t>
            </w:r>
            <w:r w:rsidRPr="00FA697F">
              <w:rPr>
                <w:rFonts w:ascii="Times New Roman" w:eastAsia="Times New Roman" w:hAnsi="Times New Roman" w:cs="Times New Roman"/>
                <w:sz w:val="16"/>
                <w:szCs w:val="16"/>
                <w:lang w:eastAsia="en-GB"/>
              </w:rPr>
              <w:br/>
            </w:r>
            <w:proofErr w:type="gramStart"/>
            <w:r w:rsidRPr="00FA697F">
              <w:rPr>
                <w:rFonts w:ascii="Times New Roman" w:eastAsia="Times New Roman" w:hAnsi="Times New Roman" w:cs="Times New Roman"/>
                <w:sz w:val="16"/>
                <w:szCs w:val="16"/>
                <w:lang w:eastAsia="en-GB"/>
              </w:rPr>
              <w:t>SEM:$</w:t>
            </w:r>
            <w:proofErr w:type="gramEnd"/>
            <w:r w:rsidRPr="00FA697F">
              <w:rPr>
                <w:rFonts w:ascii="Times New Roman" w:eastAsia="Times New Roman" w:hAnsi="Times New Roman" w:cs="Times New Roman"/>
                <w:sz w:val="16"/>
                <w:szCs w:val="16"/>
                <w:lang w:eastAsia="en-GB"/>
              </w:rPr>
              <w:t>2</w:t>
            </w:r>
            <w:r w:rsidR="00BF6EDC"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544</w:t>
            </w:r>
            <w:r w:rsidRPr="00FA697F">
              <w:rPr>
                <w:rFonts w:ascii="Times New Roman" w:eastAsia="Times New Roman" w:hAnsi="Times New Roman" w:cs="Times New Roman"/>
                <w:sz w:val="16"/>
                <w:szCs w:val="16"/>
                <w:lang w:eastAsia="en-GB"/>
              </w:rPr>
              <w:br/>
            </w:r>
            <w:r w:rsidRPr="00FA697F">
              <w:rPr>
                <w:rFonts w:ascii="Times New Roman" w:eastAsia="Times New Roman" w:hAnsi="Times New Roman" w:cs="Times New Roman"/>
                <w:sz w:val="16"/>
                <w:szCs w:val="16"/>
                <w:lang w:eastAsia="en-GB"/>
              </w:rPr>
              <w:br/>
            </w:r>
            <w:r w:rsidRPr="00FA697F">
              <w:rPr>
                <w:rFonts w:ascii="Times New Roman" w:eastAsia="Times New Roman" w:hAnsi="Times New Roman" w:cs="Times New Roman"/>
                <w:sz w:val="16"/>
                <w:szCs w:val="16"/>
                <w:lang w:eastAsia="en-GB"/>
              </w:rPr>
              <w:br/>
              <w:t>IQR: $2</w:t>
            </w:r>
            <w:r w:rsidR="00BF6EDC"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327</w:t>
            </w:r>
            <w:r w:rsidRPr="00FA697F">
              <w:rPr>
                <w:rFonts w:ascii="Times New Roman" w:eastAsia="Times New Roman" w:hAnsi="Times New Roman" w:cs="Times New Roman"/>
                <w:sz w:val="16"/>
                <w:szCs w:val="16"/>
                <w:lang w:eastAsia="en-GB"/>
              </w:rPr>
              <w:br/>
              <w:t>SEM:$2</w:t>
            </w:r>
            <w:r w:rsidR="00BF6EDC"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634</w:t>
            </w:r>
          </w:p>
        </w:tc>
        <w:tc>
          <w:tcPr>
            <w:tcW w:w="260" w:type="dxa"/>
            <w:shd w:val="clear" w:color="auto" w:fill="auto"/>
            <w:tcMar>
              <w:left w:w="57" w:type="dxa"/>
              <w:right w:w="57" w:type="dxa"/>
            </w:tcMar>
            <w:hideMark/>
          </w:tcPr>
          <w:p w14:paraId="22AEC8E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65F025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5E9A012"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EAE8B9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92CCF8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72355E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A428B0"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1B9954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7A04DC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BD4EA11"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224640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091ED9FC"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6271B321" w14:textId="77777777" w:rsidTr="00DA0AFD">
        <w:trPr>
          <w:trHeight w:val="1711"/>
        </w:trPr>
        <w:tc>
          <w:tcPr>
            <w:tcW w:w="431" w:type="dxa"/>
            <w:shd w:val="clear" w:color="auto" w:fill="auto"/>
            <w:tcMar>
              <w:left w:w="57" w:type="dxa"/>
              <w:right w:w="57" w:type="dxa"/>
            </w:tcMar>
            <w:hideMark/>
          </w:tcPr>
          <w:p w14:paraId="4EA5C8EE"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20</w:t>
            </w:r>
          </w:p>
        </w:tc>
        <w:tc>
          <w:tcPr>
            <w:tcW w:w="982" w:type="dxa"/>
            <w:shd w:val="clear" w:color="auto" w:fill="auto"/>
            <w:tcMar>
              <w:left w:w="57" w:type="dxa"/>
              <w:right w:w="57" w:type="dxa"/>
            </w:tcMar>
            <w:hideMark/>
          </w:tcPr>
          <w:p w14:paraId="491A3F7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Lin</w:t>
            </w:r>
            <w:r w:rsidR="00C232B6" w:rsidRPr="00FA697F">
              <w:rPr>
                <w:rFonts w:ascii="Times New Roman" w:eastAsia="Times New Roman" w:hAnsi="Times New Roman" w:cs="Times New Roman"/>
                <w:sz w:val="16"/>
                <w:szCs w:val="16"/>
                <w:lang w:eastAsia="en-GB"/>
              </w:rPr>
              <w:fldChar w:fldCharType="begin" w:fldLock="1"/>
            </w:r>
            <w:r w:rsidR="004C0EFF" w:rsidRPr="00FA697F">
              <w:rPr>
                <w:rFonts w:ascii="Times New Roman" w:eastAsia="Times New Roman" w:hAnsi="Times New Roman" w:cs="Times New Roman"/>
                <w:sz w:val="16"/>
                <w:szCs w:val="16"/>
                <w:lang w:eastAsia="en-GB"/>
              </w:rPr>
              <w:instrText>ADDIN CSL_CITATION {"citationItems":[{"id":"ITEM-1","itemData":{"DOI":"10.1016/S2214-109X(19)30339-0","ISSN":"2214109X","PMID":"31477544","abstract":"Background: Fewer than 25% of patients with atherosclerotic cardiovascular disease in countries of low and middle income (LMICs) use guideline-directed drugs for secondary prevention. A fixed-dose combination polypill might improve cardiovascular outcomes by increasing prescription rates and adherence, but the cost-effectiveness of this approach is uncertain. Methods: We developed microsimulation models to assess the cost-effectiveness of a polypill containing aspirin, lisinopril, atenolol, and simvastatin for secondary prevention of atherosclerotic cardiovascular disease compared with current care in China, India, Mexico, Nigeria, and South Africa. We modelled baseline use of secondary prevention drugs on the Prospective Urban Rural Epidemiological study. In the intervention arm, we assumed that patients currently prescribed any prevention drug for atherosclerotic cardiovascular disease would receive the polypill instead, which would improve adherence by 32% (from a meta-analysis of two randomised trials in LMICs). We assessed the cost-effectiveness of the polypill at prices in the public sector and on the retail market. Key outcomes were major adverse cardiovascular events (cardiovascular death, non-fatal myocardial infarction, or non-fatal stroke) over a 5-year period and the incremental cost-effectiveness ratio (ICER) from the perspective of the health-care sector and a lifetime analytical horizon. We assumed a cost-effectiveness threshold equal to each country's per capita gross domestic product (GDP) per disability-adjusted life-year (DALY) averted. In sensitivity analyses, we examined the population health effect achievable by increasing the uptake of the polypill in the eligible population. Findings: Among adults aged 30–84 years with established atherosclerotic cardiovascular disease, adoption of the polypill for secondary prevention compared with current care was projected to avert 40–54 major adverse cardiovascular events for every 1000 patients treated for 5 years and produce between three and ten additional serious adverse events. Assuming public-sector pharmaceutical prices, the ICER of the polypill compared with current care over a lifetime analytical horizon was Int$168 (95% UI 55 to 337) per DALY averted in China, $154 (57 to 289) in India, $88 (15 to 193) in Mexico, $364 (147 to 692) in Nigeria, and $64 (cost-saving to 203) in South Africa, amounting to 0·4–6·2% of the per capita GDP in these countries. The ICER of the polypill compare…","author":[{"dropping-particle":"","family":"Lin","given":"John K.","non-dropping-particle":"","parse-names":false,"suffix":""},{"dropping-particle":"","family":"Moran","given":"Andrew E.","non-dropping-particle":"","parse-names":false,"suffix":""},{"dropping-particle":"","family":"Bibbins-Domingo","given":"Kirsten","non-dropping-particle":"","parse-names":false,"suffix":""},{"dropping-particle":"","family":"Falase","given":"Bode","non-dropping-particle":"","parse-names":false,"suffix":""},{"dropping-particle":"","family":"Pedroza Tobias","given":"Andrea","non-dropping-particle":"","parse-names":false,"suffix":""},{"dropping-particle":"","family":"Mandke","given":"Charuta N.","non-dropping-particle":"","parse-names":false,"suffix":""},{"dropping-particle":"","family":"Kazi","given":"Dhruv S.","non-dropping-particle":"","parse-names":false,"suffix":""}],"container-title":"The Lancet Global Health","id":"ITEM-1","issue":"10","issued":{"date-parts":[["2019"]]},"page":"e1346-e1358","publisher":"The Author(s). Published by Elsevier Ltd. This is an Open Access article under the CC BY 4.0 license","title":"Cost-effectiveness of a fixed-dose combination pill for secondary prevention of cardiovascular disease in China, India, Mexico, Nigeria, and South Africa: a modelling study","type":"article-journal","volume":"7"},"uris":["http://www.mendeley.com/documents/?uuid=584247ec-47f8-4f79-8dff-341667f00853"]}],"mendeley":{"formattedCitation":"&lt;sup&gt;20&lt;/sup&gt;","plainTextFormattedCitation":"20","previouslyFormattedCitation":"&lt;sup&gt;20&lt;/sup&gt;"},"properties":{"noteIndex":0},"schema":"https://github.com/citation-style-language/schema/raw/master/csl-citation.json"}</w:instrText>
            </w:r>
            <w:r w:rsidR="00C232B6" w:rsidRPr="00FA697F">
              <w:rPr>
                <w:rFonts w:ascii="Times New Roman" w:eastAsia="Times New Roman" w:hAnsi="Times New Roman" w:cs="Times New Roman"/>
                <w:sz w:val="16"/>
                <w:szCs w:val="16"/>
                <w:lang w:eastAsia="en-GB"/>
              </w:rPr>
              <w:fldChar w:fldCharType="separate"/>
            </w:r>
            <w:r w:rsidR="00556188" w:rsidRPr="00FA697F">
              <w:rPr>
                <w:rFonts w:ascii="Times New Roman" w:eastAsia="Times New Roman" w:hAnsi="Times New Roman" w:cs="Times New Roman"/>
                <w:noProof/>
                <w:sz w:val="16"/>
                <w:szCs w:val="16"/>
                <w:vertAlign w:val="superscript"/>
                <w:lang w:eastAsia="en-GB"/>
              </w:rPr>
              <w:t>20</w:t>
            </w:r>
            <w:r w:rsidR="00C232B6"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0F02368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Examine the cost-effectiveness and health effect of a polypill compared with current care for secondary prevention of atherosclerotic CVD</w:t>
            </w:r>
          </w:p>
        </w:tc>
        <w:tc>
          <w:tcPr>
            <w:tcW w:w="1299" w:type="dxa"/>
            <w:shd w:val="clear" w:color="auto" w:fill="auto"/>
            <w:tcMar>
              <w:left w:w="57" w:type="dxa"/>
              <w:right w:w="57" w:type="dxa"/>
            </w:tcMar>
            <w:hideMark/>
          </w:tcPr>
          <w:p w14:paraId="62F31257" w14:textId="1074C48D"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(30–84</w:t>
            </w:r>
            <w:r w:rsidR="000F5A32" w:rsidRPr="00FA697F">
              <w:rPr>
                <w:rFonts w:ascii="Times New Roman" w:eastAsia="Times New Roman" w:hAnsi="Times New Roman" w:cs="Times New Roman"/>
                <w:sz w:val="16"/>
                <w:szCs w:val="16"/>
                <w:lang w:eastAsia="en-GB"/>
              </w:rPr>
              <w:t>) with</w:t>
            </w:r>
            <w:r w:rsidRPr="00FA697F">
              <w:rPr>
                <w:rFonts w:ascii="Times New Roman" w:eastAsia="Times New Roman" w:hAnsi="Times New Roman" w:cs="Times New Roman"/>
                <w:sz w:val="16"/>
                <w:szCs w:val="16"/>
                <w:lang w:eastAsia="en-GB"/>
              </w:rPr>
              <w:t xml:space="preserve"> established atherosclerotic </w:t>
            </w:r>
            <w:r w:rsidR="000F5A32" w:rsidRPr="00FA697F">
              <w:rPr>
                <w:rFonts w:ascii="Times New Roman" w:eastAsia="Times New Roman" w:hAnsi="Times New Roman" w:cs="Times New Roman"/>
                <w:sz w:val="16"/>
                <w:szCs w:val="16"/>
                <w:lang w:eastAsia="en-GB"/>
              </w:rPr>
              <w:t>CVD; PHC</w:t>
            </w:r>
          </w:p>
        </w:tc>
        <w:tc>
          <w:tcPr>
            <w:tcW w:w="1017" w:type="dxa"/>
            <w:shd w:val="clear" w:color="auto" w:fill="auto"/>
            <w:tcMar>
              <w:left w:w="57" w:type="dxa"/>
              <w:right w:w="57" w:type="dxa"/>
            </w:tcMar>
            <w:hideMark/>
          </w:tcPr>
          <w:p w14:paraId="22137504"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5F7CD306" w14:textId="77777777" w:rsidR="00112353" w:rsidRPr="00FA697F" w:rsidRDefault="000F5A32"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w:t>
            </w:r>
            <w:r w:rsidR="00112353" w:rsidRPr="00FA697F">
              <w:rPr>
                <w:rFonts w:ascii="Times New Roman" w:eastAsia="Times New Roman" w:hAnsi="Times New Roman" w:cs="Times New Roman"/>
                <w:sz w:val="16"/>
                <w:szCs w:val="16"/>
                <w:lang w:eastAsia="en-GB"/>
              </w:rPr>
              <w:t xml:space="preserve"> cost, ingredients approach</w:t>
            </w:r>
          </w:p>
        </w:tc>
        <w:tc>
          <w:tcPr>
            <w:tcW w:w="1011" w:type="dxa"/>
            <w:shd w:val="clear" w:color="auto" w:fill="auto"/>
            <w:tcMar>
              <w:left w:w="57" w:type="dxa"/>
              <w:right w:w="57" w:type="dxa"/>
            </w:tcMar>
            <w:hideMark/>
          </w:tcPr>
          <w:p w14:paraId="52B86C5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0821134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Secondary prevention of atherosclerotic CVD</w:t>
            </w:r>
            <w:r w:rsidRPr="00FA697F">
              <w:rPr>
                <w:rFonts w:ascii="Times New Roman" w:eastAsia="Times New Roman" w:hAnsi="Times New Roman" w:cs="Times New Roman"/>
                <w:sz w:val="16"/>
                <w:szCs w:val="16"/>
                <w:lang w:eastAsia="en-GB"/>
              </w:rPr>
              <w:br/>
              <w:t>Aspirin 75 mg: $49</w:t>
            </w:r>
            <w:r w:rsidRPr="00FA697F">
              <w:rPr>
                <w:rFonts w:ascii="Times New Roman" w:eastAsia="Times New Roman" w:hAnsi="Times New Roman" w:cs="Times New Roman"/>
                <w:sz w:val="16"/>
                <w:szCs w:val="16"/>
                <w:lang w:eastAsia="en-GB"/>
              </w:rPr>
              <w:br/>
              <w:t>Atenolol 50 mg: $32</w:t>
            </w:r>
            <w:r w:rsidRPr="00FA697F">
              <w:rPr>
                <w:rFonts w:ascii="Times New Roman" w:eastAsia="Times New Roman" w:hAnsi="Times New Roman" w:cs="Times New Roman"/>
                <w:sz w:val="16"/>
                <w:szCs w:val="16"/>
                <w:lang w:eastAsia="en-GB"/>
              </w:rPr>
              <w:br/>
              <w:t>Lisinopril 10 mg: $54</w:t>
            </w:r>
            <w:r w:rsidRPr="00FA697F">
              <w:rPr>
                <w:rFonts w:ascii="Times New Roman" w:eastAsia="Times New Roman" w:hAnsi="Times New Roman" w:cs="Times New Roman"/>
                <w:sz w:val="16"/>
                <w:szCs w:val="16"/>
                <w:lang w:eastAsia="en-GB"/>
              </w:rPr>
              <w:br/>
              <w:t>Simvastatin 40 mg: $28</w:t>
            </w:r>
            <w:r w:rsidRPr="00FA697F">
              <w:rPr>
                <w:rFonts w:ascii="Times New Roman" w:eastAsia="Times New Roman" w:hAnsi="Times New Roman" w:cs="Times New Roman"/>
                <w:sz w:val="16"/>
                <w:szCs w:val="16"/>
                <w:lang w:eastAsia="en-GB"/>
              </w:rPr>
              <w:br/>
              <w:t>Polypill: $161</w:t>
            </w:r>
            <w:r w:rsidRPr="00FA697F">
              <w:rPr>
                <w:rFonts w:ascii="Times New Roman" w:eastAsia="Times New Roman" w:hAnsi="Times New Roman" w:cs="Times New Roman"/>
                <w:sz w:val="16"/>
                <w:szCs w:val="16"/>
                <w:lang w:eastAsia="en-GB"/>
              </w:rPr>
              <w:br/>
              <w:t>per person month</w:t>
            </w:r>
          </w:p>
        </w:tc>
        <w:tc>
          <w:tcPr>
            <w:tcW w:w="1051" w:type="dxa"/>
            <w:shd w:val="clear" w:color="auto" w:fill="auto"/>
            <w:tcMar>
              <w:left w:w="57" w:type="dxa"/>
              <w:right w:w="57" w:type="dxa"/>
            </w:tcMar>
            <w:hideMark/>
          </w:tcPr>
          <w:p w14:paraId="77EE7F0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138C6519"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C0F280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C806EDD"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629DC9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F00718F"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F11599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7A692C8"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C59BA7A"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953C086"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D0DA53B"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F888605" w14:textId="77777777" w:rsidR="00112353" w:rsidRPr="00FA697F" w:rsidRDefault="00112353" w:rsidP="00112353">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338A79DC" w14:textId="77777777" w:rsidR="00112353" w:rsidRPr="00FA697F" w:rsidRDefault="00112353" w:rsidP="00B66223">
            <w:pPr>
              <w:spacing w:after="0" w:line="240" w:lineRule="auto"/>
              <w:jc w:val="center"/>
              <w:rPr>
                <w:rFonts w:ascii="Times New Roman" w:eastAsia="Times New Roman" w:hAnsi="Times New Roman" w:cs="Times New Roman"/>
                <w:sz w:val="16"/>
                <w:szCs w:val="16"/>
                <w:lang w:eastAsia="en-GB"/>
              </w:rPr>
            </w:pPr>
          </w:p>
        </w:tc>
      </w:tr>
      <w:tr w:rsidR="003C76E8" w:rsidRPr="00FA697F" w14:paraId="5F5433A0" w14:textId="77777777" w:rsidTr="00DA0AFD">
        <w:trPr>
          <w:trHeight w:val="312"/>
        </w:trPr>
        <w:tc>
          <w:tcPr>
            <w:tcW w:w="14967" w:type="dxa"/>
            <w:gridSpan w:val="21"/>
            <w:shd w:val="clear" w:color="auto" w:fill="auto"/>
            <w:tcMar>
              <w:left w:w="57" w:type="dxa"/>
              <w:right w:w="57" w:type="dxa"/>
            </w:tcMar>
            <w:hideMark/>
          </w:tcPr>
          <w:p w14:paraId="3EF1DA65" w14:textId="77777777" w:rsidR="00112353" w:rsidRPr="00FA697F" w:rsidRDefault="00112353" w:rsidP="00A12EB6">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CVD treatment (stroke/transient ischaemic attack)</w:t>
            </w:r>
          </w:p>
        </w:tc>
      </w:tr>
      <w:tr w:rsidR="00406B90" w:rsidRPr="00FA697F" w14:paraId="28C903AC" w14:textId="77777777" w:rsidTr="00DA0AFD">
        <w:trPr>
          <w:trHeight w:val="1440"/>
        </w:trPr>
        <w:tc>
          <w:tcPr>
            <w:tcW w:w="431" w:type="dxa"/>
            <w:shd w:val="clear" w:color="auto" w:fill="auto"/>
            <w:tcMar>
              <w:left w:w="57" w:type="dxa"/>
              <w:right w:w="57" w:type="dxa"/>
            </w:tcMar>
          </w:tcPr>
          <w:p w14:paraId="3C4D604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12</w:t>
            </w:r>
          </w:p>
        </w:tc>
        <w:tc>
          <w:tcPr>
            <w:tcW w:w="982" w:type="dxa"/>
            <w:shd w:val="clear" w:color="auto" w:fill="auto"/>
            <w:tcMar>
              <w:left w:w="57" w:type="dxa"/>
              <w:right w:w="57" w:type="dxa"/>
            </w:tcMar>
          </w:tcPr>
          <w:p w14:paraId="7F739E3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Ncube-Zulu</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{"citationItems":[{"id":"ITEM-1","itemData":{"DOI":"10.1007/s13410-013-0173-8","ISSN":"19983832","abstract":"The study compared the costs and length of hospitalization between patients with diabetes and patients without diabetes for a cross-section of patients (N = 407) discharged with cerebrovascular diseases, ophthalmic conditions, cardiovascular diseases, renal conditions, neurological diseases, and peripheral vascular diseases. A cross-sectional retrospective audit of medical records of all patients discharged from a Tertiary Hospital in Johannesburg with those conditions in December 2009 was conducted. Patients were grouped by ICD-10 codes from the hospital’s database. Medical records were analyzed to determine, the diabetes status of the patients, laboratory tests conducted, medical procedures performed, drugs prescribed, and frequency of hospitalization during the 2009 admission period. Average total hospitalization costs per patient were significantly higher for the patients with diabetes cohorts; R27,216 ± R19,476 compared to R18,185 ± R16,726 for the patients without diabetes, (P &lt; 0.00001). The average length of stay for patients with diabetes was longer, 13.04 ± 9.29 days vs. 8.86 ± 8.33 days (P &lt; 0.00001) than for patients without diabetes. Average admission rate per patient per year in 2009 was higher in the patients with diabetes; 1.8 ± 0.8 times vs. 1.5 ± 0.6 times than in patients without diabetes, (P &lt; 0.00004). Results should be used to advocate for improved diabetes prevention awareness, improved patient understanding of the reasons for strict diabetes control measures, and keen attendance in out-patient clinics to avoid unnecessary hospitalization costs.","author":[{"dropping-particle":"","family":"Ncube-Zulu","given":"Tryphine","non-dropping-particle":"","parse-names":false,"suffix":""},{"dropping-particle":"","family":"Danckwerts","given":"Michael P.","non-dropping-particle":"","parse-names":false,"suffix":""}],"container-title":"International Journal of Diabetes in Developing Countries","id":"ITEM-1","issue":"3","issued":{"date-parts":[["2014"]]},"page":"156-162","title":"Comparative hospitalization cost and length of stay between patients with and without diabetes in a large tertiary hospital in Johannesburg, South Africa","type":"article-journal","volume":"34"},"uris":["http://www.mendeley.com/documents/?uuid=0e1d91a5-0d33-4ee3-b0aa-1f75c4071e52"]}],"mendeley":{"formattedCitation":"&lt;sup&gt;12&lt;/sup&gt;","plainTextFormattedCitation":"12","previouslyFormattedCitation":"&lt;sup&gt;12&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12</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(2014)</w:t>
            </w:r>
          </w:p>
        </w:tc>
        <w:tc>
          <w:tcPr>
            <w:tcW w:w="1843" w:type="dxa"/>
            <w:shd w:val="clear" w:color="auto" w:fill="auto"/>
            <w:tcMar>
              <w:left w:w="57" w:type="dxa"/>
              <w:right w:w="57" w:type="dxa"/>
            </w:tcMar>
          </w:tcPr>
          <w:p w14:paraId="1189B20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Describe the difference in length and cost of hospitalisation between diabetic and non-diabetic patients with cerebrovascular, ophthalmic, cardiovascular, renal, neurological and peripheral vascular diseases</w:t>
            </w:r>
          </w:p>
        </w:tc>
        <w:tc>
          <w:tcPr>
            <w:tcW w:w="1299" w:type="dxa"/>
            <w:shd w:val="clear" w:color="auto" w:fill="auto"/>
            <w:tcMar>
              <w:left w:w="57" w:type="dxa"/>
              <w:right w:w="57" w:type="dxa"/>
            </w:tcMar>
          </w:tcPr>
          <w:p w14:paraId="6A8038D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Discharged patients with; cerebrovascular diseases, ophthalmic conditions, cardiovascular diseases, renal conditions, neurological diseases, or peripheral vascular diseases; tertiary hospital</w:t>
            </w:r>
          </w:p>
        </w:tc>
        <w:tc>
          <w:tcPr>
            <w:tcW w:w="1017" w:type="dxa"/>
            <w:shd w:val="clear" w:color="auto" w:fill="auto"/>
            <w:tcMar>
              <w:left w:w="57" w:type="dxa"/>
              <w:right w:w="57" w:type="dxa"/>
            </w:tcMar>
          </w:tcPr>
          <w:p w14:paraId="5410AE8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tcPr>
          <w:p w14:paraId="1F051E0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cost, ingredients approach</w:t>
            </w:r>
          </w:p>
        </w:tc>
        <w:tc>
          <w:tcPr>
            <w:tcW w:w="1011" w:type="dxa"/>
            <w:shd w:val="clear" w:color="auto" w:fill="auto"/>
            <w:tcMar>
              <w:left w:w="57" w:type="dxa"/>
              <w:right w:w="57" w:type="dxa"/>
            </w:tcMar>
          </w:tcPr>
          <w:p w14:paraId="225DE55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2009</w:t>
            </w:r>
          </w:p>
        </w:tc>
        <w:tc>
          <w:tcPr>
            <w:tcW w:w="2146" w:type="dxa"/>
            <w:shd w:val="clear" w:color="auto" w:fill="auto"/>
            <w:tcMar>
              <w:left w:w="57" w:type="dxa"/>
              <w:right w:w="57" w:type="dxa"/>
            </w:tcMar>
          </w:tcPr>
          <w:p w14:paraId="0733D236" w14:textId="5B36EB13"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cardiovascular disease</w:t>
            </w:r>
            <w:r w:rsidRPr="00FA697F">
              <w:rPr>
                <w:rFonts w:ascii="Times New Roman" w:eastAsia="Times New Roman" w:hAnsi="Times New Roman" w:cs="Times New Roman"/>
                <w:sz w:val="16"/>
                <w:szCs w:val="16"/>
                <w:lang w:eastAsia="en-GB"/>
              </w:rPr>
              <w:br/>
              <w:t>Patients with diabetes: $2,533</w:t>
            </w:r>
            <w:r w:rsidRPr="00FA697F">
              <w:rPr>
                <w:rFonts w:ascii="Times New Roman" w:eastAsia="Times New Roman" w:hAnsi="Times New Roman" w:cs="Times New Roman"/>
                <w:sz w:val="16"/>
                <w:szCs w:val="16"/>
                <w:lang w:eastAsia="en-GB"/>
              </w:rPr>
              <w:br/>
              <w:t>Patients without diabetes: $1,802</w:t>
            </w:r>
            <w:r w:rsidRPr="00FA697F">
              <w:rPr>
                <w:rFonts w:ascii="Times New Roman" w:eastAsia="Times New Roman" w:hAnsi="Times New Roman" w:cs="Times New Roman"/>
                <w:sz w:val="16"/>
                <w:szCs w:val="16"/>
                <w:lang w:eastAsia="en-GB"/>
              </w:rPr>
              <w:b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tcPr>
          <w:p w14:paraId="6A141D6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SD</w:t>
            </w:r>
            <w:r w:rsidRPr="00FA697F">
              <w:rPr>
                <w:rFonts w:ascii="Times New Roman" w:eastAsia="Times New Roman" w:hAnsi="Times New Roman" w:cs="Times New Roman"/>
                <w:sz w:val="16"/>
                <w:szCs w:val="16"/>
                <w:lang w:eastAsia="en-GB"/>
              </w:rPr>
              <w:br/>
            </w:r>
          </w:p>
          <w:p w14:paraId="20B91D0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$785 - $4,281</w:t>
            </w:r>
            <w:r w:rsidRPr="00FA697F">
              <w:rPr>
                <w:rFonts w:ascii="Times New Roman" w:eastAsia="Times New Roman" w:hAnsi="Times New Roman" w:cs="Times New Roman"/>
                <w:sz w:val="16"/>
                <w:szCs w:val="16"/>
                <w:lang w:eastAsia="en-GB"/>
              </w:rPr>
              <w:br/>
              <w:t>$385 - $3,219</w:t>
            </w:r>
          </w:p>
        </w:tc>
        <w:tc>
          <w:tcPr>
            <w:tcW w:w="260" w:type="dxa"/>
            <w:shd w:val="clear" w:color="auto" w:fill="auto"/>
            <w:tcMar>
              <w:left w:w="57" w:type="dxa"/>
              <w:right w:w="57" w:type="dxa"/>
            </w:tcMar>
          </w:tcPr>
          <w:p w14:paraId="789BBE9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tcPr>
          <w:p w14:paraId="09EB2B9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tcPr>
          <w:p w14:paraId="1DF3915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tcPr>
          <w:p w14:paraId="241AFEB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tcPr>
          <w:p w14:paraId="3AAA52A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tcPr>
          <w:p w14:paraId="33309B0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tcPr>
          <w:p w14:paraId="6AB8C37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tcPr>
          <w:p w14:paraId="4D2ECD1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tcPr>
          <w:p w14:paraId="177E118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tcPr>
          <w:p w14:paraId="5A72D6F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tcPr>
          <w:p w14:paraId="02AD655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tcPr>
          <w:p w14:paraId="5114DF58"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7DF68B73" w14:textId="77777777" w:rsidTr="00DA0AFD">
        <w:trPr>
          <w:trHeight w:val="1440"/>
        </w:trPr>
        <w:tc>
          <w:tcPr>
            <w:tcW w:w="431" w:type="dxa"/>
            <w:shd w:val="clear" w:color="auto" w:fill="auto"/>
            <w:tcMar>
              <w:left w:w="57" w:type="dxa"/>
              <w:right w:w="57" w:type="dxa"/>
            </w:tcMar>
            <w:hideMark/>
          </w:tcPr>
          <w:p w14:paraId="429E99A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21</w:t>
            </w:r>
          </w:p>
        </w:tc>
        <w:tc>
          <w:tcPr>
            <w:tcW w:w="982" w:type="dxa"/>
            <w:shd w:val="clear" w:color="auto" w:fill="auto"/>
            <w:tcMar>
              <w:left w:w="57" w:type="dxa"/>
              <w:right w:w="57" w:type="dxa"/>
            </w:tcMar>
            <w:hideMark/>
          </w:tcPr>
          <w:p w14:paraId="5979700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Wessels</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{"citationItems":[{"id":"ITEM-1","itemData":{"ISSN":"10159657","PMID":"17497046","author":[{"dropping-particle":"","family":"Wessels","given":"Francois","non-dropping-particle":"","parse-names":false,"suffix":""}],"container-title":"Cardiovascular Journal of South Africa","id":"ITEM-1","issue":"2","issued":{"date-parts":[["2007"]]},"page":"95-96","title":"Eprosartan in secondary prevention of stroke: The economic evidence","type":"article-journal","volume":"18"},"uris":["http://www.mendeley.com/documents/?uuid=e453681c-8242-4036-88e7-8d5bf98e20d9"]}],"mendeley":{"formattedCitation":"&lt;sup&gt;21&lt;/sup&gt;","plainTextFormattedCitation":"21","previouslyFormattedCitation":"&lt;sup&gt;21&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21</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(2007)</w:t>
            </w:r>
          </w:p>
        </w:tc>
        <w:tc>
          <w:tcPr>
            <w:tcW w:w="1843" w:type="dxa"/>
            <w:shd w:val="clear" w:color="auto" w:fill="auto"/>
            <w:tcMar>
              <w:left w:w="57" w:type="dxa"/>
              <w:right w:w="57" w:type="dxa"/>
            </w:tcMar>
            <w:hideMark/>
          </w:tcPr>
          <w:p w14:paraId="22CBF75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Assess the cost-effectiveness of </w:t>
            </w:r>
            <w:proofErr w:type="spellStart"/>
            <w:r w:rsidRPr="00FA697F">
              <w:rPr>
                <w:rFonts w:ascii="Times New Roman" w:eastAsia="Times New Roman" w:hAnsi="Times New Roman" w:cs="Times New Roman"/>
                <w:sz w:val="16"/>
                <w:szCs w:val="16"/>
                <w:lang w:eastAsia="en-GB"/>
              </w:rPr>
              <w:t>eprosartan</w:t>
            </w:r>
            <w:proofErr w:type="spellEnd"/>
            <w:r w:rsidRPr="00FA697F">
              <w:rPr>
                <w:rFonts w:ascii="Times New Roman" w:eastAsia="Times New Roman" w:hAnsi="Times New Roman" w:cs="Times New Roman"/>
                <w:sz w:val="16"/>
                <w:szCs w:val="16"/>
                <w:lang w:eastAsia="en-GB"/>
              </w:rPr>
              <w:t xml:space="preserve"> in secondary prevention of vascular disease</w:t>
            </w:r>
          </w:p>
        </w:tc>
        <w:tc>
          <w:tcPr>
            <w:tcW w:w="1299" w:type="dxa"/>
            <w:shd w:val="clear" w:color="auto" w:fill="auto"/>
            <w:tcMar>
              <w:left w:w="57" w:type="dxa"/>
              <w:right w:w="57" w:type="dxa"/>
            </w:tcMar>
            <w:hideMark/>
          </w:tcPr>
          <w:p w14:paraId="05DC97E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Hypertensive patients with previous cerebrovascular disease; hospital</w:t>
            </w:r>
          </w:p>
        </w:tc>
        <w:tc>
          <w:tcPr>
            <w:tcW w:w="1017" w:type="dxa"/>
            <w:shd w:val="clear" w:color="auto" w:fill="auto"/>
            <w:tcMar>
              <w:left w:w="57" w:type="dxa"/>
              <w:right w:w="57" w:type="dxa"/>
            </w:tcMar>
            <w:hideMark/>
          </w:tcPr>
          <w:p w14:paraId="7ABD385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shd w:val="clear" w:color="auto" w:fill="auto"/>
            <w:tcMar>
              <w:left w:w="57" w:type="dxa"/>
              <w:right w:w="57" w:type="dxa"/>
            </w:tcMar>
            <w:hideMark/>
          </w:tcPr>
          <w:p w14:paraId="482721E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unknown/not stated approach</w:t>
            </w:r>
          </w:p>
        </w:tc>
        <w:tc>
          <w:tcPr>
            <w:tcW w:w="1011" w:type="dxa"/>
            <w:shd w:val="clear" w:color="auto" w:fill="auto"/>
            <w:tcMar>
              <w:left w:w="57" w:type="dxa"/>
              <w:right w:w="57" w:type="dxa"/>
            </w:tcMar>
            <w:hideMark/>
          </w:tcPr>
          <w:p w14:paraId="204C225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(2006)</w:t>
            </w:r>
          </w:p>
        </w:tc>
        <w:tc>
          <w:tcPr>
            <w:tcW w:w="2146" w:type="dxa"/>
            <w:shd w:val="clear" w:color="auto" w:fill="auto"/>
            <w:tcMar>
              <w:left w:w="57" w:type="dxa"/>
              <w:right w:w="57" w:type="dxa"/>
            </w:tcMar>
            <w:hideMark/>
          </w:tcPr>
          <w:p w14:paraId="23CE166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stroke (first year): $11,002</w:t>
            </w:r>
            <w:r w:rsidRPr="00FA697F">
              <w:rPr>
                <w:rFonts w:ascii="Times New Roman" w:eastAsia="Times New Roman" w:hAnsi="Times New Roman" w:cs="Times New Roman"/>
                <w:sz w:val="16"/>
                <w:szCs w:val="16"/>
                <w:lang w:eastAsia="en-GB"/>
              </w:rPr>
              <w:br/>
              <w:t>Treatment of stroke (subsequent years): $4,555</w:t>
            </w:r>
            <w:r w:rsidRPr="00FA697F">
              <w:rPr>
                <w:rFonts w:ascii="Times New Roman" w:eastAsia="Times New Roman" w:hAnsi="Times New Roman" w:cs="Times New Roman"/>
                <w:sz w:val="16"/>
                <w:szCs w:val="16"/>
                <w:lang w:eastAsia="en-GB"/>
              </w:rPr>
              <w:br/>
              <w:t>Treatment of transient ischaemic attack (first year): $8,129</w:t>
            </w:r>
            <w:r w:rsidRPr="00FA697F">
              <w:rPr>
                <w:rFonts w:ascii="Times New Roman" w:eastAsia="Times New Roman" w:hAnsi="Times New Roman" w:cs="Times New Roman"/>
                <w:sz w:val="16"/>
                <w:szCs w:val="16"/>
                <w:lang w:eastAsia="en-GB"/>
              </w:rPr>
              <w:br/>
              <w:t>Treatment of transient ischaemic attack (subsequent years): $3,416</w:t>
            </w:r>
          </w:p>
          <w:p w14:paraId="343E737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event</w:t>
            </w:r>
          </w:p>
        </w:tc>
        <w:tc>
          <w:tcPr>
            <w:tcW w:w="1051" w:type="dxa"/>
            <w:shd w:val="clear" w:color="auto" w:fill="auto"/>
            <w:tcMar>
              <w:left w:w="57" w:type="dxa"/>
              <w:right w:w="57" w:type="dxa"/>
            </w:tcMar>
            <w:hideMark/>
          </w:tcPr>
          <w:p w14:paraId="5AE0745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6FDC452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057078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5C8657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3E857B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37A2C7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108F6C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FEEE09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A2AED9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BE91B3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8C5B54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3C8CD9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198427C6"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NS</w:t>
            </w:r>
          </w:p>
        </w:tc>
      </w:tr>
      <w:tr w:rsidR="00406B90" w:rsidRPr="00FA697F" w14:paraId="64D7C53A" w14:textId="77777777" w:rsidTr="00DA0AFD">
        <w:trPr>
          <w:trHeight w:val="1152"/>
        </w:trPr>
        <w:tc>
          <w:tcPr>
            <w:tcW w:w="431" w:type="dxa"/>
            <w:shd w:val="clear" w:color="auto" w:fill="auto"/>
            <w:tcMar>
              <w:left w:w="57" w:type="dxa"/>
              <w:right w:w="57" w:type="dxa"/>
            </w:tcMar>
            <w:hideMark/>
          </w:tcPr>
          <w:p w14:paraId="7650C7A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16</w:t>
            </w:r>
          </w:p>
        </w:tc>
        <w:tc>
          <w:tcPr>
            <w:tcW w:w="982" w:type="dxa"/>
            <w:shd w:val="clear" w:color="auto" w:fill="auto"/>
            <w:tcMar>
              <w:left w:w="57" w:type="dxa"/>
              <w:right w:w="57" w:type="dxa"/>
            </w:tcMar>
            <w:hideMark/>
          </w:tcPr>
          <w:p w14:paraId="1407CB0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Wessels</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{"citationItems":[{"id":"ITEM-1","itemData":{"DOI":"10.5830/CVJA-2010-001","ISSN":"19951892","abstract":"Introduction: This project was based on the FIELD trial.1 It is a localisation of the study by Carrington and Stewart.2 The aim of the original study was to determine the impact of fenofibrate therapy on healthcare costs of middle-aged patients with type 2 diabetes at high risk of future cardiovascular events. Methods: The methodology used in the Carrington article2 was adopted for this study. The clinical foundation for the analysis was derived from the findings of the FIELD study.1 All costs were sourced from electronic databases obtained from private-sector South African funders of healthcare. Event costs for the cardiovascular events were determined and added to the treatment costs for the individual treatment arms. The cost saving was determined as the difference between the event costs saved and the additional treatment costs associated with fenofibrate treatment. All costs were reported as 2008 ZAR and a discount rate of 10% was used. The study adopted a South African private-sector funder perspective. Results: If the same approach is followed as in the Carrington and Stewart study,2 a cost saving of 18% results. This is the difference between the total costs associated with the placebo and fenofibrate arms, respectively (R3 480 471 compared to R2 858 598 per 1 000 patient years for the placebo and fenofibrate arms, respectively). The total costs were determined as the sum of associated event costs and treatment costs for each of the comparators. Conclusions: Based on this exploratory analysis, it seems that Lipanthyl® treatment in middle-aged patients resulted in a cost saving due to the prevention of cardiovascular events when it was used in the treatment of type 2 diabetics, as in the FIELD study. It should therefore be considered to be cost effective, even when just the cardiovascular risk reduction effect is considered.","author":[{"dropping-particle":"","family":"Wessels","given":"Francois","non-dropping-particle":"","parse-names":false,"suffix":""}],"container-title":"Cardiovascular Journal of Africa","id":"ITEM-1","issue":"1","issued":{"date-parts":[["2010"]]},"page":"43-46","title":"Is fenofibrate a cost-saving treatment for middle-aged individuals with type 2 diabetes? A South African private-sector perspective","type":"article-journal","volume":"21"},"uris":["http://www.mendeley.com/documents/?uuid=a65f1554-b1c5-4281-839b-d4e1bab9b2ab"]}],"mendeley":{"formattedCitation":"&lt;sup&gt;16&lt;/sup&gt;","plainTextFormattedCitation":"16","previouslyFormattedCitation":"&lt;sup&gt;16&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16</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(2010)</w:t>
            </w:r>
          </w:p>
        </w:tc>
        <w:tc>
          <w:tcPr>
            <w:tcW w:w="1843" w:type="dxa"/>
            <w:shd w:val="clear" w:color="auto" w:fill="auto"/>
            <w:tcMar>
              <w:left w:w="57" w:type="dxa"/>
              <w:right w:w="57" w:type="dxa"/>
            </w:tcMar>
            <w:hideMark/>
          </w:tcPr>
          <w:p w14:paraId="0A03928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Establish the healthcare cost impact of fenofibrate therapy for middle-aged type 2 diabetes patients at high risk of CVD</w:t>
            </w:r>
          </w:p>
        </w:tc>
        <w:tc>
          <w:tcPr>
            <w:tcW w:w="1299" w:type="dxa"/>
            <w:shd w:val="clear" w:color="auto" w:fill="auto"/>
            <w:tcMar>
              <w:left w:w="57" w:type="dxa"/>
              <w:right w:w="57" w:type="dxa"/>
            </w:tcMar>
            <w:hideMark/>
          </w:tcPr>
          <w:p w14:paraId="4619CCA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Patients aged 50 to 75 years with T2DM; hospital</w:t>
            </w:r>
          </w:p>
        </w:tc>
        <w:tc>
          <w:tcPr>
            <w:tcW w:w="1017" w:type="dxa"/>
            <w:shd w:val="clear" w:color="auto" w:fill="auto"/>
            <w:tcMar>
              <w:left w:w="57" w:type="dxa"/>
              <w:right w:w="57" w:type="dxa"/>
            </w:tcMar>
            <w:hideMark/>
          </w:tcPr>
          <w:p w14:paraId="66CC89D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shd w:val="clear" w:color="auto" w:fill="auto"/>
            <w:tcMar>
              <w:left w:w="57" w:type="dxa"/>
              <w:right w:w="57" w:type="dxa"/>
            </w:tcMar>
            <w:hideMark/>
          </w:tcPr>
          <w:p w14:paraId="4FD1DEC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Full financial cost, top-down approach</w:t>
            </w:r>
          </w:p>
        </w:tc>
        <w:tc>
          <w:tcPr>
            <w:tcW w:w="1011" w:type="dxa"/>
            <w:shd w:val="clear" w:color="auto" w:fill="auto"/>
            <w:tcMar>
              <w:left w:w="57" w:type="dxa"/>
              <w:right w:w="57" w:type="dxa"/>
            </w:tcMar>
            <w:hideMark/>
          </w:tcPr>
          <w:p w14:paraId="415BEC3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2008</w:t>
            </w:r>
          </w:p>
        </w:tc>
        <w:tc>
          <w:tcPr>
            <w:tcW w:w="2146" w:type="dxa"/>
            <w:shd w:val="clear" w:color="auto" w:fill="auto"/>
            <w:tcMar>
              <w:left w:w="57" w:type="dxa"/>
              <w:right w:w="57" w:type="dxa"/>
            </w:tcMar>
            <w:hideMark/>
          </w:tcPr>
          <w:p w14:paraId="7E8263E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stroke: $7,175 per event</w:t>
            </w:r>
          </w:p>
        </w:tc>
        <w:tc>
          <w:tcPr>
            <w:tcW w:w="1051" w:type="dxa"/>
            <w:shd w:val="clear" w:color="auto" w:fill="auto"/>
            <w:tcMar>
              <w:left w:w="57" w:type="dxa"/>
              <w:right w:w="57" w:type="dxa"/>
            </w:tcMar>
            <w:hideMark/>
          </w:tcPr>
          <w:p w14:paraId="6B3F984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01C1529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089C49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046CF7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792ACA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0F7409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875AF3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5D0442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1D24ED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C283E2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EE5AED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C71694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45E10709"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7831753E" w14:textId="77777777" w:rsidTr="00DA0AFD">
        <w:trPr>
          <w:trHeight w:val="1152"/>
        </w:trPr>
        <w:tc>
          <w:tcPr>
            <w:tcW w:w="431" w:type="dxa"/>
            <w:vMerge w:val="restart"/>
            <w:shd w:val="clear" w:color="auto" w:fill="auto"/>
            <w:tcMar>
              <w:left w:w="57" w:type="dxa"/>
              <w:right w:w="57" w:type="dxa"/>
            </w:tcMar>
            <w:hideMark/>
          </w:tcPr>
          <w:p w14:paraId="44B61D8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22</w:t>
            </w:r>
          </w:p>
        </w:tc>
        <w:tc>
          <w:tcPr>
            <w:tcW w:w="982" w:type="dxa"/>
            <w:vMerge w:val="restart"/>
            <w:shd w:val="clear" w:color="auto" w:fill="auto"/>
            <w:tcMar>
              <w:left w:w="57" w:type="dxa"/>
              <w:right w:w="57" w:type="dxa"/>
            </w:tcMar>
            <w:hideMark/>
          </w:tcPr>
          <w:p w14:paraId="1998C87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Bergh</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{"citationItems":[{"id":"ITEM-1","itemData":{"DOI":"10.7196/samj.6471","ISSN":"0256-9574 (Print)","PMID":"23547700","abstract":"BACKGROUND: Dabigatran is an oral anticoagulant direct thrombin inhibitor recently registered in South Africa (SA) to reduce the risk of stroke and systemic embolism in patients with atrial fibrillation (AF). Owing to the price disparity between warfarin (the current gold standard for treatment of patients with AF) and dabigatran, we conducted an economic appraisal of the use of dabigatran compared with warfarin from a payer perspective in the South African private healthcare setting. OBJECTIVES: To estimate the cost-effectiveness (CE) and budget impact of dabigatran compared with warfarin for the prevention of stroke in AF patients. Methods. A previously published Markov model was populated with SA cost and mortality data to estimate the CE and budget impact analysis of dabigatran over a lifetime horizon. The model population consisted of a cohort of patients of whom those aged younger than 80 years used dabigatran 150 mg twice daily and those older than 80 years 110 mg twice daily. Modelled outcomes included total cost, quality-adjusted life years (QALYs) and incremental CE ratio (ICER), with the effectiveness measured by QALYs gained. RESULTS: Dabigatran compared with warfarin as first-line treatment was estimated to have an ICER of R93 290 and an average incremental cost per beneficiary per month of R0.39 over a 5-year period. Conservative assumptions were made regarding the number of international normalised ratio monitoring tests for patients on warfarin, and the ICER is estimated to decrease by as much as 15.7% under less stringent assumptions. A robust sensitivity analysis was also performed. CONCLUSION: Dabigatran as first-line treatment compared with warfarin for the use of stroke prevention in patients with AF is deemed cost-effective when used in accordance with its registered indication in the SA private sector.","author":[{"dropping-particle":"","family":"Bergh","given":"M","non-dropping-particle":"","parse-names":false,"suffix":""},{"dropping-particle":"","family":"Marais","given":"C A","non-dropping-particle":"","parse-names":false,"suffix":""},{"dropping-particle":"","family":"Miller-Jansön","given":"H","non-dropping-particle":"","parse-names":false,"suffix":""},{"dropping-particle":"","family":"Salie","given":"F","non-dropping-particle":"","parse-names":false,"suffix":""},{"dropping-particle":"","family":"Stander","given":"M P","non-dropping-particle":"","parse-names":false,"suffix":""}],"container-title":"South African medical journal = Suid-Afrikaanse tydskrif vir geneeskunde","id":"ITEM-1","issue":"4","issued":{"date-parts":[["2013","2"]]},"language":"eng","page":"241-245","publisher-place":"South Africa","title":"Economic appraisal of dabigatran as first-line therapy for stroke prevention in atrial fibrillation.","type":"article-journal","volume":"103"},"uris":["http://www.mendeley.com/documents/?uuid=dc97fc53-8bdd-4f3c-a3f7-88f90f370f7d"]}],"mendeley":{"formattedCitation":"&lt;sup&gt;22&lt;/sup&gt;","plainTextFormattedCitation":"22","previouslyFormattedCitation":"&lt;sup&gt;22&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22</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(2013)</w:t>
            </w:r>
          </w:p>
        </w:tc>
        <w:tc>
          <w:tcPr>
            <w:tcW w:w="1843" w:type="dxa"/>
            <w:vMerge w:val="restart"/>
            <w:shd w:val="clear" w:color="auto" w:fill="auto"/>
            <w:tcMar>
              <w:left w:w="57" w:type="dxa"/>
              <w:right w:w="57" w:type="dxa"/>
            </w:tcMar>
            <w:hideMark/>
          </w:tcPr>
          <w:p w14:paraId="154F956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cost-effectiveness and budgetary impact of using dabigatran for stroke prevention</w:t>
            </w:r>
          </w:p>
        </w:tc>
        <w:tc>
          <w:tcPr>
            <w:tcW w:w="1299" w:type="dxa"/>
            <w:vMerge w:val="restart"/>
            <w:shd w:val="clear" w:color="auto" w:fill="auto"/>
            <w:tcMar>
              <w:left w:w="57" w:type="dxa"/>
              <w:right w:w="57" w:type="dxa"/>
            </w:tcMar>
            <w:hideMark/>
          </w:tcPr>
          <w:p w14:paraId="2923B39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Patients with atrial fibrillation; PHC</w:t>
            </w:r>
          </w:p>
        </w:tc>
        <w:tc>
          <w:tcPr>
            <w:tcW w:w="1017" w:type="dxa"/>
            <w:vMerge w:val="restart"/>
            <w:shd w:val="clear" w:color="auto" w:fill="auto"/>
            <w:tcMar>
              <w:left w:w="57" w:type="dxa"/>
              <w:right w:w="57" w:type="dxa"/>
            </w:tcMar>
            <w:hideMark/>
          </w:tcPr>
          <w:p w14:paraId="59AE590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vMerge w:val="restart"/>
            <w:shd w:val="clear" w:color="auto" w:fill="auto"/>
            <w:tcMar>
              <w:left w:w="57" w:type="dxa"/>
              <w:right w:w="57" w:type="dxa"/>
            </w:tcMar>
            <w:hideMark/>
          </w:tcPr>
          <w:p w14:paraId="109AA7A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ingredients-based and top-down approaches</w:t>
            </w:r>
          </w:p>
        </w:tc>
        <w:tc>
          <w:tcPr>
            <w:tcW w:w="1011" w:type="dxa"/>
            <w:vMerge w:val="restart"/>
            <w:shd w:val="clear" w:color="auto" w:fill="auto"/>
            <w:tcMar>
              <w:left w:w="57" w:type="dxa"/>
              <w:right w:w="57" w:type="dxa"/>
            </w:tcMar>
            <w:hideMark/>
          </w:tcPr>
          <w:p w14:paraId="181E956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2000 - 2007</w:t>
            </w:r>
          </w:p>
        </w:tc>
        <w:tc>
          <w:tcPr>
            <w:tcW w:w="2146" w:type="dxa"/>
            <w:shd w:val="clear" w:color="auto" w:fill="auto"/>
            <w:tcMar>
              <w:left w:w="57" w:type="dxa"/>
              <w:right w:w="57" w:type="dxa"/>
            </w:tcMar>
            <w:hideMark/>
          </w:tcPr>
          <w:p w14:paraId="68563AD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Prevention of stroke and systemic embolism</w:t>
            </w:r>
            <w:r w:rsidRPr="00FA697F">
              <w:rPr>
                <w:rFonts w:ascii="Times New Roman" w:eastAsia="Times New Roman" w:hAnsi="Times New Roman" w:cs="Times New Roman"/>
                <w:sz w:val="16"/>
                <w:szCs w:val="16"/>
                <w:lang w:eastAsia="en-GB"/>
              </w:rPr>
              <w:br/>
              <w:t>Dabigatran: $6,746</w:t>
            </w:r>
            <w:r w:rsidRPr="00FA697F">
              <w:rPr>
                <w:rFonts w:ascii="Times New Roman" w:eastAsia="Times New Roman" w:hAnsi="Times New Roman" w:cs="Times New Roman"/>
                <w:sz w:val="16"/>
                <w:szCs w:val="16"/>
                <w:lang w:eastAsia="en-GB"/>
              </w:rPr>
              <w:br/>
              <w:t>Trial-like warfarin: $2,709</w:t>
            </w:r>
          </w:p>
          <w:p w14:paraId="4F1BA98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year</w:t>
            </w:r>
          </w:p>
        </w:tc>
        <w:tc>
          <w:tcPr>
            <w:tcW w:w="1051" w:type="dxa"/>
            <w:shd w:val="clear" w:color="auto" w:fill="auto"/>
            <w:tcMar>
              <w:left w:w="57" w:type="dxa"/>
              <w:right w:w="57" w:type="dxa"/>
            </w:tcMar>
            <w:hideMark/>
          </w:tcPr>
          <w:p w14:paraId="7342DFE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67948E8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92D141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1683C3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6DA50C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05AFEB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DE9E94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1A710E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13F312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04E4FF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75F443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CC885A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63BD8202"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4383B9F4" w14:textId="77777777" w:rsidTr="00DA0AFD">
        <w:trPr>
          <w:trHeight w:val="1152"/>
        </w:trPr>
        <w:tc>
          <w:tcPr>
            <w:tcW w:w="431" w:type="dxa"/>
            <w:vMerge/>
            <w:tcMar>
              <w:left w:w="57" w:type="dxa"/>
              <w:right w:w="57" w:type="dxa"/>
            </w:tcMar>
            <w:vAlign w:val="center"/>
            <w:hideMark/>
          </w:tcPr>
          <w:p w14:paraId="1C6BC8A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6DFD95B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34649E2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131381D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6E69599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5A9DF38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78956D5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1791A6B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Follow-up costs after a stroke</w:t>
            </w:r>
            <w:r w:rsidRPr="00FA697F">
              <w:rPr>
                <w:rFonts w:ascii="Times New Roman" w:eastAsia="Times New Roman" w:hAnsi="Times New Roman" w:cs="Times New Roman"/>
                <w:sz w:val="16"/>
                <w:szCs w:val="16"/>
                <w:lang w:eastAsia="en-GB"/>
              </w:rPr>
              <w:br/>
              <w:t>Dabigatran: $26,427</w:t>
            </w:r>
            <w:r w:rsidRPr="00FA697F">
              <w:rPr>
                <w:rFonts w:ascii="Times New Roman" w:eastAsia="Times New Roman" w:hAnsi="Times New Roman" w:cs="Times New Roman"/>
                <w:sz w:val="16"/>
                <w:szCs w:val="16"/>
                <w:lang w:eastAsia="en-GB"/>
              </w:rPr>
              <w:br/>
              <w:t>Trial-like warfarin: $28,173</w:t>
            </w:r>
          </w:p>
          <w:p w14:paraId="49B6503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year</w:t>
            </w:r>
          </w:p>
        </w:tc>
        <w:tc>
          <w:tcPr>
            <w:tcW w:w="1051" w:type="dxa"/>
            <w:shd w:val="clear" w:color="auto" w:fill="auto"/>
            <w:tcMar>
              <w:left w:w="57" w:type="dxa"/>
              <w:right w:w="57" w:type="dxa"/>
            </w:tcMar>
            <w:hideMark/>
          </w:tcPr>
          <w:p w14:paraId="72311B1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60E9F10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9D0EDD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F4034F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D3C602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041F7D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DCD98A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365CBD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34A693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8B29ED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785A69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D54666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09E8D017"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Out -of-hospital</w:t>
            </w:r>
          </w:p>
        </w:tc>
      </w:tr>
      <w:tr w:rsidR="00406B90" w:rsidRPr="00FA697F" w14:paraId="2C7CED3F" w14:textId="77777777" w:rsidTr="00DA0AFD">
        <w:trPr>
          <w:trHeight w:val="1152"/>
        </w:trPr>
        <w:tc>
          <w:tcPr>
            <w:tcW w:w="431" w:type="dxa"/>
            <w:shd w:val="clear" w:color="auto" w:fill="auto"/>
            <w:tcMar>
              <w:left w:w="57" w:type="dxa"/>
              <w:right w:w="57" w:type="dxa"/>
            </w:tcMar>
            <w:hideMark/>
          </w:tcPr>
          <w:p w14:paraId="2F8196F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6</w:t>
            </w:r>
          </w:p>
        </w:tc>
        <w:tc>
          <w:tcPr>
            <w:tcW w:w="982" w:type="dxa"/>
            <w:shd w:val="clear" w:color="auto" w:fill="auto"/>
            <w:tcMar>
              <w:left w:w="57" w:type="dxa"/>
              <w:right w:w="57" w:type="dxa"/>
            </w:tcMar>
            <w:hideMark/>
          </w:tcPr>
          <w:p w14:paraId="1988521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Gaziano</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{"citationItems":[{"id":"ITEM-1","itemData":{"DOI":"10.1186/1471-2458-14-240","ISSN":"1471-2458 (Electronic)","PMID":"24606986","abstract":"BACKGROUND: To determine whether training community health workers (CHWs) about hypertension in order to improve adherence to medications is a cost-effective intervention among community members in South Africa. METHODS: We used an established Markov model with age-varying probabilities of cardiovascular disease (CVD) events to assess the benefits and costs of using CHW home visits to increase hypertension adherence for individuals with hypertension and aged 25-74 in South Africa. Subjects considered for CHW intervention were those with a previous diagnosis of hypertension and on medications but who had not achieved control of their blood pressure. We report our results in incremental cost-effectiveness ratios (ICERs) in US dollars per disability-adjusted life-year (DALY) averted. RESULTS: The annual cost of the CHW intervention is about $8 per patient. This would lead to over a 2% reduction in CVD events over a life-time and decrease DALY burden. Due to reductions in non-fatal CVD events, lifetime costs are only $6.56 per patient. The CHW intervention leads to an incremental cost-effectiveness ratio of $320/DALY averted. At an annual cost of $6.50 or if the blood pressure reduction is 5 mmHg or greater per patient the intervention is cost-saving. CONCLUSIONS: Additional training for CHWs on hypertension management could be a cost-effective strategy for CVD in South Africa and a very good purchase according to World Health Organization (WHO) standards. The intervention could also lead to reduced visits at the health centres freeing up more time for new patients or reducing the burden of an overworked staff at many facilities.","author":[{"dropping-particle":"","family":"Gaziano","given":"Thomas A","non-dropping-particle":"","parse-names":false,"suffix":""},{"dropping-particle":"","family":"Bertram","given":"Melanie","non-dropping-particle":"","parse-names":false,"suffix":""},{"dropping-particle":"","family":"Tollman","given":"Stephen M","non-dropping-particle":"","parse-names":false,"suffix":""},{"dropping-particle":"","family":"Hofman","given":"Karen J","non-dropping-particle":"","parse-names":false,"suffix":""}],"container-title":"BMC public health","id":"ITEM-1","issued":{"date-parts":[["2014","3"]]},"language":"eng","page":"240","title":"Hypertension education and adherence in South Africa: a cost-effectiveness analysis of community health workers.","type":"article-journal","volume":"14"},"uris":["http://www.mendeley.com/documents/?uuid=8c64be07-4f7b-41ef-9f7a-ab673c750260"]}],"mendeley":{"formattedCitation":"&lt;sup&gt;6&lt;/sup&gt;","plainTextFormattedCitation":"6","previouslyFormattedCitation":"&lt;sup&gt;6&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6</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(2014)</w:t>
            </w:r>
          </w:p>
        </w:tc>
        <w:tc>
          <w:tcPr>
            <w:tcW w:w="1843" w:type="dxa"/>
            <w:shd w:val="clear" w:color="auto" w:fill="auto"/>
            <w:tcMar>
              <w:left w:w="57" w:type="dxa"/>
              <w:right w:w="57" w:type="dxa"/>
            </w:tcMar>
            <w:hideMark/>
          </w:tcPr>
          <w:p w14:paraId="1DC26BEA" w14:textId="4CDD579B"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Establish the cost</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effectiveness of training community health workers on hypertension as a medication adherence strategy</w:t>
            </w:r>
          </w:p>
        </w:tc>
        <w:tc>
          <w:tcPr>
            <w:tcW w:w="1299" w:type="dxa"/>
            <w:shd w:val="clear" w:color="auto" w:fill="auto"/>
            <w:tcMar>
              <w:left w:w="57" w:type="dxa"/>
              <w:right w:w="57" w:type="dxa"/>
            </w:tcMar>
            <w:hideMark/>
          </w:tcPr>
          <w:p w14:paraId="46B2B9E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(25-74); PHC</w:t>
            </w:r>
          </w:p>
        </w:tc>
        <w:tc>
          <w:tcPr>
            <w:tcW w:w="1017" w:type="dxa"/>
            <w:shd w:val="clear" w:color="auto" w:fill="auto"/>
            <w:tcMar>
              <w:left w:w="57" w:type="dxa"/>
              <w:right w:w="57" w:type="dxa"/>
            </w:tcMar>
            <w:hideMark/>
          </w:tcPr>
          <w:p w14:paraId="5192170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6C8B228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cost, ingredients approach</w:t>
            </w:r>
          </w:p>
        </w:tc>
        <w:tc>
          <w:tcPr>
            <w:tcW w:w="1011" w:type="dxa"/>
            <w:shd w:val="clear" w:color="auto" w:fill="auto"/>
            <w:tcMar>
              <w:left w:w="57" w:type="dxa"/>
              <w:right w:w="57" w:type="dxa"/>
            </w:tcMar>
            <w:hideMark/>
          </w:tcPr>
          <w:p w14:paraId="30B8F9A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(2013)</w:t>
            </w:r>
          </w:p>
        </w:tc>
        <w:tc>
          <w:tcPr>
            <w:tcW w:w="2146" w:type="dxa"/>
            <w:shd w:val="clear" w:color="auto" w:fill="auto"/>
            <w:tcMar>
              <w:left w:w="57" w:type="dxa"/>
              <w:right w:w="57" w:type="dxa"/>
            </w:tcMar>
            <w:hideMark/>
          </w:tcPr>
          <w:p w14:paraId="434E365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stroke: $1,359 per event</w:t>
            </w:r>
          </w:p>
        </w:tc>
        <w:tc>
          <w:tcPr>
            <w:tcW w:w="1051" w:type="dxa"/>
            <w:shd w:val="clear" w:color="auto" w:fill="auto"/>
            <w:tcMar>
              <w:left w:w="57" w:type="dxa"/>
              <w:right w:w="57" w:type="dxa"/>
            </w:tcMar>
            <w:hideMark/>
          </w:tcPr>
          <w:p w14:paraId="2A8763B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2708976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FA622C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391725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DDBDD4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6C4C1D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54D0EC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83DA31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FA59FC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FEFCF5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DF216F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B68042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00753B9F"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76D078EB" w14:textId="77777777" w:rsidTr="00DA0AFD">
        <w:trPr>
          <w:trHeight w:hRule="exact" w:val="1814"/>
        </w:trPr>
        <w:tc>
          <w:tcPr>
            <w:tcW w:w="431" w:type="dxa"/>
            <w:shd w:val="clear" w:color="auto" w:fill="auto"/>
            <w:tcMar>
              <w:left w:w="57" w:type="dxa"/>
              <w:right w:w="57" w:type="dxa"/>
            </w:tcMar>
            <w:hideMark/>
          </w:tcPr>
          <w:p w14:paraId="4FA6635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23</w:t>
            </w:r>
          </w:p>
        </w:tc>
        <w:tc>
          <w:tcPr>
            <w:tcW w:w="982" w:type="dxa"/>
            <w:shd w:val="clear" w:color="auto" w:fill="auto"/>
            <w:tcMar>
              <w:left w:w="57" w:type="dxa"/>
              <w:right w:w="57" w:type="dxa"/>
            </w:tcMar>
            <w:hideMark/>
          </w:tcPr>
          <w:p w14:paraId="3D3E546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Viljoen</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{"citationItems":[{"id":"ITEM-1","itemData":{"author":[{"dropping-particle":"","family":"Viljoen","given":"C A","non-dropping-particle":"","parse-names":false,"suffix":""},{"dropping-particle":"","family":"Dalmeyer","given":"L","non-dropping-particle":"","parse-names":false,"suffix":""},{"dropping-particle":"","family":"Villiers","given":"L","non-dropping-particle":"de","parse-names":false,"suffix":""}],"container-title":"Stroke","id":"ITEM-1","issue":"1","issued":{"date-parts":[["2013"]]},"note":"Cited By :1\n\nExport Date: 11 August 2021","page":"3-4","title":"Cost of acute stroke care in South Africa","type":"article-journal","volume":"8"},"uris":["http://www.mendeley.com/documents/?uuid=0b1070f5-c3dc-48ae-b357-725c88082a2e"]}],"mendeley":{"formattedCitation":"&lt;sup&gt;23&lt;/sup&gt;","plainTextFormattedCitation":"23","previouslyFormattedCitation":"&lt;sup&gt;23&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23</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(2014)</w:t>
            </w:r>
          </w:p>
        </w:tc>
        <w:tc>
          <w:tcPr>
            <w:tcW w:w="1843" w:type="dxa"/>
            <w:shd w:val="clear" w:color="auto" w:fill="auto"/>
            <w:tcMar>
              <w:left w:w="57" w:type="dxa"/>
              <w:right w:w="57" w:type="dxa"/>
            </w:tcMar>
            <w:hideMark/>
          </w:tcPr>
          <w:p w14:paraId="1B3856A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Determine the cost of acute stroke care and identify the cost drivers</w:t>
            </w:r>
          </w:p>
        </w:tc>
        <w:tc>
          <w:tcPr>
            <w:tcW w:w="1299" w:type="dxa"/>
            <w:shd w:val="clear" w:color="auto" w:fill="auto"/>
            <w:tcMar>
              <w:left w:w="57" w:type="dxa"/>
              <w:right w:w="57" w:type="dxa"/>
            </w:tcMar>
            <w:hideMark/>
          </w:tcPr>
          <w:p w14:paraId="5B60DB5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All acute stroke patients admitted to general medical wards between January &amp; 31 December 2012; hospital</w:t>
            </w:r>
          </w:p>
        </w:tc>
        <w:tc>
          <w:tcPr>
            <w:tcW w:w="1017" w:type="dxa"/>
            <w:shd w:val="clear" w:color="auto" w:fill="auto"/>
            <w:tcMar>
              <w:left w:w="57" w:type="dxa"/>
              <w:right w:w="57" w:type="dxa"/>
            </w:tcMar>
            <w:hideMark/>
          </w:tcPr>
          <w:p w14:paraId="2DCCA6C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1F26DCE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bottom-up approach</w:t>
            </w:r>
          </w:p>
        </w:tc>
        <w:tc>
          <w:tcPr>
            <w:tcW w:w="1011" w:type="dxa"/>
            <w:shd w:val="clear" w:color="auto" w:fill="auto"/>
            <w:tcMar>
              <w:left w:w="57" w:type="dxa"/>
              <w:right w:w="57" w:type="dxa"/>
            </w:tcMar>
            <w:hideMark/>
          </w:tcPr>
          <w:p w14:paraId="30F5AE7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5C32BA3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Stroke</w:t>
            </w:r>
            <w:r w:rsidRPr="00FA697F">
              <w:rPr>
                <w:rFonts w:ascii="Times New Roman" w:eastAsia="Times New Roman" w:hAnsi="Times New Roman" w:cs="Times New Roman"/>
                <w:sz w:val="16"/>
                <w:szCs w:val="16"/>
                <w:lang w:eastAsia="en-GB"/>
              </w:rPr>
              <w:br/>
              <w:t>Hospitalisation: $1,617 per person</w:t>
            </w:r>
          </w:p>
        </w:tc>
        <w:tc>
          <w:tcPr>
            <w:tcW w:w="1051" w:type="dxa"/>
            <w:shd w:val="clear" w:color="auto" w:fill="auto"/>
            <w:tcMar>
              <w:left w:w="57" w:type="dxa"/>
              <w:right w:w="57" w:type="dxa"/>
            </w:tcMar>
            <w:hideMark/>
          </w:tcPr>
          <w:p w14:paraId="211E7F3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2A02188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D7490F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BEA595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871C03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EE6AEC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2CCE59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991642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9BC9EE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42A247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FC4F95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29F375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611B7E7D"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Radiology</w:t>
            </w:r>
          </w:p>
        </w:tc>
      </w:tr>
      <w:tr w:rsidR="00406B90" w:rsidRPr="00FA697F" w14:paraId="4976B9B9" w14:textId="77777777" w:rsidTr="00DA0AFD">
        <w:trPr>
          <w:trHeight w:val="1423"/>
        </w:trPr>
        <w:tc>
          <w:tcPr>
            <w:tcW w:w="431" w:type="dxa"/>
            <w:vMerge w:val="restart"/>
            <w:shd w:val="clear" w:color="auto" w:fill="auto"/>
            <w:tcMar>
              <w:left w:w="57" w:type="dxa"/>
              <w:right w:w="57" w:type="dxa"/>
            </w:tcMar>
            <w:hideMark/>
          </w:tcPr>
          <w:p w14:paraId="36BBC4B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24</w:t>
            </w:r>
          </w:p>
        </w:tc>
        <w:tc>
          <w:tcPr>
            <w:tcW w:w="982" w:type="dxa"/>
            <w:vMerge w:val="restart"/>
            <w:shd w:val="clear" w:color="auto" w:fill="auto"/>
            <w:tcMar>
              <w:left w:w="57" w:type="dxa"/>
              <w:right w:w="57" w:type="dxa"/>
            </w:tcMar>
            <w:hideMark/>
          </w:tcPr>
          <w:p w14:paraId="5C763EF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Maredza</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10.1016/j.ensci.2016.01.001","author":[{"dropping-particle":"","family":"Maredza","given":"M","non-dropping-particle":"","parse-names":false,"suffix":""},{"dropping-particle":"","family":"Chola","given":"L","non-dropping-particle":"","parse-names":false,"suffix":""}],"container-title":"eNeurologicalSci","id":"ITEM-1","issued":{"date-parts":[["2016"]]},"note":"Cited By :8\n\nExport Date: 3 June 2021","page":"26-32","title":"Economic burden of stroke in a rural South African setting","type":"article-journal","volume":"3"},"uris":["http://www.mendeley.com/documents/?uuid=26264d7b-406a-44d3-a462-ddc0aebb569e"]}],"mendeley":{"formattedCitation":"&lt;sup&gt;24&lt;/sup&gt;","plainTextFormattedCitation":"24","previouslyFormattedCitation":"&lt;sup&gt;24&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24</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(2016)</w:t>
            </w:r>
          </w:p>
        </w:tc>
        <w:tc>
          <w:tcPr>
            <w:tcW w:w="1843" w:type="dxa"/>
            <w:vMerge w:val="restart"/>
            <w:shd w:val="clear" w:color="auto" w:fill="auto"/>
            <w:tcMar>
              <w:left w:w="57" w:type="dxa"/>
              <w:right w:w="57" w:type="dxa"/>
            </w:tcMar>
            <w:hideMark/>
          </w:tcPr>
          <w:p w14:paraId="3F5AD3E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cost of stroke care in rural South Africa</w:t>
            </w:r>
          </w:p>
        </w:tc>
        <w:tc>
          <w:tcPr>
            <w:tcW w:w="1299" w:type="dxa"/>
            <w:vMerge w:val="restart"/>
            <w:shd w:val="clear" w:color="auto" w:fill="auto"/>
            <w:tcMar>
              <w:left w:w="57" w:type="dxa"/>
              <w:right w:w="57" w:type="dxa"/>
            </w:tcMar>
            <w:hideMark/>
          </w:tcPr>
          <w:p w14:paraId="1A7F87D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Patients on a hospital-based stroke register; hospital</w:t>
            </w:r>
          </w:p>
        </w:tc>
        <w:tc>
          <w:tcPr>
            <w:tcW w:w="1017" w:type="dxa"/>
            <w:vMerge w:val="restart"/>
            <w:shd w:val="clear" w:color="auto" w:fill="auto"/>
            <w:tcMar>
              <w:left w:w="57" w:type="dxa"/>
              <w:right w:w="57" w:type="dxa"/>
            </w:tcMar>
            <w:hideMark/>
          </w:tcPr>
          <w:p w14:paraId="298B8E9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vMerge w:val="restart"/>
            <w:shd w:val="clear" w:color="auto" w:fill="auto"/>
            <w:tcMar>
              <w:left w:w="57" w:type="dxa"/>
              <w:right w:w="57" w:type="dxa"/>
            </w:tcMar>
            <w:hideMark/>
          </w:tcPr>
          <w:p w14:paraId="69EADD6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 approach</w:t>
            </w:r>
          </w:p>
        </w:tc>
        <w:tc>
          <w:tcPr>
            <w:tcW w:w="1011" w:type="dxa"/>
            <w:vMerge w:val="restart"/>
            <w:shd w:val="clear" w:color="auto" w:fill="auto"/>
            <w:tcMar>
              <w:left w:w="57" w:type="dxa"/>
              <w:right w:w="57" w:type="dxa"/>
            </w:tcMar>
            <w:hideMark/>
          </w:tcPr>
          <w:p w14:paraId="723C6D0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132F1FE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Diagnostic tests for stroke: $34 per event</w:t>
            </w:r>
          </w:p>
        </w:tc>
        <w:tc>
          <w:tcPr>
            <w:tcW w:w="1051" w:type="dxa"/>
            <w:shd w:val="clear" w:color="auto" w:fill="auto"/>
            <w:tcMar>
              <w:left w:w="57" w:type="dxa"/>
              <w:right w:w="57" w:type="dxa"/>
            </w:tcMar>
            <w:hideMark/>
          </w:tcPr>
          <w:p w14:paraId="11E8891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20E0D1F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BE4901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A783FC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234BB7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C07D6B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3C3E25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CCF43F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66EB66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057F07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8B20DA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C1BCF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507C3E81"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Blood sugar, electrocardiogram, and CT Scan</w:t>
            </w:r>
          </w:p>
        </w:tc>
      </w:tr>
      <w:tr w:rsidR="00406B90" w:rsidRPr="00FA697F" w14:paraId="34F87ED7" w14:textId="77777777" w:rsidTr="00DA0AFD">
        <w:trPr>
          <w:trHeight w:val="413"/>
        </w:trPr>
        <w:tc>
          <w:tcPr>
            <w:tcW w:w="431" w:type="dxa"/>
            <w:vMerge/>
            <w:tcMar>
              <w:left w:w="57" w:type="dxa"/>
              <w:right w:w="57" w:type="dxa"/>
            </w:tcMar>
            <w:vAlign w:val="center"/>
            <w:hideMark/>
          </w:tcPr>
          <w:p w14:paraId="6ABFC66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5A2B08E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400060B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698A9F5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0610F26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532F382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558ACE0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490E6E1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Hospitalisation for stroke: $1,706 per event</w:t>
            </w:r>
          </w:p>
        </w:tc>
        <w:tc>
          <w:tcPr>
            <w:tcW w:w="1051" w:type="dxa"/>
            <w:shd w:val="clear" w:color="auto" w:fill="auto"/>
            <w:tcMar>
              <w:left w:w="57" w:type="dxa"/>
              <w:right w:w="57" w:type="dxa"/>
            </w:tcMar>
            <w:hideMark/>
          </w:tcPr>
          <w:p w14:paraId="49A1F46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652A901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CE615A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D8641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585368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288AC6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04AFEC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81DE35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DA6D3B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415419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E8302F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315C34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24F06251"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4791B038" w14:textId="77777777" w:rsidTr="00DA0AFD">
        <w:trPr>
          <w:trHeight w:val="405"/>
        </w:trPr>
        <w:tc>
          <w:tcPr>
            <w:tcW w:w="431" w:type="dxa"/>
            <w:vMerge/>
            <w:tcMar>
              <w:left w:w="57" w:type="dxa"/>
              <w:right w:w="57" w:type="dxa"/>
            </w:tcMar>
            <w:vAlign w:val="center"/>
            <w:hideMark/>
          </w:tcPr>
          <w:p w14:paraId="3C26C78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36C1ACE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3F132DD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5DD1E6E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5894BB7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5CE85B8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590C5D0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4A5AA41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and management of stroke: $204 per event</w:t>
            </w:r>
          </w:p>
        </w:tc>
        <w:tc>
          <w:tcPr>
            <w:tcW w:w="1051" w:type="dxa"/>
            <w:shd w:val="clear" w:color="auto" w:fill="auto"/>
            <w:tcMar>
              <w:left w:w="57" w:type="dxa"/>
              <w:right w:w="57" w:type="dxa"/>
            </w:tcMar>
            <w:hideMark/>
          </w:tcPr>
          <w:p w14:paraId="12562DE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0F2B89B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44F6EC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6588ED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E6CDF2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1BA414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166ED4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4AA78C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AE7D03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A2BC61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C5B40B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3CE769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42A8249F"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5D22D7B2" w14:textId="77777777" w:rsidTr="00DA0AFD">
        <w:trPr>
          <w:trHeight w:val="1686"/>
        </w:trPr>
        <w:tc>
          <w:tcPr>
            <w:tcW w:w="431" w:type="dxa"/>
            <w:shd w:val="clear" w:color="auto" w:fill="auto"/>
            <w:tcMar>
              <w:left w:w="57" w:type="dxa"/>
              <w:right w:w="57" w:type="dxa"/>
            </w:tcMar>
            <w:hideMark/>
          </w:tcPr>
          <w:p w14:paraId="3B22209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25</w:t>
            </w:r>
          </w:p>
        </w:tc>
        <w:tc>
          <w:tcPr>
            <w:tcW w:w="982" w:type="dxa"/>
            <w:shd w:val="clear" w:color="auto" w:fill="auto"/>
            <w:tcMar>
              <w:left w:w="57" w:type="dxa"/>
              <w:right w:w="57" w:type="dxa"/>
            </w:tcMar>
            <w:hideMark/>
          </w:tcPr>
          <w:p w14:paraId="274A4A2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Manyema</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{"citationItems":[{"id":"ITEM-1","itemData":{"DOI":"10.1186/s12889-016-3085-y","ISSN":"1471-2458 (Electronic)","PMID":"27240422","abstract":"BACKGROUND: Stroke poses a growing human and economic burden in South Africa. Excess sugar consumption, especially from sugar-sweetened beverages (SSBs), has been associated with increased obesity and stroke risk. Research shows that price increases for SSBs can influence consumption and modelling evidence suggests that taxing SSBs has the potential to reduce obesity and related diseases. This study estimates the potential impact of an SSB tax on stroke-related mortality, costs and health-adjusted life years in South Africa. METHODS: A proportional multi-state life table-based model was constructed in Microsoft Excel (2010). We used consumption data from the 2012 South African National Health and Nutrition Examination Survey, previously published own and cross price elasticities of SSBs and energy balance equations to estimate changes in daily energy intake and BMI arising from increased SSB prices. Stroke relative risk, and prevalent years lived with disability estimates from the Global Burden of Disease Study and modelled disease epidemiology estimates from a previous study, were used to estimate the effect of the BMI changes on the burden of stroke. RESULTS: Our model predicts that an SSB tax may avert approximately 72 000 deaths, 550 000 stroke-related health-adjusted life years and over ZAR5 billion, (USD400 million) in health care costs over 20 years (USD296-576 million). Over 20 years, the number of incident stroke cases may be reduced by approximately 85 000 and prevalent cases by about 13 000. CONCLUSIONS: Fiscal policy has the potential, as part of a multi-faceted approach, to mitigate the growing burden of stroke in South Africa and contribute to the achievement of the target set by the Department of Health to reduce relative premature mortality (less than 60 years) from non-communicable diseases by the year 2020.","author":[{"dropping-particle":"","family":"Manyema","given":"Mercy","non-dropping-particle":"","parse-names":false,"suffix":""},{"dropping-particle":"","family":"Veerman","given":"Lennert J","non-dropping-particle":"","parse-names":false,"suffix":""},{"dropping-particle":"","family":"Tugendhaft","given":"Aviva","non-dropping-particle":"","parse-names":false,"suffix":""},{"dropping-particle":"","family":"Labadarios","given":"Demetre","non-dropping-particle":"","parse-names":false,"suffix":""},{"dropping-particle":"","family":"Hofman","given":"Karen J","non-dropping-particle":"","parse-names":false,"suffix":""}],"container-title":"BMC public health","id":"ITEM-1","issued":{"date-parts":[["2016","5"]]},"language":"eng","page":"405","title":"Modelling the potential impact of a sugar-sweetened beverage tax on stroke mortality, costs and health-adjusted life years in South Africa.","type":"article-journal","volume":"16"},"uris":["http://www.mendeley.com/documents/?uuid=7fef5182-fe27-4523-b639-b83ca371e7a9"]}],"mendeley":{"formattedCitation":"&lt;sup&gt;25&lt;/sup&gt;","plainTextFormattedCitation":"25","previouslyFormattedCitation":"&lt;sup&gt;25&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25</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(2016)</w:t>
            </w:r>
          </w:p>
        </w:tc>
        <w:tc>
          <w:tcPr>
            <w:tcW w:w="1843" w:type="dxa"/>
            <w:shd w:val="clear" w:color="auto" w:fill="auto"/>
            <w:tcMar>
              <w:left w:w="57" w:type="dxa"/>
              <w:right w:w="57" w:type="dxa"/>
            </w:tcMar>
            <w:hideMark/>
          </w:tcPr>
          <w:p w14:paraId="680BA49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impact of a sugar-sweetened beverage tax on the burden of stroke</w:t>
            </w:r>
          </w:p>
        </w:tc>
        <w:tc>
          <w:tcPr>
            <w:tcW w:w="1299" w:type="dxa"/>
            <w:shd w:val="clear" w:color="auto" w:fill="auto"/>
            <w:tcMar>
              <w:left w:w="57" w:type="dxa"/>
              <w:right w:w="57" w:type="dxa"/>
            </w:tcMar>
            <w:hideMark/>
          </w:tcPr>
          <w:p w14:paraId="21B525D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years); PHC &amp; hospital</w:t>
            </w:r>
          </w:p>
        </w:tc>
        <w:tc>
          <w:tcPr>
            <w:tcW w:w="1017" w:type="dxa"/>
            <w:shd w:val="clear" w:color="auto" w:fill="auto"/>
            <w:tcMar>
              <w:left w:w="57" w:type="dxa"/>
              <w:right w:w="57" w:type="dxa"/>
            </w:tcMar>
            <w:hideMark/>
          </w:tcPr>
          <w:p w14:paraId="3D78A64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 &amp; public)</w:t>
            </w:r>
          </w:p>
        </w:tc>
        <w:tc>
          <w:tcPr>
            <w:tcW w:w="1130" w:type="dxa"/>
            <w:shd w:val="clear" w:color="auto" w:fill="auto"/>
            <w:tcMar>
              <w:left w:w="57" w:type="dxa"/>
              <w:right w:w="57" w:type="dxa"/>
            </w:tcMar>
            <w:hideMark/>
          </w:tcPr>
          <w:p w14:paraId="588FEC7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top-down approach</w:t>
            </w:r>
          </w:p>
        </w:tc>
        <w:tc>
          <w:tcPr>
            <w:tcW w:w="1011" w:type="dxa"/>
            <w:shd w:val="clear" w:color="auto" w:fill="auto"/>
            <w:tcMar>
              <w:left w:w="57" w:type="dxa"/>
              <w:right w:w="57" w:type="dxa"/>
            </w:tcMar>
            <w:hideMark/>
          </w:tcPr>
          <w:p w14:paraId="246EDEE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4C69352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Stroke-related costs</w:t>
            </w:r>
            <w:r w:rsidRPr="00FA697F">
              <w:rPr>
                <w:rFonts w:ascii="Times New Roman" w:eastAsia="Times New Roman" w:hAnsi="Times New Roman" w:cs="Times New Roman"/>
                <w:sz w:val="16"/>
                <w:szCs w:val="16"/>
                <w:lang w:eastAsia="en-GB"/>
              </w:rPr>
              <w:br/>
              <w:t>Age 15-24: $3,052</w:t>
            </w:r>
            <w:r w:rsidRPr="00FA697F">
              <w:rPr>
                <w:rFonts w:ascii="Times New Roman" w:eastAsia="Times New Roman" w:hAnsi="Times New Roman" w:cs="Times New Roman"/>
                <w:sz w:val="16"/>
                <w:szCs w:val="16"/>
                <w:lang w:eastAsia="en-GB"/>
              </w:rPr>
              <w:br/>
              <w:t>Age 25-34: $1,775</w:t>
            </w:r>
            <w:r w:rsidRPr="00FA697F">
              <w:rPr>
                <w:rFonts w:ascii="Times New Roman" w:eastAsia="Times New Roman" w:hAnsi="Times New Roman" w:cs="Times New Roman"/>
                <w:sz w:val="16"/>
                <w:szCs w:val="16"/>
                <w:lang w:eastAsia="en-GB"/>
              </w:rPr>
              <w:br/>
              <w:t>Age 35-44: $2,582</w:t>
            </w:r>
            <w:r w:rsidRPr="00FA697F">
              <w:rPr>
                <w:rFonts w:ascii="Times New Roman" w:eastAsia="Times New Roman" w:hAnsi="Times New Roman" w:cs="Times New Roman"/>
                <w:sz w:val="16"/>
                <w:szCs w:val="16"/>
                <w:lang w:eastAsia="en-GB"/>
              </w:rPr>
              <w:br/>
              <w:t>Age 45-54: $3,307</w:t>
            </w:r>
            <w:r w:rsidRPr="00FA697F">
              <w:rPr>
                <w:rFonts w:ascii="Times New Roman" w:eastAsia="Times New Roman" w:hAnsi="Times New Roman" w:cs="Times New Roman"/>
                <w:sz w:val="16"/>
                <w:szCs w:val="16"/>
                <w:lang w:eastAsia="en-GB"/>
              </w:rPr>
              <w:br/>
              <w:t>Age 55-64: $3,521</w:t>
            </w:r>
            <w:r w:rsidRPr="00FA697F">
              <w:rPr>
                <w:rFonts w:ascii="Times New Roman" w:eastAsia="Times New Roman" w:hAnsi="Times New Roman" w:cs="Times New Roman"/>
                <w:sz w:val="16"/>
                <w:szCs w:val="16"/>
                <w:lang w:eastAsia="en-GB"/>
              </w:rPr>
              <w:br/>
              <w:t>Age 65-84+: $3,434</w:t>
            </w:r>
          </w:p>
          <w:p w14:paraId="7B29FE9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p>
        </w:tc>
        <w:tc>
          <w:tcPr>
            <w:tcW w:w="1051" w:type="dxa"/>
            <w:shd w:val="clear" w:color="auto" w:fill="auto"/>
            <w:tcMar>
              <w:left w:w="57" w:type="dxa"/>
              <w:right w:w="57" w:type="dxa"/>
            </w:tcMar>
            <w:hideMark/>
          </w:tcPr>
          <w:p w14:paraId="1518379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5D18EB1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FFF2E9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BAB25E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FDA00F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963A26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E5921E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C7588E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4111F4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FE9538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53694D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9F8254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6FBA6789"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N/S</w:t>
            </w:r>
          </w:p>
        </w:tc>
      </w:tr>
      <w:tr w:rsidR="00406B90" w:rsidRPr="00FA697F" w14:paraId="5F285673" w14:textId="77777777" w:rsidTr="00DA0AFD">
        <w:trPr>
          <w:trHeight w:val="1546"/>
        </w:trPr>
        <w:tc>
          <w:tcPr>
            <w:tcW w:w="431" w:type="dxa"/>
            <w:shd w:val="clear" w:color="auto" w:fill="auto"/>
            <w:tcMar>
              <w:left w:w="57" w:type="dxa"/>
              <w:right w:w="57" w:type="dxa"/>
            </w:tcMar>
            <w:hideMark/>
          </w:tcPr>
          <w:p w14:paraId="1CB9BB4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8</w:t>
            </w:r>
          </w:p>
        </w:tc>
        <w:tc>
          <w:tcPr>
            <w:tcW w:w="982" w:type="dxa"/>
            <w:shd w:val="clear" w:color="auto" w:fill="auto"/>
            <w:tcMar>
              <w:left w:w="57" w:type="dxa"/>
              <w:right w:w="57" w:type="dxa"/>
            </w:tcMar>
            <w:hideMark/>
          </w:tcPr>
          <w:p w14:paraId="1C52770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Basu</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{"citationItems":[{"id":"ITEM-1","itemData":{"DOI":"10.1016/S2214-109X(18)30450-9","ISSN":"2214-109X (Electronic)","PMID":"30528531","abstract":"BACKGROUND: Cardiovascular diseases and their risk factors-particularly hypertension, dyslipidaemia, and diabetes-have become an increasing concern for middle-income countries. Using newly available, nationally representative data, we assessed how cardiovascular risk factors are distributed across subpopulations within South Africa and identified which cardiovascular treatments should be prioritised. METHODS: We created a demographically representative simulated population for South Africa and used data from 17 743 respondents aged 15 years or older of the 2012 South African National Health and Nutrition Examination Survey (SANHANES) to assign information on cardiovascular risk factors to each member of the simulated population. We created a microsimulation model to estimate the health and economic implications of two globally recognised treatment recommendations: WHO's package of essential non-communicable disease interventions (PEN) and South Africa's Primary Care 101 (SA PC 101) guidelines. The primary outcome was total disability-adjusted life-years (DALYs) averted through treatment of all cardiovascular disease or microvascular type 2 diabetes complications per 1000 population. We compared outcomes at the aspirational level of achieving access to treatment among 70% of the population. FINDINGS: Based on the SANHANES data, South Africans had a high prevalence of hypertension (24·8%), dyslipidaemia (17·5%), and diabetes (15·3%). Prevalence was disproportionately high and treatment low among male, black, and poor populations. Our simulated population experienced a burden of 40·0 DALYs (95% CI 29·5-52·0) per 1000 population per year from cardiovascular disease or type 2 diabetes complications at current treatment levels, which lowered to 32·9 DALYs (24·4-44·7) under WHO PEN implementation and to 32·5 (24·4-44·8) under SA PC 101 implementation. Under both guidelines, there were increases in blood pressure treatment (4·2 percentage points under WHO PEN vs 12·6 percentage points under SA PC 101), lipid treatment (16·0 vs 14·9), and glucose control medications (1·2 vs 0·6). The incremental cost-effectiveness of implementing SA PC 101 over current treatment would be a saving of US$24 902 (95% CI 14 666-62 579) per DALY averted compared with a saving of $17 587 (1840-42 589) under WHO PEN guidelines. INTERPRETATION: Cardiovascular risk factors are common and disproportionate among disadvantaged populations in South Africa. Treatment with blood pressure agent…","author":[{"dropping-particle":"","family":"Basu","given":"Sanjay","non-dropping-particle":"","parse-names":false,"suffix":""},{"dropping-particle":"","family":"Wagner","given":"Ryan G","non-dropping-particle":"","parse-names":false,"suffix":""},{"dropping-particle":"","family":"Sewpaul","given":"Ronel","non-dropping-particle":"","parse-names":false,"suffix":""},{"dropping-particle":"","family":"Reddy","given":"Priscilla","non-dropping-particle":"","parse-names":false,"suffix":""},{"dropping-particle":"","family":"Davies","given":"Justine","non-dropping-particle":"","parse-names":false,"suffix":""}],"container-title":"The Lancet. Global health","id":"ITEM-1","issue":"2","issued":{"date-parts":[["2019","2"]]},"language":"eng","page":"e270-e280","publisher-place":"England","title":"Implications of scaling up cardiovascular disease treatment in South Africa: a microsimulation and cost-effectiveness analysis.","type":"article-journal","volume":"7"},"uris":["http://www.mendeley.com/documents/?uuid=d18f6456-3b63-4234-b66d-4aecb0aad094"]}],"mendeley":{"formattedCitation":"&lt;sup&gt;8&lt;/sup&gt;","plainTextFormattedCitation":"8","previouslyFormattedCitation":"&lt;sup&gt;8&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8</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22ADE28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economic implications of treatment scale-up under two alternative guidelines</w:t>
            </w:r>
          </w:p>
        </w:tc>
        <w:tc>
          <w:tcPr>
            <w:tcW w:w="1299" w:type="dxa"/>
            <w:shd w:val="clear" w:color="auto" w:fill="auto"/>
            <w:tcMar>
              <w:left w:w="57" w:type="dxa"/>
              <w:right w:w="57" w:type="dxa"/>
            </w:tcMar>
            <w:hideMark/>
          </w:tcPr>
          <w:p w14:paraId="03D8F0E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with data available on cardiovascular risk factors in all provinces; PHC &amp; hospital</w:t>
            </w:r>
          </w:p>
        </w:tc>
        <w:tc>
          <w:tcPr>
            <w:tcW w:w="1017" w:type="dxa"/>
            <w:shd w:val="clear" w:color="auto" w:fill="auto"/>
            <w:tcMar>
              <w:left w:w="57" w:type="dxa"/>
              <w:right w:w="57" w:type="dxa"/>
            </w:tcMar>
            <w:hideMark/>
          </w:tcPr>
          <w:p w14:paraId="349D76F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17E91D4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 approach</w:t>
            </w:r>
          </w:p>
        </w:tc>
        <w:tc>
          <w:tcPr>
            <w:tcW w:w="1011" w:type="dxa"/>
            <w:shd w:val="clear" w:color="auto" w:fill="auto"/>
            <w:tcMar>
              <w:left w:w="57" w:type="dxa"/>
              <w:right w:w="57" w:type="dxa"/>
            </w:tcMar>
            <w:hideMark/>
          </w:tcPr>
          <w:p w14:paraId="6513D2F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44919989" w14:textId="21153B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stroke</w:t>
            </w:r>
            <w:r w:rsidRPr="00FA697F">
              <w:rPr>
                <w:rFonts w:ascii="Times New Roman" w:eastAsia="Times New Roman" w:hAnsi="Times New Roman" w:cs="Times New Roman"/>
                <w:sz w:val="16"/>
                <w:szCs w:val="16"/>
                <w:lang w:eastAsia="en-GB"/>
              </w:rPr>
              <w:br/>
              <w:t>Hospitalisation &amp; follow-up visits: $2,076 ($2,008 once off)</w:t>
            </w:r>
            <w:r w:rsidRPr="00FA697F">
              <w:rPr>
                <w:rFonts w:ascii="Times New Roman" w:eastAsia="Times New Roman" w:hAnsi="Times New Roman" w:cs="Times New Roman"/>
                <w:sz w:val="16"/>
                <w:szCs w:val="16"/>
                <w:lang w:eastAsia="en-GB"/>
              </w:rPr>
              <w:br/>
              <w:t>Aspirin: $0</w:t>
            </w:r>
            <w:r w:rsidR="00BF6EDC"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91</w:t>
            </w:r>
            <w:r w:rsidRPr="00FA697F">
              <w:rPr>
                <w:rFonts w:ascii="Times New Roman" w:eastAsia="Times New Roman" w:hAnsi="Times New Roman" w:cs="Times New Roman"/>
                <w:sz w:val="16"/>
                <w:szCs w:val="16"/>
                <w:lang w:eastAsia="en-GB"/>
              </w:rPr>
              <w:br/>
              <w:t>Statin: $31</w:t>
            </w:r>
          </w:p>
          <w:p w14:paraId="20BBF902" w14:textId="7169DA58"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664C8C34" w14:textId="77777777" w:rsidR="00406B90" w:rsidRPr="00FA697F" w:rsidRDefault="00406B90" w:rsidP="00406B90">
            <w:pPr>
              <w:spacing w:after="0" w:line="240" w:lineRule="auto"/>
              <w:rPr>
                <w:rFonts w:ascii="Times New Roman" w:eastAsia="Times New Roman" w:hAnsi="Times New Roman" w:cs="Times New Roman"/>
                <w:i/>
                <w:iCs/>
                <w:sz w:val="16"/>
                <w:szCs w:val="16"/>
                <w:lang w:eastAsia="en-GB"/>
              </w:rPr>
            </w:pPr>
            <w:r w:rsidRPr="00FA697F">
              <w:rPr>
                <w:rFonts w:ascii="Times New Roman" w:eastAsia="Times New Roman" w:hAnsi="Times New Roman" w:cs="Times New Roman"/>
                <w:i/>
                <w:iCs/>
                <w:sz w:val="16"/>
                <w:szCs w:val="16"/>
                <w:lang w:eastAsia="en-GB"/>
              </w:rPr>
              <w:t>N/A</w:t>
            </w:r>
          </w:p>
        </w:tc>
        <w:tc>
          <w:tcPr>
            <w:tcW w:w="260" w:type="dxa"/>
            <w:shd w:val="clear" w:color="auto" w:fill="auto"/>
            <w:tcMar>
              <w:left w:w="57" w:type="dxa"/>
              <w:right w:w="57" w:type="dxa"/>
            </w:tcMar>
            <w:hideMark/>
          </w:tcPr>
          <w:p w14:paraId="21AB95DD" w14:textId="77777777" w:rsidR="00406B90" w:rsidRPr="00FA697F" w:rsidRDefault="00406B90" w:rsidP="00406B90">
            <w:pPr>
              <w:spacing w:after="0" w:line="240" w:lineRule="auto"/>
              <w:rPr>
                <w:rFonts w:ascii="Times New Roman" w:eastAsia="Times New Roman" w:hAnsi="Times New Roman" w:cs="Times New Roman"/>
                <w:i/>
                <w:iCs/>
                <w:sz w:val="16"/>
                <w:szCs w:val="16"/>
                <w:lang w:eastAsia="en-GB"/>
              </w:rPr>
            </w:pPr>
          </w:p>
        </w:tc>
        <w:tc>
          <w:tcPr>
            <w:tcW w:w="294" w:type="dxa"/>
            <w:shd w:val="clear" w:color="auto" w:fill="auto"/>
            <w:tcMar>
              <w:left w:w="57" w:type="dxa"/>
              <w:right w:w="57" w:type="dxa"/>
            </w:tcMar>
            <w:hideMark/>
          </w:tcPr>
          <w:p w14:paraId="4EA0F32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F9C53D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B4A306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830E26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66B29D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83015E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7C657F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F28F53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1544D9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A30A6E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078046CA"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36429656" w14:textId="77777777" w:rsidTr="00DA0AFD">
        <w:trPr>
          <w:trHeight w:val="1152"/>
        </w:trPr>
        <w:tc>
          <w:tcPr>
            <w:tcW w:w="431" w:type="dxa"/>
            <w:shd w:val="clear" w:color="auto" w:fill="auto"/>
            <w:tcMar>
              <w:left w:w="57" w:type="dxa"/>
              <w:right w:w="57" w:type="dxa"/>
            </w:tcMar>
            <w:hideMark/>
          </w:tcPr>
          <w:p w14:paraId="298953E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11</w:t>
            </w:r>
          </w:p>
        </w:tc>
        <w:tc>
          <w:tcPr>
            <w:tcW w:w="982" w:type="dxa"/>
            <w:shd w:val="clear" w:color="auto" w:fill="auto"/>
            <w:tcMar>
              <w:left w:w="57" w:type="dxa"/>
              <w:right w:w="57" w:type="dxa"/>
            </w:tcMar>
            <w:hideMark/>
          </w:tcPr>
          <w:p w14:paraId="1465258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Erzse</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{"citationItems":[{"id":"ITEM-1","itemData":{"DOI":"10.1080/16549716.2019.1636611","ISSN":"16549880","PMID":"31282315","abstract":"Background: Type 2 diabetes mellitus (T2DM) is known to require continuous clinical care and management that consumes significant health-care resources. These costs are not well understood, particularly in low- and middle-income countries. Objective: The aim of this study was to estimate the direct medical costs associated with T2DM in the South African public health sector and to project an estimate of the future direct costs of T2DM by 2030. Methods: A cost of illness study was conducted to estimate the direct medical costs of T2DM in South Africa in 2018 and to make projections for potential costs in 2030. Costs were estimated for diagnosis and management of T2DM, and related complications. Analyses were implemented in Microsoft Excel, with sensitivity analysis conducted on particular parameters. Results: In 2018, public sector costs of diagnosed T2DM patients were approximately ZAR 2.7 bn and ZAR 21.8 bn if both diagnosed and undiagnosed patients are considered. In real terms, the 2030 cost of all T2DM cases is estimated to be ZAR 35.1 bn. Approximately 51% of these estimated costs for 2030 are attributable to the management of T2DM, and 49% are attributable to complications. Conclusion: T2DM imposes a significant financial burden on the public healthcare system in South Africa. Treatment of all prevalent cases would incur a cost equivalent to approximately 12% of the total national health budget in 2018. With rising prevalence, direct costs will grow if current care regimes are maintained and case-finding improved. Increased financial resources are necessary in order to deliver effective services to people with T2DM.","author":[{"dropping-particle":"","family":"Erzse","given":"Agnes","non-dropping-particle":"","parse-names":false,"suffix":""},{"dropping-particle":"","family":"Stacey","given":"Nicholas","non-dropping-particle":"","parse-names":false,"suffix":""},{"dropping-particle":"","family":"Chola","given":"Lumbwe","non-dropping-particle":"","parse-names":false,"suffix":""},{"dropping-particle":"","family":"Tugendhaft","given":"Aviva","non-dropping-particle":"","parse-names":false,"suffix":""},{"dropping-particle":"","family":"Freeman","given":"Melvyn","non-dropping-particle":"","parse-names":false,"suffix":""},{"dropping-particle":"","family":"Hofman","given":"Karen","non-dropping-particle":"","parse-names":false,"suffix":""}],"container-title":"Global Health Action","id":"ITEM-1","issue":"1","issued":{"date-parts":[["2019"]]},"page":"1-9","title":"The direct medical cost of type 2 diabetes mellitus in South Africa: a cost of illness study","type":"article-journal","volume":"12"},"uris":["http://www.mendeley.com/documents/?uuid=c3d8c560-9c19-4b84-9be5-8bfe99d443ce"]}],"mendeley":{"formattedCitation":"&lt;sup&gt;11&lt;/sup&gt;","plainTextFormattedCitation":"11","previouslyFormattedCitation":"&lt;sup&gt;11&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11</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075E817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direct medical costs associated with T2DM</w:t>
            </w:r>
          </w:p>
        </w:tc>
        <w:tc>
          <w:tcPr>
            <w:tcW w:w="1299" w:type="dxa"/>
            <w:shd w:val="clear" w:color="auto" w:fill="auto"/>
            <w:tcMar>
              <w:left w:w="57" w:type="dxa"/>
              <w:right w:w="57" w:type="dxa"/>
            </w:tcMar>
            <w:hideMark/>
          </w:tcPr>
          <w:p w14:paraId="4F9A8E7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hospital</w:t>
            </w:r>
          </w:p>
        </w:tc>
        <w:tc>
          <w:tcPr>
            <w:tcW w:w="1017" w:type="dxa"/>
            <w:shd w:val="clear" w:color="auto" w:fill="auto"/>
            <w:tcMar>
              <w:left w:w="57" w:type="dxa"/>
              <w:right w:w="57" w:type="dxa"/>
            </w:tcMar>
            <w:hideMark/>
          </w:tcPr>
          <w:p w14:paraId="7759822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3FE371E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 approach</w:t>
            </w:r>
          </w:p>
        </w:tc>
        <w:tc>
          <w:tcPr>
            <w:tcW w:w="1011" w:type="dxa"/>
            <w:shd w:val="clear" w:color="auto" w:fill="auto"/>
            <w:tcMar>
              <w:left w:w="57" w:type="dxa"/>
              <w:right w:w="57" w:type="dxa"/>
            </w:tcMar>
            <w:hideMark/>
          </w:tcPr>
          <w:p w14:paraId="1395937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6C463EC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stroke: $2,673</w:t>
            </w:r>
          </w:p>
          <w:p w14:paraId="5DE415C3" w14:textId="2EA8450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1223CB3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0237834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6B3F82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1440DA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ACD42A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F819E0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A97A12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60EE4F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471776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FFE3DF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79C62F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58D214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524182C5"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Facility fees</w:t>
            </w:r>
          </w:p>
        </w:tc>
      </w:tr>
      <w:tr w:rsidR="00406B90" w:rsidRPr="00FA697F" w14:paraId="0231AC22" w14:textId="77777777" w:rsidTr="00DA0AFD">
        <w:trPr>
          <w:trHeight w:val="1152"/>
        </w:trPr>
        <w:tc>
          <w:tcPr>
            <w:tcW w:w="431" w:type="dxa"/>
            <w:shd w:val="clear" w:color="auto" w:fill="auto"/>
            <w:tcMar>
              <w:left w:w="57" w:type="dxa"/>
              <w:right w:w="57" w:type="dxa"/>
            </w:tcMar>
            <w:hideMark/>
          </w:tcPr>
          <w:p w14:paraId="338E21C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26</w:t>
            </w:r>
          </w:p>
        </w:tc>
        <w:tc>
          <w:tcPr>
            <w:tcW w:w="982" w:type="dxa"/>
            <w:shd w:val="clear" w:color="auto" w:fill="auto"/>
            <w:tcMar>
              <w:left w:w="57" w:type="dxa"/>
              <w:right w:w="57" w:type="dxa"/>
            </w:tcMar>
            <w:hideMark/>
          </w:tcPr>
          <w:p w14:paraId="6EB1D20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Louw</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{"citationItems":[{"id":"ITEM-1","itemData":{"DOI":"10.1111/jep.13287","ISSN":"13652753","PMID":"31503395","abstract":"Objective: This paper explores the economic value of rehabilitation to South Africa, using a costed example of cerebrovascular accident (CVA) (stroke) rehabilitation. Design: We report an economic modelling approach using a worked cost-effectiveness to validate the argument for the cost-saving benefits of stroke rehabilitation. Setting: South African health care, employing analysis of available secondary data from South African research and government reports. Participants: In line with international trends in stroke epidemiology, we focused on people who were employed prior to having their stroke, with return-to-work as the desired rehabilitation outcome. Interventions: Not applicable. Main outcome measure(s): We used information on stroke rehabilitation and secondary data derived from grey and published literature, to determine if early stroke rehabilitation represents value for money from the government perspective. For our worked example, we used return-to-work rates, intervention costs, and the cost of rehabilitation services to estimate cost-savings as a result of an individualized workplace intervention. Results: The cost of delivering the individualized intervention was estimated at R5633/patient. Combining survivor rates, return-to-work rate, and costs of the programme, a work intervention programme could result in a net saving of R133.1 million over 5 years (or about R26.6 per year (discount 3%). Conclusion: The value of rehabilitation should not be considered in terms of cost-effectiveness alone, but also as an investment for the country. A staged, prioritized approach should be considered in future South African national health budget.","author":[{"dropping-particle":"","family":"Louw","given":"Quinette","non-dropping-particle":"","parse-names":false,"suffix":""},{"dropping-particle":"","family":"Twizeyemariya","given":"Asterie","non-dropping-particle":"","parse-names":false,"suffix":""},{"dropping-particle":"","family":"Grimmer","given":"Karen","non-dropping-particle":"","parse-names":false,"suffix":""},{"dropping-particle":"","family":"Leibbrandt","given":"Dominique","non-dropping-particle":"","parse-names":false,"suffix":""}],"container-title":"Journal of Evaluation in Clinical Practice","id":"ITEM-1","issue":"4","issued":{"date-parts":[["2020"]]},"page":"1181-1187","title":"Estimating the costs and benefits of stroke rehabilitation in South Africa","type":"article-journal","volume":"26"},"uris":["http://www.mendeley.com/documents/?uuid=c9aacf2d-f401-44a5-82c4-91982fb7e477"]}],"mendeley":{"formattedCitation":"&lt;sup&gt;26&lt;/sup&gt;","plainTextFormattedCitation":"26","previouslyFormattedCitation":"&lt;sup&gt;26&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26</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36D2A25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current economic value of stroke rehabilitation</w:t>
            </w:r>
          </w:p>
        </w:tc>
        <w:tc>
          <w:tcPr>
            <w:tcW w:w="1299" w:type="dxa"/>
            <w:shd w:val="clear" w:color="auto" w:fill="auto"/>
            <w:tcMar>
              <w:left w:w="57" w:type="dxa"/>
              <w:right w:w="57" w:type="dxa"/>
            </w:tcMar>
            <w:hideMark/>
          </w:tcPr>
          <w:p w14:paraId="49A9E68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Previously employed stroke survivors in N/S; hospital</w:t>
            </w:r>
          </w:p>
        </w:tc>
        <w:tc>
          <w:tcPr>
            <w:tcW w:w="1017" w:type="dxa"/>
            <w:shd w:val="clear" w:color="auto" w:fill="auto"/>
            <w:tcMar>
              <w:left w:w="57" w:type="dxa"/>
              <w:right w:w="57" w:type="dxa"/>
            </w:tcMar>
            <w:hideMark/>
          </w:tcPr>
          <w:p w14:paraId="15FE82F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5FF426F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 approach</w:t>
            </w:r>
          </w:p>
        </w:tc>
        <w:tc>
          <w:tcPr>
            <w:tcW w:w="1011" w:type="dxa"/>
            <w:shd w:val="clear" w:color="auto" w:fill="auto"/>
            <w:tcMar>
              <w:left w:w="57" w:type="dxa"/>
              <w:right w:w="57" w:type="dxa"/>
            </w:tcMar>
            <w:hideMark/>
          </w:tcPr>
          <w:p w14:paraId="3487794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4C45087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Stroke rehabilitation &amp; re-assessment</w:t>
            </w:r>
            <w:r w:rsidRPr="00FA697F">
              <w:rPr>
                <w:rFonts w:ascii="Times New Roman" w:eastAsia="Times New Roman" w:hAnsi="Times New Roman" w:cs="Times New Roman"/>
                <w:sz w:val="16"/>
                <w:szCs w:val="16"/>
                <w:lang w:eastAsia="en-GB"/>
              </w:rPr>
              <w:br/>
              <w:t>Rehabilitation: $321</w:t>
            </w:r>
            <w:r w:rsidRPr="00FA697F">
              <w:rPr>
                <w:rFonts w:ascii="Times New Roman" w:eastAsia="Times New Roman" w:hAnsi="Times New Roman" w:cs="Times New Roman"/>
                <w:sz w:val="16"/>
                <w:szCs w:val="16"/>
                <w:lang w:eastAsia="en-GB"/>
              </w:rPr>
              <w:br/>
              <w:t>Re-assessment: $46</w:t>
            </w:r>
          </w:p>
          <w:p w14:paraId="0F637FE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p>
        </w:tc>
        <w:tc>
          <w:tcPr>
            <w:tcW w:w="1051" w:type="dxa"/>
            <w:shd w:val="clear" w:color="auto" w:fill="auto"/>
            <w:tcMar>
              <w:left w:w="57" w:type="dxa"/>
              <w:right w:w="57" w:type="dxa"/>
            </w:tcMar>
            <w:hideMark/>
          </w:tcPr>
          <w:p w14:paraId="772D6D6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24CA9E4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C27A4F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7EFC1D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3ED0EF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86488E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3E4D7F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D3DF49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CDD71B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660550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8AB5F7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17B05B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579820DD"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Other</w:t>
            </w:r>
          </w:p>
        </w:tc>
      </w:tr>
      <w:tr w:rsidR="00406B90" w:rsidRPr="00FA697F" w14:paraId="5F00BF65" w14:textId="77777777" w:rsidTr="00DA0AFD">
        <w:trPr>
          <w:trHeight w:val="1152"/>
        </w:trPr>
        <w:tc>
          <w:tcPr>
            <w:tcW w:w="431" w:type="dxa"/>
            <w:shd w:val="clear" w:color="auto" w:fill="auto"/>
            <w:tcMar>
              <w:left w:w="57" w:type="dxa"/>
              <w:right w:w="57" w:type="dxa"/>
            </w:tcMar>
            <w:hideMark/>
          </w:tcPr>
          <w:p w14:paraId="46A552C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w:t>
            </w:r>
          </w:p>
        </w:tc>
        <w:tc>
          <w:tcPr>
            <w:tcW w:w="982" w:type="dxa"/>
            <w:shd w:val="clear" w:color="auto" w:fill="auto"/>
            <w:tcMar>
              <w:left w:w="57" w:type="dxa"/>
              <w:right w:w="57" w:type="dxa"/>
            </w:tcMar>
            <w:hideMark/>
          </w:tcPr>
          <w:p w14:paraId="4F650EC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Lin</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{"citationItems":[{"id":"ITEM-1","itemData":{"DOI":"10.1016/S2214-109X(19)30339-0","ISSN":"2214109X","PMID":"31477544","abstract":"Background: Fewer than 25% of patients with atherosclerotic cardiovascular disease in countries of low and middle income (LMICs) use guideline-directed drugs for secondary prevention. A fixed-dose combination polypill might improve cardiovascular outcomes by increasing prescription rates and adherence, but the cost-effectiveness of this approach is uncertain. Methods: We developed microsimulation models to assess the cost-effectiveness of a polypill containing aspirin, lisinopril, atenolol, and simvastatin for secondary prevention of atherosclerotic cardiovascular disease compared with current care in China, India, Mexico, Nigeria, and South Africa. We modelled baseline use of secondary prevention drugs on the Prospective Urban Rural Epidemiological study. In the intervention arm, we assumed that patients currently prescribed any prevention drug for atherosclerotic cardiovascular disease would receive the polypill instead, which would improve adherence by 32% (from a meta-analysis of two randomised trials in LMICs). We assessed the cost-effectiveness of the polypill at prices in the public sector and on the retail market. Key outcomes were major adverse cardiovascular events (cardiovascular death, non-fatal myocardial infarction, or non-fatal stroke) over a 5-year period and the incremental cost-effectiveness ratio (ICER) from the perspective of the health-care sector and a lifetime analytical horizon. We assumed a cost-effectiveness threshold equal to each country's per capita gross domestic product (GDP) per disability-adjusted life-year (DALY) averted. In sensitivity analyses, we examined the population health effect achievable by increasing the uptake of the polypill in the eligible population. Findings: Among adults aged 30–84 years with established atherosclerotic cardiovascular disease, adoption of the polypill for secondary prevention compared with current care was projected to avert 40–54 major adverse cardiovascular events for every 1000 patients treated for 5 years and produce between three and ten additional serious adverse events. Assuming public-sector pharmaceutical prices, the ICER of the polypill compared with current care over a lifetime analytical horizon was Int$168 (95% UI 55 to 337) per DALY averted in China, $154 (57 to 289) in India, $88 (15 to 193) in Mexico, $364 (147 to 692) in Nigeria, and $64 (cost-saving to 203) in South Africa, amounting to 0·4–6·2% of the per capita GDP in these countries. The ICER of the polypill compare…","author":[{"dropping-particle":"","family":"Lin","given":"John K.","non-dropping-particle":"","parse-names":false,"suffix":""},{"dropping-particle":"","family":"Moran","given":"Andrew E.","non-dropping-particle":"","parse-names":false,"suffix":""},{"dropping-particle":"","family":"Bibbins-Domingo","given":"Kirsten","non-dropping-particle":"","parse-names":false,"suffix":""},{"dropping-particle":"","family":"Falase","given":"Bode","non-dropping-particle":"","parse-names":false,"suffix":""},{"dropping-particle":"","family":"Pedroza Tobias","given":"Andrea","non-dropping-particle":"","parse-names":false,"suffix":""},{"dropping-particle":"","family":"Mandke","given":"Charuta N.","non-dropping-particle":"","parse-names":false,"suffix":""},{"dropping-particle":"","family":"Kazi","given":"Dhruv S.","non-dropping-particle":"","parse-names":false,"suffix":""}],"container-title":"The Lancet Global Health","id":"ITEM-1","issue":"10","issued":{"date-parts":[["2019"]]},"page":"e1346-e1358","publisher":"The Author(s). Published by Elsevier Ltd. This is an Open Access article under the CC BY 4.0 license","title":"Cost-effectiveness of a fixed-dose combination pill for secondary prevention of cardiovascular disease in China, India, Mexico, Nigeria, and South Africa: a modelling study","type":"article-journal","volume":"7"},"uris":["http://www.mendeley.com/documents/?uuid=584247ec-47f8-4f79-8dff-341667f00853"]}],"mendeley":{"formattedCitation":"&lt;sup&gt;20&lt;/sup&gt;","plainTextFormattedCitation":"20","previouslyFormattedCitation":"&lt;sup&gt;20&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20</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72F5F15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Examine the cost-effectiveness and health effect of a polypill compared with current care for secondary prevention of atherosclerotic CVD</w:t>
            </w:r>
          </w:p>
        </w:tc>
        <w:tc>
          <w:tcPr>
            <w:tcW w:w="1299" w:type="dxa"/>
            <w:shd w:val="clear" w:color="auto" w:fill="auto"/>
            <w:tcMar>
              <w:left w:w="57" w:type="dxa"/>
              <w:right w:w="57" w:type="dxa"/>
            </w:tcMar>
            <w:hideMark/>
          </w:tcPr>
          <w:p w14:paraId="603978A4" w14:textId="4BBF49B5"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(30–84) with established atherosclerotic CVD; PHC</w:t>
            </w:r>
          </w:p>
        </w:tc>
        <w:tc>
          <w:tcPr>
            <w:tcW w:w="1017" w:type="dxa"/>
            <w:shd w:val="clear" w:color="auto" w:fill="auto"/>
            <w:tcMar>
              <w:left w:w="57" w:type="dxa"/>
              <w:right w:w="57" w:type="dxa"/>
            </w:tcMar>
            <w:hideMark/>
          </w:tcPr>
          <w:p w14:paraId="17D60F2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0A105AB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 approach</w:t>
            </w:r>
          </w:p>
        </w:tc>
        <w:tc>
          <w:tcPr>
            <w:tcW w:w="1011" w:type="dxa"/>
            <w:shd w:val="clear" w:color="auto" w:fill="auto"/>
            <w:tcMar>
              <w:left w:w="57" w:type="dxa"/>
              <w:right w:w="57" w:type="dxa"/>
            </w:tcMar>
            <w:hideMark/>
          </w:tcPr>
          <w:p w14:paraId="307592A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2988A90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Stroke - outpatient care: $64</w:t>
            </w:r>
            <w:r w:rsidRPr="00FA697F">
              <w:rPr>
                <w:rFonts w:ascii="Times New Roman" w:eastAsia="Times New Roman" w:hAnsi="Times New Roman" w:cs="Times New Roman"/>
                <w:sz w:val="16"/>
                <w:szCs w:val="16"/>
                <w:lang w:eastAsia="en-GB"/>
              </w:rPr>
              <w:br/>
              <w:t>Stroke - admission to hospital: $1,288</w:t>
            </w:r>
          </w:p>
          <w:p w14:paraId="7ACA2605" w14:textId="13FE9900"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382186E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794113C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0A0743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696269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953177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3B81B4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8FC487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174E1D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C098C9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563444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C3E9C2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8F9478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0E39EB33"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Out-patient care </w:t>
            </w:r>
            <w:proofErr w:type="spellStart"/>
            <w:r w:rsidRPr="00FA697F">
              <w:rPr>
                <w:rFonts w:ascii="Times New Roman" w:eastAsia="Times New Roman" w:hAnsi="Times New Roman" w:cs="Times New Roman"/>
                <w:sz w:val="16"/>
                <w:szCs w:val="16"/>
                <w:lang w:eastAsia="en-GB"/>
              </w:rPr>
              <w:t>excl</w:t>
            </w:r>
            <w:proofErr w:type="spellEnd"/>
            <w:r w:rsidRPr="00FA697F">
              <w:rPr>
                <w:rFonts w:ascii="Times New Roman" w:eastAsia="Times New Roman" w:hAnsi="Times New Roman" w:cs="Times New Roman"/>
                <w:sz w:val="16"/>
                <w:szCs w:val="16"/>
                <w:lang w:eastAsia="en-GB"/>
              </w:rPr>
              <w:t xml:space="preserve"> drugs</w:t>
            </w:r>
          </w:p>
        </w:tc>
      </w:tr>
      <w:tr w:rsidR="00406B90" w:rsidRPr="00FA697F" w14:paraId="420D4D6A" w14:textId="77777777" w:rsidTr="00DA0AFD">
        <w:trPr>
          <w:trHeight w:val="312"/>
        </w:trPr>
        <w:tc>
          <w:tcPr>
            <w:tcW w:w="14967" w:type="dxa"/>
            <w:gridSpan w:val="21"/>
            <w:shd w:val="clear" w:color="auto" w:fill="auto"/>
            <w:tcMar>
              <w:left w:w="57" w:type="dxa"/>
              <w:right w:w="57" w:type="dxa"/>
            </w:tcMar>
            <w:hideMark/>
          </w:tcPr>
          <w:p w14:paraId="3ABB648D" w14:textId="77777777" w:rsidR="00406B90" w:rsidRPr="00FA697F" w:rsidRDefault="00406B90" w:rsidP="00406B90">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CVD treatment (coronary heart disease and myocardial infarction)</w:t>
            </w:r>
          </w:p>
        </w:tc>
      </w:tr>
      <w:tr w:rsidR="00406B90" w:rsidRPr="00FA697F" w14:paraId="574400AC" w14:textId="77777777" w:rsidTr="00DA0AFD">
        <w:trPr>
          <w:trHeight w:val="864"/>
        </w:trPr>
        <w:tc>
          <w:tcPr>
            <w:tcW w:w="431" w:type="dxa"/>
            <w:vMerge w:val="restart"/>
            <w:shd w:val="clear" w:color="auto" w:fill="auto"/>
            <w:tcMar>
              <w:left w:w="57" w:type="dxa"/>
              <w:right w:w="57" w:type="dxa"/>
            </w:tcMar>
            <w:hideMark/>
          </w:tcPr>
          <w:p w14:paraId="135FAD5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27</w:t>
            </w:r>
          </w:p>
        </w:tc>
        <w:tc>
          <w:tcPr>
            <w:tcW w:w="982" w:type="dxa"/>
            <w:vMerge w:val="restart"/>
            <w:shd w:val="clear" w:color="auto" w:fill="auto"/>
            <w:tcMar>
              <w:left w:w="57" w:type="dxa"/>
              <w:right w:w="57" w:type="dxa"/>
            </w:tcMar>
            <w:hideMark/>
          </w:tcPr>
          <w:p w14:paraId="588956D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Anderson</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{"citationItems":[{"id":"ITEM-1","itemData":{"ISSN":"10159657","PMID":"11447469","abstract":"Objectives. Heart failure (HF) is a serious, prevalent health condition in industrialised countries where the incidence has been on the increase. The economic repercussions are costly, and therefore cost-effective medication is important in the overall management of the condition. It has been shown that angiotensin-converting enzyme (ACE) inhibitors are clinically effective in the management of HF. Ramipril has been shown to reduce mortality and the probability of hospitalisation in post-myocardial infarction (MI) patients. Internationally, the use of this drug has proved to be cost-effective. The objective of this study was to investigate the economic implications of using ramipril in South Africa for post-MI patients with HF. Methodology. An incremental cost-effectiveness analysis was performed comparing the use of ramipril and placebo in post-MI patients with HF who were receiving standard therapy. The economic impacts included drug acquisition costs and savings on hospitalisation; these were evaluated based on the clinical benefits of using ramipril in terms of life-years gained (LYG). The cost-utility of the use of ramipril was determined to provide an incremental cost per quality-adjusted life-year (QALY). Sensitivity analyses were performed on the major economic variables; discounting of future costs and savings was performed at rates of 0%, 5% and 10%. Results. The use of ramipril results in an incremental cost/LYG of R16 808 and a total incremental cost per patient per month of R107 over 3.8 years. When the quality of life of the patients is taken into account, the cost-utility analysis shows an incremental cost/QALY of R21 382 for those younger than 65 years of age and R18 029 for those older than 65 years. The pharmacoeconomic model was robust and consistent when tested at the extremes of the major variables, including costs, savings and discount rates. Conclusion. The results indicate that it is cost-effective to administer ramipril in addition to standard therapy for post-MI patients with HF in South Africa.","author":[{"dropping-particle":"","family":"Nixon Anderson","given":"A.","non-dropping-particle":"","parse-names":false,"suffix":""},{"dropping-particle":"","family":"Moodley","given":"Indres","non-dropping-particle":"","parse-names":false,"suffix":""},{"dropping-particle":"","family":"Kropman","given":"Keith","non-dropping-particle":"","parse-names":false,"suffix":""}],"container-title":"Cardiovascular Journal of South Africa","id":"ITEM-1","issue":"2","issued":{"date-parts":[["2000"]]},"page":"89-94","title":"A South African pharmaco-economic analysis of the acute infarction ramipril efficacy (AIRE) Study","type":"article-journal","volume":"11"},"uris":["http://www.mendeley.com/documents/?uuid=987186e6-9ea7-4c4d-be58-8a9ce4cab0c8"]}],"mendeley":{"formattedCitation":"&lt;sup&gt;27&lt;/sup&gt;","plainTextFormattedCitation":"27","previouslyFormattedCitation":"&lt;sup&gt;27&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27</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(2000a)</w:t>
            </w:r>
          </w:p>
        </w:tc>
        <w:tc>
          <w:tcPr>
            <w:tcW w:w="1843" w:type="dxa"/>
            <w:vMerge w:val="restart"/>
            <w:shd w:val="clear" w:color="auto" w:fill="auto"/>
            <w:tcMar>
              <w:left w:w="57" w:type="dxa"/>
              <w:right w:w="57" w:type="dxa"/>
            </w:tcMar>
            <w:hideMark/>
          </w:tcPr>
          <w:p w14:paraId="27D5627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Explain the economic impact of the use of ramipril in South Africa for post-myocardial infarction patients with heart failure</w:t>
            </w:r>
          </w:p>
        </w:tc>
        <w:tc>
          <w:tcPr>
            <w:tcW w:w="1299" w:type="dxa"/>
            <w:vMerge w:val="restart"/>
            <w:shd w:val="clear" w:color="auto" w:fill="auto"/>
            <w:tcMar>
              <w:left w:w="57" w:type="dxa"/>
              <w:right w:w="57" w:type="dxa"/>
            </w:tcMar>
            <w:hideMark/>
          </w:tcPr>
          <w:p w14:paraId="402EC8A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NS; hospital</w:t>
            </w:r>
          </w:p>
        </w:tc>
        <w:tc>
          <w:tcPr>
            <w:tcW w:w="1017" w:type="dxa"/>
            <w:vMerge w:val="restart"/>
            <w:shd w:val="clear" w:color="auto" w:fill="auto"/>
            <w:tcMar>
              <w:left w:w="57" w:type="dxa"/>
              <w:right w:w="57" w:type="dxa"/>
            </w:tcMar>
            <w:hideMark/>
          </w:tcPr>
          <w:p w14:paraId="5DD426E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vMerge w:val="restart"/>
            <w:shd w:val="clear" w:color="auto" w:fill="auto"/>
            <w:tcMar>
              <w:left w:w="57" w:type="dxa"/>
              <w:right w:w="57" w:type="dxa"/>
            </w:tcMar>
            <w:hideMark/>
          </w:tcPr>
          <w:p w14:paraId="2EE43D6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top-down approach</w:t>
            </w:r>
          </w:p>
        </w:tc>
        <w:tc>
          <w:tcPr>
            <w:tcW w:w="1011" w:type="dxa"/>
            <w:vMerge w:val="restart"/>
            <w:shd w:val="clear" w:color="auto" w:fill="auto"/>
            <w:tcMar>
              <w:left w:w="57" w:type="dxa"/>
              <w:right w:w="57" w:type="dxa"/>
            </w:tcMar>
            <w:hideMark/>
          </w:tcPr>
          <w:p w14:paraId="0514BD6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(1999)</w:t>
            </w:r>
          </w:p>
        </w:tc>
        <w:tc>
          <w:tcPr>
            <w:tcW w:w="2146" w:type="dxa"/>
            <w:shd w:val="clear" w:color="auto" w:fill="auto"/>
            <w:tcMar>
              <w:left w:w="57" w:type="dxa"/>
              <w:right w:w="57" w:type="dxa"/>
            </w:tcMar>
            <w:hideMark/>
          </w:tcPr>
          <w:p w14:paraId="07B33DF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Management of heart disease</w:t>
            </w:r>
            <w:r w:rsidRPr="00FA697F">
              <w:rPr>
                <w:rFonts w:ascii="Times New Roman" w:eastAsia="Times New Roman" w:hAnsi="Times New Roman" w:cs="Times New Roman"/>
                <w:sz w:val="16"/>
                <w:szCs w:val="16"/>
                <w:lang w:eastAsia="en-GB"/>
              </w:rPr>
              <w:br/>
              <w:t>Ramipril: $704 per person year</w:t>
            </w:r>
          </w:p>
        </w:tc>
        <w:tc>
          <w:tcPr>
            <w:tcW w:w="1051" w:type="dxa"/>
            <w:shd w:val="clear" w:color="auto" w:fill="auto"/>
            <w:tcMar>
              <w:left w:w="57" w:type="dxa"/>
              <w:right w:w="57" w:type="dxa"/>
            </w:tcMar>
            <w:hideMark/>
          </w:tcPr>
          <w:p w14:paraId="025BDD0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193B424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69F3B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8B66E4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9B123E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BBB692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FBCD58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A5975C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507974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F4345A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2D4D13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96C17B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42D74377"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1CCDBD05" w14:textId="77777777" w:rsidTr="00DA0AFD">
        <w:trPr>
          <w:trHeight w:val="864"/>
        </w:trPr>
        <w:tc>
          <w:tcPr>
            <w:tcW w:w="431" w:type="dxa"/>
            <w:vMerge/>
            <w:tcMar>
              <w:left w:w="57" w:type="dxa"/>
              <w:right w:w="57" w:type="dxa"/>
            </w:tcMar>
            <w:vAlign w:val="center"/>
            <w:hideMark/>
          </w:tcPr>
          <w:p w14:paraId="66DABB8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7058D2E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1A9EDB5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5B51EED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7143FA6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57EA34E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4EFB987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2516042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and monitoring of heart disease</w:t>
            </w:r>
            <w:r w:rsidRPr="00FA697F">
              <w:rPr>
                <w:rFonts w:ascii="Times New Roman" w:eastAsia="Times New Roman" w:hAnsi="Times New Roman" w:cs="Times New Roman"/>
                <w:sz w:val="16"/>
                <w:szCs w:val="16"/>
                <w:lang w:eastAsia="en-GB"/>
              </w:rPr>
              <w:br/>
              <w:t>Hospital account: $1,292 per event</w:t>
            </w:r>
          </w:p>
        </w:tc>
        <w:tc>
          <w:tcPr>
            <w:tcW w:w="1051" w:type="dxa"/>
            <w:shd w:val="clear" w:color="auto" w:fill="auto"/>
            <w:tcMar>
              <w:left w:w="57" w:type="dxa"/>
              <w:right w:w="57" w:type="dxa"/>
            </w:tcMar>
            <w:hideMark/>
          </w:tcPr>
          <w:p w14:paraId="58AAE32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2ED825F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535E27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F3E496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3938BA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E6244C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AF5C42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1733D5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D0655A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711CAE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0A1DFE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D176E8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56F8AB3A"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29E32200" w14:textId="77777777" w:rsidTr="00DA0AFD">
        <w:trPr>
          <w:trHeight w:val="1020"/>
        </w:trPr>
        <w:tc>
          <w:tcPr>
            <w:tcW w:w="431" w:type="dxa"/>
            <w:vMerge/>
            <w:tcMar>
              <w:left w:w="57" w:type="dxa"/>
              <w:right w:w="57" w:type="dxa"/>
            </w:tcMar>
            <w:vAlign w:val="center"/>
            <w:hideMark/>
          </w:tcPr>
          <w:p w14:paraId="1BD9205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73BA73E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52FE78D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076F4C1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53C6E2B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0FF4C14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3BA7941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26E9F5C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Monitoring of heart disease</w:t>
            </w:r>
            <w:r w:rsidRPr="00FA697F">
              <w:rPr>
                <w:rFonts w:ascii="Times New Roman" w:eastAsia="Times New Roman" w:hAnsi="Times New Roman" w:cs="Times New Roman"/>
                <w:sz w:val="16"/>
                <w:szCs w:val="16"/>
                <w:lang w:eastAsia="en-GB"/>
              </w:rPr>
              <w:br/>
              <w:t>Professional fee: $456</w:t>
            </w:r>
            <w:r w:rsidRPr="00FA697F">
              <w:rPr>
                <w:rFonts w:ascii="Times New Roman" w:eastAsia="Times New Roman" w:hAnsi="Times New Roman" w:cs="Times New Roman"/>
                <w:sz w:val="16"/>
                <w:szCs w:val="16"/>
                <w:lang w:eastAsia="en-GB"/>
              </w:rPr>
              <w:br/>
              <w:t>per event</w:t>
            </w:r>
          </w:p>
        </w:tc>
        <w:tc>
          <w:tcPr>
            <w:tcW w:w="1051" w:type="dxa"/>
            <w:shd w:val="clear" w:color="auto" w:fill="auto"/>
            <w:tcMar>
              <w:left w:w="57" w:type="dxa"/>
              <w:right w:w="57" w:type="dxa"/>
            </w:tcMar>
            <w:hideMark/>
          </w:tcPr>
          <w:p w14:paraId="7886939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5DD88F1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7F789E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E7337F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537DE8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B60669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C4C734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BEECB5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2FAFDE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1EB5D1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D5EEA7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D567A8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59A85574"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Professional fee</w:t>
            </w:r>
          </w:p>
        </w:tc>
      </w:tr>
      <w:tr w:rsidR="00406B90" w:rsidRPr="00FA697F" w14:paraId="44057EFE" w14:textId="77777777" w:rsidTr="00DA0AFD">
        <w:trPr>
          <w:trHeight w:val="2016"/>
        </w:trPr>
        <w:tc>
          <w:tcPr>
            <w:tcW w:w="431" w:type="dxa"/>
            <w:shd w:val="clear" w:color="auto" w:fill="auto"/>
            <w:tcMar>
              <w:left w:w="57" w:type="dxa"/>
              <w:right w:w="57" w:type="dxa"/>
            </w:tcMar>
            <w:hideMark/>
          </w:tcPr>
          <w:p w14:paraId="099C323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21</w:t>
            </w:r>
          </w:p>
        </w:tc>
        <w:tc>
          <w:tcPr>
            <w:tcW w:w="982" w:type="dxa"/>
            <w:shd w:val="clear" w:color="auto" w:fill="auto"/>
            <w:tcMar>
              <w:left w:w="57" w:type="dxa"/>
              <w:right w:w="57" w:type="dxa"/>
            </w:tcMar>
            <w:hideMark/>
          </w:tcPr>
          <w:p w14:paraId="483E539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Wessels</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{"citationItems":[{"id":"ITEM-1","itemData":{"ISSN":"10159657","PMID":"17497046","author":[{"dropping-particle":"","family":"Wessels","given":"Francois","non-dropping-particle":"","parse-names":false,"suffix":""}],"container-title":"Cardiovascular Journal of South Africa","id":"ITEM-1","issue":"2","issued":{"date-parts":[["2007"]]},"page":"95-96","title":"Eprosartan in secondary prevention of stroke: The economic evidence","type":"article-journal","volume":"18"},"uris":["http://www.mendeley.com/documents/?uuid=e453681c-8242-4036-88e7-8d5bf98e20d9"]}],"mendeley":{"formattedCitation":"&lt;sup&gt;21&lt;/sup&gt;","plainTextFormattedCitation":"21","previouslyFormattedCitation":"&lt;sup&gt;21&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21</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(2007)</w:t>
            </w:r>
          </w:p>
        </w:tc>
        <w:tc>
          <w:tcPr>
            <w:tcW w:w="1843" w:type="dxa"/>
            <w:shd w:val="clear" w:color="auto" w:fill="auto"/>
            <w:tcMar>
              <w:left w:w="57" w:type="dxa"/>
              <w:right w:w="57" w:type="dxa"/>
            </w:tcMar>
            <w:hideMark/>
          </w:tcPr>
          <w:p w14:paraId="1A1AE21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Assess the cost-effectiveness of </w:t>
            </w:r>
            <w:proofErr w:type="spellStart"/>
            <w:r w:rsidRPr="00FA697F">
              <w:rPr>
                <w:rFonts w:ascii="Times New Roman" w:eastAsia="Times New Roman" w:hAnsi="Times New Roman" w:cs="Times New Roman"/>
                <w:sz w:val="16"/>
                <w:szCs w:val="16"/>
                <w:lang w:eastAsia="en-GB"/>
              </w:rPr>
              <w:t>eprosartan</w:t>
            </w:r>
            <w:proofErr w:type="spellEnd"/>
            <w:r w:rsidRPr="00FA697F">
              <w:rPr>
                <w:rFonts w:ascii="Times New Roman" w:eastAsia="Times New Roman" w:hAnsi="Times New Roman" w:cs="Times New Roman"/>
                <w:sz w:val="16"/>
                <w:szCs w:val="16"/>
                <w:lang w:eastAsia="en-GB"/>
              </w:rPr>
              <w:t xml:space="preserve"> in secondary prevention of vascular disease</w:t>
            </w:r>
          </w:p>
        </w:tc>
        <w:tc>
          <w:tcPr>
            <w:tcW w:w="1299" w:type="dxa"/>
            <w:shd w:val="clear" w:color="auto" w:fill="auto"/>
            <w:tcMar>
              <w:left w:w="57" w:type="dxa"/>
              <w:right w:w="57" w:type="dxa"/>
            </w:tcMar>
            <w:hideMark/>
          </w:tcPr>
          <w:p w14:paraId="1460525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Hypertensive patients with previous cerebrovascular disease; hospital</w:t>
            </w:r>
          </w:p>
        </w:tc>
        <w:tc>
          <w:tcPr>
            <w:tcW w:w="1017" w:type="dxa"/>
            <w:shd w:val="clear" w:color="auto" w:fill="auto"/>
            <w:tcMar>
              <w:left w:w="57" w:type="dxa"/>
              <w:right w:w="57" w:type="dxa"/>
            </w:tcMar>
            <w:hideMark/>
          </w:tcPr>
          <w:p w14:paraId="4E43A01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shd w:val="clear" w:color="auto" w:fill="auto"/>
            <w:tcMar>
              <w:left w:w="57" w:type="dxa"/>
              <w:right w:w="57" w:type="dxa"/>
            </w:tcMar>
            <w:hideMark/>
          </w:tcPr>
          <w:p w14:paraId="1362171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unknown/not stated approach</w:t>
            </w:r>
          </w:p>
        </w:tc>
        <w:tc>
          <w:tcPr>
            <w:tcW w:w="1011" w:type="dxa"/>
            <w:shd w:val="clear" w:color="auto" w:fill="auto"/>
            <w:tcMar>
              <w:left w:w="57" w:type="dxa"/>
              <w:right w:w="57" w:type="dxa"/>
            </w:tcMar>
            <w:hideMark/>
          </w:tcPr>
          <w:p w14:paraId="351D44D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(2006)</w:t>
            </w:r>
          </w:p>
        </w:tc>
        <w:tc>
          <w:tcPr>
            <w:tcW w:w="2146" w:type="dxa"/>
            <w:shd w:val="clear" w:color="auto" w:fill="auto"/>
            <w:tcMar>
              <w:left w:w="57" w:type="dxa"/>
              <w:right w:w="57" w:type="dxa"/>
            </w:tcMar>
            <w:hideMark/>
          </w:tcPr>
          <w:p w14:paraId="3EE6EAB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myocardial infarction (first event, first year): $33,622</w:t>
            </w:r>
            <w:r w:rsidRPr="00FA697F">
              <w:rPr>
                <w:rFonts w:ascii="Times New Roman" w:eastAsia="Times New Roman" w:hAnsi="Times New Roman" w:cs="Times New Roman"/>
                <w:sz w:val="16"/>
                <w:szCs w:val="16"/>
                <w:lang w:eastAsia="en-GB"/>
              </w:rPr>
              <w:br/>
              <w:t>Treatment of myocardial infarction (first event, subsequent years): $11,820</w:t>
            </w:r>
            <w:r w:rsidRPr="00FA697F">
              <w:rPr>
                <w:rFonts w:ascii="Times New Roman" w:eastAsia="Times New Roman" w:hAnsi="Times New Roman" w:cs="Times New Roman"/>
                <w:sz w:val="16"/>
                <w:szCs w:val="16"/>
                <w:lang w:eastAsia="en-GB"/>
              </w:rPr>
              <w:br/>
              <w:t>Treatment of myocardial infarction (subsequent events, first year): $15,780</w:t>
            </w:r>
            <w:r w:rsidRPr="00FA697F">
              <w:rPr>
                <w:rFonts w:ascii="Times New Roman" w:eastAsia="Times New Roman" w:hAnsi="Times New Roman" w:cs="Times New Roman"/>
                <w:sz w:val="16"/>
                <w:szCs w:val="16"/>
                <w:lang w:eastAsia="en-GB"/>
              </w:rPr>
              <w:br/>
              <w:t xml:space="preserve">Treatment of myocardial infarction (subsequent events, </w:t>
            </w:r>
            <w:r w:rsidRPr="00FA697F">
              <w:rPr>
                <w:rFonts w:ascii="Times New Roman" w:eastAsia="Times New Roman" w:hAnsi="Times New Roman" w:cs="Times New Roman"/>
                <w:sz w:val="16"/>
                <w:szCs w:val="16"/>
                <w:lang w:eastAsia="en-GB"/>
              </w:rPr>
              <w:lastRenderedPageBreak/>
              <w:t>subsequent years): $1,431</w:t>
            </w:r>
            <w:r w:rsidRPr="00FA697F">
              <w:rPr>
                <w:rFonts w:ascii="Times New Roman" w:eastAsia="Times New Roman" w:hAnsi="Times New Roman" w:cs="Times New Roman"/>
                <w:sz w:val="16"/>
                <w:szCs w:val="16"/>
                <w:lang w:eastAsia="en-GB"/>
              </w:rPr>
              <w:br/>
              <w:t>Treatment of angina pectoris (first year): $23,792</w:t>
            </w:r>
            <w:r w:rsidRPr="00FA697F">
              <w:rPr>
                <w:rFonts w:ascii="Times New Roman" w:eastAsia="Times New Roman" w:hAnsi="Times New Roman" w:cs="Times New Roman"/>
                <w:sz w:val="16"/>
                <w:szCs w:val="16"/>
                <w:lang w:eastAsia="en-GB"/>
              </w:rPr>
              <w:br/>
              <w:t>Treatment of angina pectoris (subsequent years): $8,571</w:t>
            </w:r>
          </w:p>
          <w:p w14:paraId="3BC8071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event</w:t>
            </w:r>
          </w:p>
        </w:tc>
        <w:tc>
          <w:tcPr>
            <w:tcW w:w="1051" w:type="dxa"/>
            <w:shd w:val="clear" w:color="auto" w:fill="auto"/>
            <w:tcMar>
              <w:left w:w="57" w:type="dxa"/>
              <w:right w:w="57" w:type="dxa"/>
            </w:tcMar>
            <w:hideMark/>
          </w:tcPr>
          <w:p w14:paraId="03C4BA3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N/A</w:t>
            </w:r>
          </w:p>
        </w:tc>
        <w:tc>
          <w:tcPr>
            <w:tcW w:w="260" w:type="dxa"/>
            <w:shd w:val="clear" w:color="auto" w:fill="auto"/>
            <w:tcMar>
              <w:left w:w="57" w:type="dxa"/>
              <w:right w:w="57" w:type="dxa"/>
            </w:tcMar>
            <w:hideMark/>
          </w:tcPr>
          <w:p w14:paraId="2D27FCE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21D597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AFD411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0B788C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C07A17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BC97A1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B5E935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6480EC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56AF65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378C3D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AFEDCD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5E6AD8A1"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NS</w:t>
            </w:r>
          </w:p>
        </w:tc>
      </w:tr>
      <w:tr w:rsidR="00406B90" w:rsidRPr="00FA697F" w14:paraId="3588C56E" w14:textId="77777777" w:rsidTr="00DA0AFD">
        <w:trPr>
          <w:trHeight w:val="699"/>
        </w:trPr>
        <w:tc>
          <w:tcPr>
            <w:tcW w:w="431" w:type="dxa"/>
            <w:shd w:val="clear" w:color="auto" w:fill="auto"/>
            <w:tcMar>
              <w:left w:w="57" w:type="dxa"/>
              <w:right w:w="57" w:type="dxa"/>
            </w:tcMar>
            <w:hideMark/>
          </w:tcPr>
          <w:p w14:paraId="21E59C5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16</w:t>
            </w:r>
          </w:p>
        </w:tc>
        <w:tc>
          <w:tcPr>
            <w:tcW w:w="982" w:type="dxa"/>
            <w:shd w:val="clear" w:color="auto" w:fill="auto"/>
            <w:tcMar>
              <w:left w:w="57" w:type="dxa"/>
              <w:right w:w="57" w:type="dxa"/>
            </w:tcMar>
            <w:hideMark/>
          </w:tcPr>
          <w:p w14:paraId="00AB3C5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Wessels</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{"citationItems":[{"id":"ITEM-1","itemData":{"DOI":"10.5830/CVJA-2010-001","ISSN":"19951892","abstract":"Introduction: This project was based on the FIELD trial.1 It is a localisation of the study by Carrington and Stewart.2 The aim of the original study was to determine the impact of fenofibrate therapy on healthcare costs of middle-aged patients with type 2 diabetes at high risk of future cardiovascular events. Methods: The methodology used in the Carrington article2 was adopted for this study. The clinical foundation for the analysis was derived from the findings of the FIELD study.1 All costs were sourced from electronic databases obtained from private-sector South African funders of healthcare. Event costs for the cardiovascular events were determined and added to the treatment costs for the individual treatment arms. The cost saving was determined as the difference between the event costs saved and the additional treatment costs associated with fenofibrate treatment. All costs were reported as 2008 ZAR and a discount rate of 10% was used. The study adopted a South African private-sector funder perspective. Results: If the same approach is followed as in the Carrington and Stewart study,2 a cost saving of 18% results. This is the difference between the total costs associated with the placebo and fenofibrate arms, respectively (R3 480 471 compared to R2 858 598 per 1 000 patient years for the placebo and fenofibrate arms, respectively). The total costs were determined as the sum of associated event costs and treatment costs for each of the comparators. Conclusions: Based on this exploratory analysis, it seems that Lipanthyl® treatment in middle-aged patients resulted in a cost saving due to the prevention of cardiovascular events when it was used in the treatment of type 2 diabetics, as in the FIELD study. It should therefore be considered to be cost effective, even when just the cardiovascular risk reduction effect is considered.","author":[{"dropping-particle":"","family":"Wessels","given":"Francois","non-dropping-particle":"","parse-names":false,"suffix":""}],"container-title":"Cardiovascular Journal of Africa","id":"ITEM-1","issue":"1","issued":{"date-parts":[["2010"]]},"page":"43-46","title":"Is fenofibrate a cost-saving treatment for middle-aged individuals with type 2 diabetes? A South African private-sector perspective","type":"article-journal","volume":"21"},"uris":["http://www.mendeley.com/documents/?uuid=a65f1554-b1c5-4281-839b-d4e1bab9b2ab"]}],"mendeley":{"formattedCitation":"&lt;sup&gt;16&lt;/sup&gt;","plainTextFormattedCitation":"16","previouslyFormattedCitation":"&lt;sup&gt;16&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16</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(2010)</w:t>
            </w:r>
          </w:p>
        </w:tc>
        <w:tc>
          <w:tcPr>
            <w:tcW w:w="1843" w:type="dxa"/>
            <w:shd w:val="clear" w:color="auto" w:fill="auto"/>
            <w:tcMar>
              <w:left w:w="57" w:type="dxa"/>
              <w:right w:w="57" w:type="dxa"/>
            </w:tcMar>
            <w:hideMark/>
          </w:tcPr>
          <w:p w14:paraId="4437098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Establish the healthcare cost impact of fenofibrate therapy for middle-aged type 2 diabetes patients at high risk of CVD</w:t>
            </w:r>
          </w:p>
        </w:tc>
        <w:tc>
          <w:tcPr>
            <w:tcW w:w="1299" w:type="dxa"/>
            <w:shd w:val="clear" w:color="auto" w:fill="auto"/>
            <w:tcMar>
              <w:left w:w="57" w:type="dxa"/>
              <w:right w:w="57" w:type="dxa"/>
            </w:tcMar>
            <w:hideMark/>
          </w:tcPr>
          <w:p w14:paraId="0E749EA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Patients aged 50 to 75 years with T2DM; hospital</w:t>
            </w:r>
          </w:p>
        </w:tc>
        <w:tc>
          <w:tcPr>
            <w:tcW w:w="1017" w:type="dxa"/>
            <w:shd w:val="clear" w:color="auto" w:fill="auto"/>
            <w:tcMar>
              <w:left w:w="57" w:type="dxa"/>
              <w:right w:w="57" w:type="dxa"/>
            </w:tcMar>
            <w:hideMark/>
          </w:tcPr>
          <w:p w14:paraId="2AF6B36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shd w:val="clear" w:color="auto" w:fill="auto"/>
            <w:tcMar>
              <w:left w:w="57" w:type="dxa"/>
              <w:right w:w="57" w:type="dxa"/>
            </w:tcMar>
            <w:hideMark/>
          </w:tcPr>
          <w:p w14:paraId="554E18C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Full financial cost, top-down approach</w:t>
            </w:r>
          </w:p>
        </w:tc>
        <w:tc>
          <w:tcPr>
            <w:tcW w:w="1011" w:type="dxa"/>
            <w:shd w:val="clear" w:color="auto" w:fill="auto"/>
            <w:tcMar>
              <w:left w:w="57" w:type="dxa"/>
              <w:right w:w="57" w:type="dxa"/>
            </w:tcMar>
            <w:hideMark/>
          </w:tcPr>
          <w:p w14:paraId="3018EB9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2008</w:t>
            </w:r>
          </w:p>
        </w:tc>
        <w:tc>
          <w:tcPr>
            <w:tcW w:w="2146" w:type="dxa"/>
            <w:shd w:val="clear" w:color="auto" w:fill="auto"/>
            <w:tcMar>
              <w:left w:w="57" w:type="dxa"/>
              <w:right w:w="57" w:type="dxa"/>
            </w:tcMar>
            <w:hideMark/>
          </w:tcPr>
          <w:p w14:paraId="47122E1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non-fatal MI: $14,480</w:t>
            </w:r>
            <w:r w:rsidRPr="00FA697F">
              <w:rPr>
                <w:rFonts w:ascii="Times New Roman" w:eastAsia="Times New Roman" w:hAnsi="Times New Roman" w:cs="Times New Roman"/>
                <w:sz w:val="16"/>
                <w:szCs w:val="16"/>
                <w:lang w:eastAsia="en-GB"/>
              </w:rPr>
              <w:br/>
              <w:t>Coronary angiography: $2,267</w:t>
            </w:r>
            <w:r w:rsidRPr="00FA697F">
              <w:rPr>
                <w:rFonts w:ascii="Times New Roman" w:eastAsia="Times New Roman" w:hAnsi="Times New Roman" w:cs="Times New Roman"/>
                <w:sz w:val="16"/>
                <w:szCs w:val="16"/>
                <w:lang w:eastAsia="en-GB"/>
              </w:rPr>
              <w:br/>
              <w:t>Coronary revascularisation: $16,768</w:t>
            </w:r>
          </w:p>
          <w:p w14:paraId="1F7FBB7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event</w:t>
            </w:r>
          </w:p>
        </w:tc>
        <w:tc>
          <w:tcPr>
            <w:tcW w:w="1051" w:type="dxa"/>
            <w:shd w:val="clear" w:color="auto" w:fill="auto"/>
            <w:tcMar>
              <w:left w:w="57" w:type="dxa"/>
              <w:right w:w="57" w:type="dxa"/>
            </w:tcMar>
            <w:hideMark/>
          </w:tcPr>
          <w:p w14:paraId="0248AA0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38AF1BB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0C81C0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7E7CE0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2D8813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6E2198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AFA6E9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4717E2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02970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B69E6F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8CDE39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DA05C7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7C070CF3"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1A7C75A5" w14:textId="77777777" w:rsidTr="00DA0AFD">
        <w:trPr>
          <w:trHeight w:val="1440"/>
        </w:trPr>
        <w:tc>
          <w:tcPr>
            <w:tcW w:w="431" w:type="dxa"/>
            <w:shd w:val="clear" w:color="auto" w:fill="auto"/>
            <w:tcMar>
              <w:left w:w="57" w:type="dxa"/>
              <w:right w:w="57" w:type="dxa"/>
            </w:tcMar>
            <w:hideMark/>
          </w:tcPr>
          <w:p w14:paraId="5B0AF03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5</w:t>
            </w:r>
          </w:p>
        </w:tc>
        <w:tc>
          <w:tcPr>
            <w:tcW w:w="982" w:type="dxa"/>
            <w:shd w:val="clear" w:color="auto" w:fill="auto"/>
            <w:tcMar>
              <w:left w:w="57" w:type="dxa"/>
              <w:right w:w="57" w:type="dxa"/>
            </w:tcMar>
            <w:hideMark/>
          </w:tcPr>
          <w:p w14:paraId="4DAF47D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Makkink</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{"citationItems":[{"id":"ITEM-1","itemData":{"DOI":"10.7196/samj.7593","ISSN":"0256-9574 (Print)","PMID":"25118555","abstract":"BACKGROUND: Hypertension poses a huge financial risk to any funder/medical aid, including the risk-mitigating strategies provided by the managed care organisations that are required to manage patients with hypertension. The South African Hypertension Guideline states that the choice of therapy--an angiotensin converting enzyme inhibitor (ACEI) or an angiotensin receptor blocker (ARB)--should be based on cost and tolerability. OBJECTIVE: To assess the costs of ACEIs v. ARBs in the management of hypertensive patients and the prevention of cardiovascular complications for a private medical aid scheme in South Africa. METHOD: A Phase IV observational, retrospective cohort study of over 480 000 beneficiaries between 2010 and 2011 was undertaken. Hypertensive patients were identified by their chronic medication authorisation and were categorised into three groups: ACEI, ARB and combined groups. A cost-benefit analysis was performed on the claims data, comparing the input costs in rand against the downstream costs using analysis of variance. RESULTS: Data from 28 165 patients were included in the study. Based on the health economic analysis that was performed, there was no statistically significant difference in the input costs between the ACEI and the ARB groups. However, a statistically significant reduction in the downstream costs was observed in the ACEI group v. the ARB and combined groups (p &lt; 0.0001). CONCLUSION: It is more cost beneficial to treat chronic hypertensive patients with an ACEI than ARBs in preventing cardiovascular-related complications. It is recommended that managed care companies continue recommending ACEIs rather than ARBs in the treatment of hypertensive patients.","author":[{"dropping-particle":"","family":"Makkink","given":"J L","non-dropping-particle":"","parse-names":false,"suffix":""},{"dropping-particle":"","family":"Greeff","given":"O B W","non-dropping-particle":"","parse-names":false,"suffix":""}],"container-title":"South African medical journal = Suid-Afrikaanse tydskrif vir geneeskunde","id":"ITEM-1","issue":"4","issued":{"date-parts":[["2014","4"]]},"language":"eng","page":"292-294","publisher-place":"South Africa","title":"Angiotensin converting enzyme inhibitors v. angiotensin receptor blockers in the management of hypertension: a funder's perspective.","type":"article-journal","volume":"104"},"uris":["http://www.mendeley.com/documents/?uuid=d9fed4b4-5aba-4b32-a912-3a029ef98760"]}],"mendeley":{"formattedCitation":"&lt;sup&gt;5&lt;/sup&gt;","plainTextFormattedCitation":"5","previouslyFormattedCitation":"&lt;sup&gt;5&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5</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(2014)</w:t>
            </w:r>
          </w:p>
        </w:tc>
        <w:tc>
          <w:tcPr>
            <w:tcW w:w="1843" w:type="dxa"/>
            <w:shd w:val="clear" w:color="auto" w:fill="auto"/>
            <w:tcMar>
              <w:left w:w="57" w:type="dxa"/>
              <w:right w:w="57" w:type="dxa"/>
            </w:tcMar>
            <w:hideMark/>
          </w:tcPr>
          <w:p w14:paraId="58643B0E" w14:textId="251D3FFB"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Assessing the costs of angiotensin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 xml:space="preserve">converting enzyme inhibitors (ACEI) versus angiotensin receptor blockers (ARB) </w:t>
            </w:r>
          </w:p>
        </w:tc>
        <w:tc>
          <w:tcPr>
            <w:tcW w:w="1299" w:type="dxa"/>
            <w:shd w:val="clear" w:color="auto" w:fill="auto"/>
            <w:tcMar>
              <w:left w:w="57" w:type="dxa"/>
              <w:right w:w="57" w:type="dxa"/>
            </w:tcMar>
            <w:hideMark/>
          </w:tcPr>
          <w:p w14:paraId="183A5F2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Registered members of the participating medical scheme; hospital</w:t>
            </w:r>
          </w:p>
        </w:tc>
        <w:tc>
          <w:tcPr>
            <w:tcW w:w="1017" w:type="dxa"/>
            <w:shd w:val="clear" w:color="auto" w:fill="auto"/>
            <w:tcMar>
              <w:left w:w="57" w:type="dxa"/>
              <w:right w:w="57" w:type="dxa"/>
            </w:tcMar>
            <w:hideMark/>
          </w:tcPr>
          <w:p w14:paraId="1261378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shd w:val="clear" w:color="auto" w:fill="auto"/>
            <w:tcMar>
              <w:left w:w="57" w:type="dxa"/>
              <w:right w:w="57" w:type="dxa"/>
            </w:tcMar>
            <w:hideMark/>
          </w:tcPr>
          <w:p w14:paraId="369D1B0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top-down approach</w:t>
            </w:r>
          </w:p>
        </w:tc>
        <w:tc>
          <w:tcPr>
            <w:tcW w:w="1011" w:type="dxa"/>
            <w:shd w:val="clear" w:color="auto" w:fill="auto"/>
            <w:tcMar>
              <w:left w:w="57" w:type="dxa"/>
              <w:right w:w="57" w:type="dxa"/>
            </w:tcMar>
            <w:hideMark/>
          </w:tcPr>
          <w:p w14:paraId="4421B5B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2010-2011</w:t>
            </w:r>
          </w:p>
        </w:tc>
        <w:tc>
          <w:tcPr>
            <w:tcW w:w="2146" w:type="dxa"/>
            <w:shd w:val="clear" w:color="auto" w:fill="auto"/>
            <w:tcMar>
              <w:left w:w="57" w:type="dxa"/>
              <w:right w:w="57" w:type="dxa"/>
            </w:tcMar>
            <w:hideMark/>
          </w:tcPr>
          <w:p w14:paraId="5C457B88" w14:textId="35025B50"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cardiovascular disorders/complications</w:t>
            </w:r>
            <w:r w:rsidRPr="00FA697F">
              <w:rPr>
                <w:rFonts w:ascii="Times New Roman" w:eastAsia="Times New Roman" w:hAnsi="Times New Roman" w:cs="Times New Roman"/>
                <w:sz w:val="16"/>
                <w:szCs w:val="16"/>
                <w:lang w:eastAsia="en-GB"/>
              </w:rPr>
              <w:br/>
              <w:t>Angiotensin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converting enzyme inhibitor group: $737</w:t>
            </w:r>
            <w:r w:rsidRPr="00FA697F">
              <w:rPr>
                <w:rFonts w:ascii="Times New Roman" w:eastAsia="Times New Roman" w:hAnsi="Times New Roman" w:cs="Times New Roman"/>
                <w:sz w:val="16"/>
                <w:szCs w:val="16"/>
                <w:lang w:eastAsia="en-GB"/>
              </w:rPr>
              <w:br/>
              <w:t>Angiotensin receptor blocker group: $979</w:t>
            </w:r>
            <w:r w:rsidRPr="00FA697F">
              <w:rPr>
                <w:rFonts w:ascii="Times New Roman" w:eastAsia="Times New Roman" w:hAnsi="Times New Roman" w:cs="Times New Roman"/>
                <w:sz w:val="16"/>
                <w:szCs w:val="16"/>
                <w:lang w:eastAsia="en-GB"/>
              </w:rPr>
              <w:br/>
              <w:t>Combined group: $2,726</w:t>
            </w:r>
          </w:p>
          <w:p w14:paraId="70A0FDE0" w14:textId="61164236"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DA0AFD"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6B3862A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SE</w:t>
            </w:r>
            <w:r w:rsidRPr="00FA697F">
              <w:rPr>
                <w:rFonts w:ascii="Times New Roman" w:eastAsia="Times New Roman" w:hAnsi="Times New Roman" w:cs="Times New Roman"/>
                <w:sz w:val="16"/>
                <w:szCs w:val="16"/>
                <w:lang w:eastAsia="en-GB"/>
              </w:rPr>
              <w:br/>
              <w:t>$721 - $752</w:t>
            </w:r>
            <w:r w:rsidRPr="00FA697F">
              <w:rPr>
                <w:rFonts w:ascii="Times New Roman" w:eastAsia="Times New Roman" w:hAnsi="Times New Roman" w:cs="Times New Roman"/>
                <w:sz w:val="16"/>
                <w:szCs w:val="16"/>
                <w:lang w:eastAsia="en-GB"/>
              </w:rPr>
              <w:br/>
              <w:t>$953 - $1,005</w:t>
            </w:r>
            <w:r w:rsidRPr="00FA697F">
              <w:rPr>
                <w:rFonts w:ascii="Times New Roman" w:eastAsia="Times New Roman" w:hAnsi="Times New Roman" w:cs="Times New Roman"/>
                <w:sz w:val="16"/>
                <w:szCs w:val="16"/>
                <w:lang w:eastAsia="en-GB"/>
              </w:rPr>
              <w:br/>
              <w:t>$2,664 - $2,789</w:t>
            </w:r>
          </w:p>
        </w:tc>
        <w:tc>
          <w:tcPr>
            <w:tcW w:w="260" w:type="dxa"/>
            <w:shd w:val="clear" w:color="auto" w:fill="auto"/>
            <w:tcMar>
              <w:left w:w="57" w:type="dxa"/>
              <w:right w:w="57" w:type="dxa"/>
            </w:tcMar>
            <w:hideMark/>
          </w:tcPr>
          <w:p w14:paraId="6D2E5AB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65A1C0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9F22FC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B1ED89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9677AF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1E4F6F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7E4875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529650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016B05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78B76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F1FC4A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60C902C7"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N/S</w:t>
            </w:r>
          </w:p>
        </w:tc>
      </w:tr>
      <w:tr w:rsidR="00406B90" w:rsidRPr="00FA697F" w14:paraId="2FE1CB69" w14:textId="77777777" w:rsidTr="00DA0AFD">
        <w:trPr>
          <w:trHeight w:val="1152"/>
        </w:trPr>
        <w:tc>
          <w:tcPr>
            <w:tcW w:w="431" w:type="dxa"/>
            <w:shd w:val="clear" w:color="auto" w:fill="auto"/>
            <w:tcMar>
              <w:left w:w="57" w:type="dxa"/>
              <w:right w:w="57" w:type="dxa"/>
            </w:tcMar>
            <w:hideMark/>
          </w:tcPr>
          <w:p w14:paraId="33B9FD4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6</w:t>
            </w:r>
          </w:p>
        </w:tc>
        <w:tc>
          <w:tcPr>
            <w:tcW w:w="982" w:type="dxa"/>
            <w:shd w:val="clear" w:color="auto" w:fill="auto"/>
            <w:tcMar>
              <w:left w:w="57" w:type="dxa"/>
              <w:right w:w="57" w:type="dxa"/>
            </w:tcMar>
            <w:hideMark/>
          </w:tcPr>
          <w:p w14:paraId="013576F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Gaziano</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{"citationItems":[{"id":"ITEM-1","itemData":{"DOI":"10.1186/1471-2458-14-240","ISSN":"1471-2458 (Electronic)","PMID":"24606986","abstract":"BACKGROUND: To determine whether training community health workers (CHWs) about hypertension in order to improve adherence to medications is a cost-effective intervention among community members in South Africa. METHODS: We used an established Markov model with age-varying probabilities of cardiovascular disease (CVD) events to assess the benefits and costs of using CHW home visits to increase hypertension adherence for individuals with hypertension and aged 25-74 in South Africa. Subjects considered for CHW intervention were those with a previous diagnosis of hypertension and on medications but who had not achieved control of their blood pressure. We report our results in incremental cost-effectiveness ratios (ICERs) in US dollars per disability-adjusted life-year (DALY) averted. RESULTS: The annual cost of the CHW intervention is about $8 per patient. This would lead to over a 2% reduction in CVD events over a life-time and decrease DALY burden. Due to reductions in non-fatal CVD events, lifetime costs are only $6.56 per patient. The CHW intervention leads to an incremental cost-effectiveness ratio of $320/DALY averted. At an annual cost of $6.50 or if the blood pressure reduction is 5 mmHg or greater per patient the intervention is cost-saving. CONCLUSIONS: Additional training for CHWs on hypertension management could be a cost-effective strategy for CVD in South Africa and a very good purchase according to World Health Organization (WHO) standards. The intervention could also lead to reduced visits at the health centres freeing up more time for new patients or reducing the burden of an overworked staff at many facilities.","author":[{"dropping-particle":"","family":"Gaziano","given":"Thomas A","non-dropping-particle":"","parse-names":false,"suffix":""},{"dropping-particle":"","family":"Bertram","given":"Melanie","non-dropping-particle":"","parse-names":false,"suffix":""},{"dropping-particle":"","family":"Tollman","given":"Stephen M","non-dropping-particle":"","parse-names":false,"suffix":""},{"dropping-particle":"","family":"Hofman","given":"Karen J","non-dropping-particle":"","parse-names":false,"suffix":""}],"container-title":"BMC public health","id":"ITEM-1","issued":{"date-parts":[["2014","3"]]},"language":"eng","page":"240","title":"Hypertension education and adherence in South Africa: a cost-effectiveness analysis of community health workers.","type":"article-journal","volume":"14"},"uris":["http://www.mendeley.com/documents/?uuid=8c64be07-4f7b-41ef-9f7a-ab673c750260"]}],"mendeley":{"formattedCitation":"&lt;sup&gt;6&lt;/sup&gt;","plainTextFormattedCitation":"6","previouslyFormattedCitation":"&lt;sup&gt;6&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6</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(2014)</w:t>
            </w:r>
          </w:p>
        </w:tc>
        <w:tc>
          <w:tcPr>
            <w:tcW w:w="1843" w:type="dxa"/>
            <w:shd w:val="clear" w:color="auto" w:fill="auto"/>
            <w:tcMar>
              <w:left w:w="57" w:type="dxa"/>
              <w:right w:w="57" w:type="dxa"/>
            </w:tcMar>
            <w:hideMark/>
          </w:tcPr>
          <w:p w14:paraId="7B20A43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Establish the cost effectiveness of training community health workers on hypertension as a medication adherence strategy</w:t>
            </w:r>
          </w:p>
        </w:tc>
        <w:tc>
          <w:tcPr>
            <w:tcW w:w="1299" w:type="dxa"/>
            <w:shd w:val="clear" w:color="auto" w:fill="auto"/>
            <w:tcMar>
              <w:left w:w="57" w:type="dxa"/>
              <w:right w:w="57" w:type="dxa"/>
            </w:tcMar>
            <w:hideMark/>
          </w:tcPr>
          <w:p w14:paraId="2E4983D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(25-74); PHC</w:t>
            </w:r>
          </w:p>
        </w:tc>
        <w:tc>
          <w:tcPr>
            <w:tcW w:w="1017" w:type="dxa"/>
            <w:shd w:val="clear" w:color="auto" w:fill="auto"/>
            <w:tcMar>
              <w:left w:w="57" w:type="dxa"/>
              <w:right w:w="57" w:type="dxa"/>
            </w:tcMar>
            <w:hideMark/>
          </w:tcPr>
          <w:p w14:paraId="55539FA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0420ADA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cost, ingredients approach</w:t>
            </w:r>
          </w:p>
        </w:tc>
        <w:tc>
          <w:tcPr>
            <w:tcW w:w="1011" w:type="dxa"/>
            <w:shd w:val="clear" w:color="auto" w:fill="auto"/>
            <w:tcMar>
              <w:left w:w="57" w:type="dxa"/>
              <w:right w:w="57" w:type="dxa"/>
            </w:tcMar>
            <w:hideMark/>
          </w:tcPr>
          <w:p w14:paraId="74B1927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(2013)</w:t>
            </w:r>
          </w:p>
        </w:tc>
        <w:tc>
          <w:tcPr>
            <w:tcW w:w="2146" w:type="dxa"/>
            <w:shd w:val="clear" w:color="auto" w:fill="auto"/>
            <w:tcMar>
              <w:left w:w="57" w:type="dxa"/>
              <w:right w:w="57" w:type="dxa"/>
            </w:tcMar>
            <w:hideMark/>
          </w:tcPr>
          <w:p w14:paraId="5B4BBF2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myocardial infarction: $967 per event</w:t>
            </w:r>
          </w:p>
        </w:tc>
        <w:tc>
          <w:tcPr>
            <w:tcW w:w="1051" w:type="dxa"/>
            <w:shd w:val="clear" w:color="auto" w:fill="auto"/>
            <w:tcMar>
              <w:left w:w="57" w:type="dxa"/>
              <w:right w:w="57" w:type="dxa"/>
            </w:tcMar>
            <w:hideMark/>
          </w:tcPr>
          <w:p w14:paraId="03F2488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00D4ACA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9F014B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A57F4C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B56F13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17123F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C7DE27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466F03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C1A375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4C9B16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8A7FAF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F5385D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32422DB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r>
      <w:tr w:rsidR="00406B90" w:rsidRPr="00FA697F" w14:paraId="232C5370" w14:textId="77777777" w:rsidTr="00DA0AFD">
        <w:trPr>
          <w:trHeight w:val="2369"/>
        </w:trPr>
        <w:tc>
          <w:tcPr>
            <w:tcW w:w="431" w:type="dxa"/>
            <w:shd w:val="clear" w:color="auto" w:fill="auto"/>
            <w:tcMar>
              <w:left w:w="57" w:type="dxa"/>
              <w:right w:w="57" w:type="dxa"/>
            </w:tcMar>
            <w:hideMark/>
          </w:tcPr>
          <w:p w14:paraId="0445388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28</w:t>
            </w:r>
          </w:p>
        </w:tc>
        <w:tc>
          <w:tcPr>
            <w:tcW w:w="982" w:type="dxa"/>
            <w:shd w:val="clear" w:color="auto" w:fill="auto"/>
            <w:tcMar>
              <w:left w:w="57" w:type="dxa"/>
              <w:right w:w="57" w:type="dxa"/>
            </w:tcMar>
            <w:hideMark/>
          </w:tcPr>
          <w:p w14:paraId="6E95CA5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Mabin</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{"citationItems":[{"id":"ITEM-1","itemData":{"DOI":"10.5830/CVJA-2013-090","ISSN":"1680-0745 (Electronic)","PMID":"24626516","abstract":"OBJECTIVE: Transcatheter aortic valve implantation (TAVI) has become the standard of care for inoperable patients with severe aortic stenosis and is an alternative to conventional surgery for high-risk aortic valve replacement (AVR) patients. There is a positive correlation between severity of pre-operative patients and hospital costs. The aim of this study was to compare empirically derived costs of the two therapies in South Africa. METHODS: The cost-comparison analysis was performed with a MediClinic database including 239 conventional isolated AVR (cAVR) and 75 TAVI cases. All costs are given in 2011 ZAR. The subset of cAVR patients were derived from the relevant and available information in the database and their costs were compared with TAVI costs. RESULTS: From the 75 available subjects, mean TAVI costs were ZAR 335.5k ± 47.9k, (median ZAR 326.5k) with a mean (median) ICU and hospital length of stay (LoS) of 2.7 (2.0) and 7.6 (6.5) days, respectively. The mean cAVR cost was lower at ZAR 213.9 ± 87.5k (median ZAR 193.6k) but this included the entire population costs (i.e. low to high surgical risk). When estimating cAVR costs, defined by LoS of more than six and 13 days in the ICU and hospital, respectively, and being over 75 years of age, the estimate increased to ZAR 337.9k, which was above the TAVI mean costs. In-hospital mortality was 5.3 and 7.9% for TAVI and the entire cAVR group, respectively. When considering the subset of cAVR patients most likely to be high risk, it increased to 21.4%. CONCLUSION: Within the context of limited clinical data we performed the first attempt at cost-effective analysis of TAVI vs cAVR in South Africa. Treatment of aortic stenosis with cAVR in a post hoc defined high-risk patient segment was more expensive than TAVI in South African centres. Despite common perceptions on costs, adoption of TAVI as an alternative, less-invasive therapy that has been clinically proven and recommended by an FDA advisory panel (Partner A) to be at least as effective as cAVR, has a viable economic argument in appropriate patients.","author":[{"dropping-particle":"","family":"Mabin","given":"Thomas A","non-dropping-particle":"","parse-names":false,"suffix":""},{"dropping-particle":"","family":"Condolfi","given":"Pascal","non-dropping-particle":"","parse-names":false,"suffix":""}],"container-title":"Cardiovascular journal of Africa","id":"ITEM-1","issue":"1","issued":{"date-parts":[["2014"]]},"language":"eng","page":"21-26","title":"An analysis of real-world cost-effectiveness of TAVI in South Africa.","type":"article-journal","volume":"25"},"uris":["http://www.mendeley.com/documents/?uuid=a1417c8e-60ea-40fb-9562-dd62e2abfcb0"]}],"mendeley":{"formattedCitation":"&lt;sup&gt;28&lt;/sup&gt;","plainTextFormattedCitation":"28","previouslyFormattedCitation":"&lt;sup&gt;28&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28</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(2014)</w:t>
            </w:r>
          </w:p>
        </w:tc>
        <w:tc>
          <w:tcPr>
            <w:tcW w:w="1843" w:type="dxa"/>
            <w:shd w:val="clear" w:color="auto" w:fill="auto"/>
            <w:tcMar>
              <w:left w:w="57" w:type="dxa"/>
              <w:right w:w="57" w:type="dxa"/>
            </w:tcMar>
            <w:hideMark/>
          </w:tcPr>
          <w:p w14:paraId="0381244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Evaluate the costs and benefits of transcatheter aortic valve implantation (TAVI) and conventional aortic valve replacement (</w:t>
            </w:r>
            <w:proofErr w:type="spellStart"/>
            <w:r w:rsidRPr="00FA697F">
              <w:rPr>
                <w:rFonts w:ascii="Times New Roman" w:eastAsia="Times New Roman" w:hAnsi="Times New Roman" w:cs="Times New Roman"/>
                <w:sz w:val="16"/>
                <w:szCs w:val="16"/>
                <w:lang w:eastAsia="en-GB"/>
              </w:rPr>
              <w:t>cAVR</w:t>
            </w:r>
            <w:proofErr w:type="spellEnd"/>
            <w:r w:rsidRPr="00FA697F">
              <w:rPr>
                <w:rFonts w:ascii="Times New Roman" w:eastAsia="Times New Roman" w:hAnsi="Times New Roman" w:cs="Times New Roman"/>
                <w:sz w:val="16"/>
                <w:szCs w:val="16"/>
                <w:lang w:eastAsia="en-GB"/>
              </w:rPr>
              <w:t>)</w:t>
            </w:r>
          </w:p>
        </w:tc>
        <w:tc>
          <w:tcPr>
            <w:tcW w:w="1299" w:type="dxa"/>
            <w:shd w:val="clear" w:color="auto" w:fill="auto"/>
            <w:tcMar>
              <w:left w:w="57" w:type="dxa"/>
              <w:right w:w="57" w:type="dxa"/>
            </w:tcMar>
            <w:hideMark/>
          </w:tcPr>
          <w:p w14:paraId="0C59B78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High risk aortic stenosis patients who could have had TAVI vs. those who underwent TAVI in Free State, Gauteng, Mpumalanga &amp; Western Cape; hospital</w:t>
            </w:r>
          </w:p>
        </w:tc>
        <w:tc>
          <w:tcPr>
            <w:tcW w:w="1017" w:type="dxa"/>
            <w:shd w:val="clear" w:color="auto" w:fill="auto"/>
            <w:tcMar>
              <w:left w:w="57" w:type="dxa"/>
              <w:right w:w="57" w:type="dxa"/>
            </w:tcMar>
            <w:hideMark/>
          </w:tcPr>
          <w:p w14:paraId="68E3441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shd w:val="clear" w:color="auto" w:fill="auto"/>
            <w:tcMar>
              <w:left w:w="57" w:type="dxa"/>
              <w:right w:w="57" w:type="dxa"/>
            </w:tcMar>
            <w:hideMark/>
          </w:tcPr>
          <w:p w14:paraId="71B7CBB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top-down approach</w:t>
            </w:r>
          </w:p>
        </w:tc>
        <w:tc>
          <w:tcPr>
            <w:tcW w:w="1011" w:type="dxa"/>
            <w:shd w:val="clear" w:color="auto" w:fill="auto"/>
            <w:tcMar>
              <w:left w:w="57" w:type="dxa"/>
              <w:right w:w="57" w:type="dxa"/>
            </w:tcMar>
            <w:hideMark/>
          </w:tcPr>
          <w:p w14:paraId="33102A5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2009 - 2011</w:t>
            </w:r>
          </w:p>
        </w:tc>
        <w:tc>
          <w:tcPr>
            <w:tcW w:w="2146" w:type="dxa"/>
            <w:shd w:val="clear" w:color="auto" w:fill="auto"/>
            <w:tcMar>
              <w:left w:w="57" w:type="dxa"/>
              <w:right w:w="57" w:type="dxa"/>
            </w:tcMar>
            <w:hideMark/>
          </w:tcPr>
          <w:p w14:paraId="0E3612D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aortic stenosis</w:t>
            </w:r>
            <w:r w:rsidRPr="00FA697F">
              <w:rPr>
                <w:rFonts w:ascii="Times New Roman" w:eastAsia="Times New Roman" w:hAnsi="Times New Roman" w:cs="Times New Roman"/>
                <w:sz w:val="16"/>
                <w:szCs w:val="16"/>
                <w:lang w:eastAsia="en-GB"/>
              </w:rPr>
              <w:br/>
              <w:t>Transcatheter aortic valve implantation (TAVI): $37,491</w:t>
            </w:r>
            <w:r w:rsidRPr="00FA697F">
              <w:rPr>
                <w:rFonts w:ascii="Times New Roman" w:eastAsia="Times New Roman" w:hAnsi="Times New Roman" w:cs="Times New Roman"/>
                <w:sz w:val="16"/>
                <w:szCs w:val="16"/>
                <w:lang w:eastAsia="en-GB"/>
              </w:rPr>
              <w:br/>
              <w:t>Conventional aortic valve replacement (</w:t>
            </w:r>
            <w:proofErr w:type="spellStart"/>
            <w:r w:rsidRPr="00FA697F">
              <w:rPr>
                <w:rFonts w:ascii="Times New Roman" w:eastAsia="Times New Roman" w:hAnsi="Times New Roman" w:cs="Times New Roman"/>
                <w:sz w:val="16"/>
                <w:szCs w:val="16"/>
                <w:lang w:eastAsia="en-GB"/>
              </w:rPr>
              <w:t>cAVR</w:t>
            </w:r>
            <w:proofErr w:type="spellEnd"/>
            <w:r w:rsidRPr="00FA697F">
              <w:rPr>
                <w:rFonts w:ascii="Times New Roman" w:eastAsia="Times New Roman" w:hAnsi="Times New Roman" w:cs="Times New Roman"/>
                <w:sz w:val="16"/>
                <w:szCs w:val="16"/>
                <w:lang w:eastAsia="en-GB"/>
              </w:rPr>
              <w:t>): $23,902</w:t>
            </w:r>
          </w:p>
          <w:p w14:paraId="4B7CBE6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p>
        </w:tc>
        <w:tc>
          <w:tcPr>
            <w:tcW w:w="1051" w:type="dxa"/>
            <w:shd w:val="clear" w:color="auto" w:fill="auto"/>
            <w:tcMar>
              <w:left w:w="57" w:type="dxa"/>
              <w:right w:w="57" w:type="dxa"/>
            </w:tcMar>
            <w:hideMark/>
          </w:tcPr>
          <w:p w14:paraId="0BA0830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SD</w:t>
            </w:r>
            <w:r w:rsidRPr="00FA697F">
              <w:rPr>
                <w:rFonts w:ascii="Times New Roman" w:eastAsia="Times New Roman" w:hAnsi="Times New Roman" w:cs="Times New Roman"/>
                <w:sz w:val="16"/>
                <w:szCs w:val="16"/>
                <w:lang w:eastAsia="en-GB"/>
              </w:rPr>
              <w:br/>
              <w:t>$32,138 - $42,843</w:t>
            </w:r>
            <w:r w:rsidRPr="00FA697F">
              <w:rPr>
                <w:rFonts w:ascii="Times New Roman" w:eastAsia="Times New Roman" w:hAnsi="Times New Roman" w:cs="Times New Roman"/>
                <w:sz w:val="16"/>
                <w:szCs w:val="16"/>
                <w:lang w:eastAsia="en-GB"/>
              </w:rPr>
              <w:br/>
              <w:t>$14,136 - $33,669</w:t>
            </w:r>
          </w:p>
        </w:tc>
        <w:tc>
          <w:tcPr>
            <w:tcW w:w="260" w:type="dxa"/>
            <w:shd w:val="clear" w:color="auto" w:fill="auto"/>
            <w:tcMar>
              <w:left w:w="57" w:type="dxa"/>
              <w:right w:w="57" w:type="dxa"/>
            </w:tcMar>
            <w:hideMark/>
          </w:tcPr>
          <w:p w14:paraId="27CE893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971EFB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3074F2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A7439B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7D65A2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54D40A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FB5AF7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818500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7C3E00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0758C1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88CF0C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21FDDDA2"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3241393D" w14:textId="77777777" w:rsidTr="00DA0AFD">
        <w:trPr>
          <w:trHeight w:val="2016"/>
        </w:trPr>
        <w:tc>
          <w:tcPr>
            <w:tcW w:w="431" w:type="dxa"/>
            <w:vMerge w:val="restart"/>
            <w:shd w:val="clear" w:color="auto" w:fill="auto"/>
            <w:tcMar>
              <w:left w:w="57" w:type="dxa"/>
              <w:right w:w="57" w:type="dxa"/>
            </w:tcMar>
            <w:hideMark/>
          </w:tcPr>
          <w:p w14:paraId="7689C36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8</w:t>
            </w:r>
          </w:p>
        </w:tc>
        <w:tc>
          <w:tcPr>
            <w:tcW w:w="982" w:type="dxa"/>
            <w:vMerge w:val="restart"/>
            <w:shd w:val="clear" w:color="auto" w:fill="auto"/>
            <w:tcMar>
              <w:left w:w="57" w:type="dxa"/>
              <w:right w:w="57" w:type="dxa"/>
            </w:tcMar>
            <w:hideMark/>
          </w:tcPr>
          <w:p w14:paraId="1E195C5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Basu</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{"citationItems":[{"id":"ITEM-1","itemData":{"DOI":"10.1016/S2214-109X(18)30450-9","ISSN":"2214-109X (Electronic)","PMID":"30528531","abstract":"BACKGROUND: Cardiovascular diseases and their risk factors-particularly hypertension, dyslipidaemia, and diabetes-have become an increasing concern for middle-income countries. Using newly available, nationally representative data, we assessed how cardiovascular risk factors are distributed across subpopulations within South Africa and identified which cardiovascular treatments should be prioritised. METHODS: We created a demographically representative simulated population for South Africa and used data from 17 743 respondents aged 15 years or older of the 2012 South African National Health and Nutrition Examination Survey (SANHANES) to assign information on cardiovascular risk factors to each member of the simulated population. We created a microsimulation model to estimate the health and economic implications of two globally recognised treatment recommendations: WHO's package of essential non-communicable disease interventions (PEN) and South Africa's Primary Care 101 (SA PC 101) guidelines. The primary outcome was total disability-adjusted life-years (DALYs) averted through treatment of all cardiovascular disease or microvascular type 2 diabetes complications per 1000 population. We compared outcomes at the aspirational level of achieving access to treatment among 70% of the population. FINDINGS: Based on the SANHANES data, South Africans had a high prevalence of hypertension (24·8%), dyslipidaemia (17·5%), and diabetes (15·3%). Prevalence was disproportionately high and treatment low among male, black, and poor populations. Our simulated population experienced a burden of 40·0 DALYs (95% CI 29·5-52·0) per 1000 population per year from cardiovascular disease or type 2 diabetes complications at current treatment levels, which lowered to 32·9 DALYs (24·4-44·7) under WHO PEN implementation and to 32·5 (24·4-44·8) under SA PC 101 implementation. Under both guidelines, there were increases in blood pressure treatment (4·2 percentage points under WHO PEN vs 12·6 percentage points under SA PC 101), lipid treatment (16·0 vs 14·9), and glucose control medications (1·2 vs 0·6). The incremental cost-effectiveness of implementing SA PC 101 over current treatment would be a saving of US$24 902 (95% CI 14 666-62 579) per DALY averted compared with a saving of $17 587 (1840-42 589) under WHO PEN guidelines. INTERPRETATION: Cardiovascular risk factors are common and disproportionate among disadvantaged populations in South Africa. Treatment with blood pressure agent…","author":[{"dropping-particle":"","family":"Basu","given":"Sanjay","non-dropping-particle":"","parse-names":false,"suffix":""},{"dropping-particle":"","family":"Wagner","given":"Ryan G","non-dropping-particle":"","parse-names":false,"suffix":""},{"dropping-particle":"","family":"Sewpaul","given":"Ronel","non-dropping-particle":"","parse-names":false,"suffix":""},{"dropping-particle":"","family":"Reddy","given":"Priscilla","non-dropping-particle":"","parse-names":false,"suffix":""},{"dropping-particle":"","family":"Davies","given":"Justine","non-dropping-particle":"","parse-names":false,"suffix":""}],"container-title":"The Lancet. Global health","id":"ITEM-1","issue":"2","issued":{"date-parts":[["2019","2"]]},"language":"eng","page":"e270-e280","publisher-place":"England","title":"Implications of scaling up cardiovascular disease treatment in South Africa: a microsimulation and cost-effectiveness analysis.","type":"article-journal","volume":"7"},"uris":["http://www.mendeley.com/documents/?uuid=f875019a-9c08-40c1-a78a-2094bd08ccfb"]}],"mendeley":{"formattedCitation":"&lt;sup&gt;8&lt;/sup&gt;","plainTextFormattedCitation":"8","previouslyFormattedCitation":"&lt;sup&gt;8&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8</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vMerge w:val="restart"/>
            <w:shd w:val="clear" w:color="auto" w:fill="auto"/>
            <w:tcMar>
              <w:left w:w="57" w:type="dxa"/>
              <w:right w:w="57" w:type="dxa"/>
            </w:tcMar>
            <w:hideMark/>
          </w:tcPr>
          <w:p w14:paraId="4DF787D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economic implications of treatment scale-up under two alternative guidelines</w:t>
            </w:r>
          </w:p>
        </w:tc>
        <w:tc>
          <w:tcPr>
            <w:tcW w:w="1299" w:type="dxa"/>
            <w:vMerge w:val="restart"/>
            <w:shd w:val="clear" w:color="auto" w:fill="auto"/>
            <w:tcMar>
              <w:left w:w="57" w:type="dxa"/>
              <w:right w:w="57" w:type="dxa"/>
            </w:tcMar>
            <w:hideMark/>
          </w:tcPr>
          <w:p w14:paraId="2C22F29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with data available on cardiovascular risk factors in all provinces; PHC &amp; hospital</w:t>
            </w:r>
          </w:p>
        </w:tc>
        <w:tc>
          <w:tcPr>
            <w:tcW w:w="1017" w:type="dxa"/>
            <w:vMerge w:val="restart"/>
            <w:shd w:val="clear" w:color="auto" w:fill="auto"/>
            <w:tcMar>
              <w:left w:w="57" w:type="dxa"/>
              <w:right w:w="57" w:type="dxa"/>
            </w:tcMar>
            <w:hideMark/>
          </w:tcPr>
          <w:p w14:paraId="53C22AA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vMerge w:val="restart"/>
            <w:shd w:val="clear" w:color="auto" w:fill="auto"/>
            <w:tcMar>
              <w:left w:w="57" w:type="dxa"/>
              <w:right w:w="57" w:type="dxa"/>
            </w:tcMar>
            <w:hideMark/>
          </w:tcPr>
          <w:p w14:paraId="5AEB3CA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 approach</w:t>
            </w:r>
          </w:p>
        </w:tc>
        <w:tc>
          <w:tcPr>
            <w:tcW w:w="1011" w:type="dxa"/>
            <w:vMerge w:val="restart"/>
            <w:shd w:val="clear" w:color="auto" w:fill="auto"/>
            <w:tcMar>
              <w:left w:w="57" w:type="dxa"/>
              <w:right w:w="57" w:type="dxa"/>
            </w:tcMar>
            <w:hideMark/>
          </w:tcPr>
          <w:p w14:paraId="0D82D9C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2012</w:t>
            </w:r>
          </w:p>
        </w:tc>
        <w:tc>
          <w:tcPr>
            <w:tcW w:w="2146" w:type="dxa"/>
            <w:shd w:val="clear" w:color="auto" w:fill="auto"/>
            <w:tcMar>
              <w:left w:w="57" w:type="dxa"/>
              <w:right w:w="57" w:type="dxa"/>
            </w:tcMar>
            <w:hideMark/>
          </w:tcPr>
          <w:p w14:paraId="6FE8FAC8" w14:textId="5920EF89"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myocardial infarction</w:t>
            </w:r>
            <w:r w:rsidRPr="00FA697F">
              <w:rPr>
                <w:rFonts w:ascii="Times New Roman" w:eastAsia="Times New Roman" w:hAnsi="Times New Roman" w:cs="Times New Roman"/>
                <w:sz w:val="16"/>
                <w:szCs w:val="16"/>
                <w:lang w:eastAsia="en-GB"/>
              </w:rPr>
              <w:br/>
              <w:t>Hospitalisation &amp; follow-up visits: $1,077 ($993 once off)</w:t>
            </w:r>
            <w:r w:rsidRPr="00FA697F">
              <w:rPr>
                <w:rFonts w:ascii="Times New Roman" w:eastAsia="Times New Roman" w:hAnsi="Times New Roman" w:cs="Times New Roman"/>
                <w:sz w:val="16"/>
                <w:szCs w:val="16"/>
                <w:lang w:eastAsia="en-GB"/>
              </w:rPr>
              <w:br/>
              <w:t>Aspirin: $0</w:t>
            </w:r>
            <w:r w:rsidR="00BF6EDC"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91</w:t>
            </w:r>
            <w:r w:rsidRPr="00FA697F">
              <w:rPr>
                <w:rFonts w:ascii="Times New Roman" w:eastAsia="Times New Roman" w:hAnsi="Times New Roman" w:cs="Times New Roman"/>
                <w:sz w:val="16"/>
                <w:szCs w:val="16"/>
                <w:lang w:eastAsia="en-GB"/>
              </w:rPr>
              <w:br/>
              <w:t>Beta-blocker: $33</w:t>
            </w:r>
            <w:r w:rsidRPr="00FA697F">
              <w:rPr>
                <w:rFonts w:ascii="Times New Roman" w:eastAsia="Times New Roman" w:hAnsi="Times New Roman" w:cs="Times New Roman"/>
                <w:sz w:val="16"/>
                <w:szCs w:val="16"/>
                <w:lang w:eastAsia="en-GB"/>
              </w:rPr>
              <w:br/>
              <w:t>Statin: $31</w:t>
            </w:r>
            <w:r w:rsidRPr="00FA697F">
              <w:rPr>
                <w:rFonts w:ascii="Times New Roman" w:eastAsia="Times New Roman" w:hAnsi="Times New Roman" w:cs="Times New Roman"/>
                <w:sz w:val="16"/>
                <w:szCs w:val="16"/>
                <w:lang w:eastAsia="en-GB"/>
              </w:rPr>
              <w:br/>
              <w:t>ACE inhibitor: $114</w:t>
            </w:r>
          </w:p>
          <w:p w14:paraId="57E9CEE7" w14:textId="417E16EC"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8C2D47"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3FB364AF" w14:textId="77777777" w:rsidR="00406B90" w:rsidRPr="00FA697F" w:rsidRDefault="00406B90" w:rsidP="00406B90">
            <w:pPr>
              <w:spacing w:after="0" w:line="240" w:lineRule="auto"/>
              <w:rPr>
                <w:rFonts w:ascii="Times New Roman" w:eastAsia="Times New Roman" w:hAnsi="Times New Roman" w:cs="Times New Roman"/>
                <w:i/>
                <w:iCs/>
                <w:sz w:val="16"/>
                <w:szCs w:val="16"/>
                <w:lang w:eastAsia="en-GB"/>
              </w:rPr>
            </w:pPr>
            <w:r w:rsidRPr="00FA697F">
              <w:rPr>
                <w:rFonts w:ascii="Times New Roman" w:eastAsia="Times New Roman" w:hAnsi="Times New Roman" w:cs="Times New Roman"/>
                <w:i/>
                <w:iCs/>
                <w:sz w:val="16"/>
                <w:szCs w:val="16"/>
                <w:lang w:eastAsia="en-GB"/>
              </w:rPr>
              <w:t>N/A</w:t>
            </w:r>
          </w:p>
        </w:tc>
        <w:tc>
          <w:tcPr>
            <w:tcW w:w="260" w:type="dxa"/>
            <w:shd w:val="clear" w:color="auto" w:fill="auto"/>
            <w:tcMar>
              <w:left w:w="57" w:type="dxa"/>
              <w:right w:w="57" w:type="dxa"/>
            </w:tcMar>
            <w:hideMark/>
          </w:tcPr>
          <w:p w14:paraId="602A7593" w14:textId="77777777" w:rsidR="00406B90" w:rsidRPr="00FA697F" w:rsidRDefault="00406B90" w:rsidP="00406B90">
            <w:pPr>
              <w:spacing w:after="0" w:line="240" w:lineRule="auto"/>
              <w:rPr>
                <w:rFonts w:ascii="Times New Roman" w:eastAsia="Times New Roman" w:hAnsi="Times New Roman" w:cs="Times New Roman"/>
                <w:i/>
                <w:iCs/>
                <w:sz w:val="16"/>
                <w:szCs w:val="16"/>
                <w:lang w:eastAsia="en-GB"/>
              </w:rPr>
            </w:pPr>
          </w:p>
        </w:tc>
        <w:tc>
          <w:tcPr>
            <w:tcW w:w="294" w:type="dxa"/>
            <w:shd w:val="clear" w:color="auto" w:fill="auto"/>
            <w:tcMar>
              <w:left w:w="57" w:type="dxa"/>
              <w:right w:w="57" w:type="dxa"/>
            </w:tcMar>
            <w:hideMark/>
          </w:tcPr>
          <w:p w14:paraId="57ED66B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98B2E6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B8146F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98D62F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01AEF7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4611EC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CE7099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666E5E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48DB94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C0A098D" w14:textId="77777777" w:rsidR="00406B90" w:rsidRPr="00FA697F" w:rsidRDefault="00AC256C"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181D2C82"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0EA4999E" w14:textId="77777777" w:rsidTr="00DA0AFD">
        <w:trPr>
          <w:trHeight w:val="1728"/>
        </w:trPr>
        <w:tc>
          <w:tcPr>
            <w:tcW w:w="431" w:type="dxa"/>
            <w:vMerge/>
            <w:tcMar>
              <w:left w:w="57" w:type="dxa"/>
              <w:right w:w="57" w:type="dxa"/>
            </w:tcMar>
            <w:vAlign w:val="center"/>
            <w:hideMark/>
          </w:tcPr>
          <w:p w14:paraId="0B3DB3F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592E36F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5D00787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7619CD3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56E3617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6C2011C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2557454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2008A48F" w14:textId="07A2AEB8"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congestive heart failure</w:t>
            </w:r>
            <w:r w:rsidRPr="00FA697F">
              <w:rPr>
                <w:rFonts w:ascii="Times New Roman" w:eastAsia="Times New Roman" w:hAnsi="Times New Roman" w:cs="Times New Roman"/>
                <w:sz w:val="16"/>
                <w:szCs w:val="16"/>
                <w:lang w:eastAsia="en-GB"/>
              </w:rPr>
              <w:br/>
              <w:t>Hospitalisation &amp; follow-up visits: $2,329 ($2,121 once off)</w:t>
            </w:r>
            <w:r w:rsidRPr="00FA697F">
              <w:rPr>
                <w:rFonts w:ascii="Times New Roman" w:eastAsia="Times New Roman" w:hAnsi="Times New Roman" w:cs="Times New Roman"/>
                <w:sz w:val="16"/>
                <w:szCs w:val="16"/>
                <w:lang w:eastAsia="en-GB"/>
              </w:rPr>
              <w:br/>
              <w:t>Diuretic: $56</w:t>
            </w:r>
            <w:r w:rsidRPr="00FA697F">
              <w:rPr>
                <w:rFonts w:ascii="Times New Roman" w:eastAsia="Times New Roman" w:hAnsi="Times New Roman" w:cs="Times New Roman"/>
                <w:sz w:val="16"/>
                <w:szCs w:val="16"/>
                <w:lang w:eastAsia="en-GB"/>
              </w:rPr>
              <w:br/>
              <w:t>Beta-blocker: $30</w:t>
            </w:r>
            <w:r w:rsidRPr="00FA697F">
              <w:rPr>
                <w:rFonts w:ascii="Times New Roman" w:eastAsia="Times New Roman" w:hAnsi="Times New Roman" w:cs="Times New Roman"/>
                <w:sz w:val="16"/>
                <w:szCs w:val="16"/>
                <w:lang w:eastAsia="en-GB"/>
              </w:rPr>
              <w:br/>
              <w:t>Spironolactone: $8</w:t>
            </w:r>
            <w:r w:rsidR="00BF6EDC"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21</w:t>
            </w:r>
          </w:p>
          <w:p w14:paraId="069DC28B" w14:textId="0FDD3C4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per person</w:t>
            </w:r>
            <w:r w:rsidR="008C2D47"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6D3CF1A3" w14:textId="77777777" w:rsidR="00406B90" w:rsidRPr="00FA697F" w:rsidRDefault="00406B90" w:rsidP="00406B90">
            <w:pPr>
              <w:spacing w:after="0" w:line="240" w:lineRule="auto"/>
              <w:rPr>
                <w:rFonts w:ascii="Times New Roman" w:eastAsia="Times New Roman" w:hAnsi="Times New Roman" w:cs="Times New Roman"/>
                <w:i/>
                <w:iCs/>
                <w:sz w:val="16"/>
                <w:szCs w:val="16"/>
                <w:lang w:eastAsia="en-GB"/>
              </w:rPr>
            </w:pPr>
            <w:r w:rsidRPr="00FA697F">
              <w:rPr>
                <w:rFonts w:ascii="Times New Roman" w:eastAsia="Times New Roman" w:hAnsi="Times New Roman" w:cs="Times New Roman"/>
                <w:i/>
                <w:iCs/>
                <w:sz w:val="16"/>
                <w:szCs w:val="16"/>
                <w:lang w:eastAsia="en-GB"/>
              </w:rPr>
              <w:t>N/A</w:t>
            </w:r>
          </w:p>
        </w:tc>
        <w:tc>
          <w:tcPr>
            <w:tcW w:w="260" w:type="dxa"/>
            <w:shd w:val="clear" w:color="auto" w:fill="auto"/>
            <w:tcMar>
              <w:left w:w="57" w:type="dxa"/>
              <w:right w:w="57" w:type="dxa"/>
            </w:tcMar>
            <w:hideMark/>
          </w:tcPr>
          <w:p w14:paraId="560EDB52" w14:textId="77777777" w:rsidR="00406B90" w:rsidRPr="00FA697F" w:rsidRDefault="00406B90" w:rsidP="00406B90">
            <w:pPr>
              <w:spacing w:after="0" w:line="240" w:lineRule="auto"/>
              <w:rPr>
                <w:rFonts w:ascii="Times New Roman" w:eastAsia="Times New Roman" w:hAnsi="Times New Roman" w:cs="Times New Roman"/>
                <w:i/>
                <w:iCs/>
                <w:sz w:val="16"/>
                <w:szCs w:val="16"/>
                <w:lang w:eastAsia="en-GB"/>
              </w:rPr>
            </w:pPr>
          </w:p>
        </w:tc>
        <w:tc>
          <w:tcPr>
            <w:tcW w:w="294" w:type="dxa"/>
            <w:shd w:val="clear" w:color="auto" w:fill="auto"/>
            <w:tcMar>
              <w:left w:w="57" w:type="dxa"/>
              <w:right w:w="57" w:type="dxa"/>
            </w:tcMar>
            <w:hideMark/>
          </w:tcPr>
          <w:p w14:paraId="1300C23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F27814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4996B38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572AAE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B13E7E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5B3EC9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2886A1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65B039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CA6A9A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0C6482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51CBB326"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Echocardiogram</w:t>
            </w:r>
          </w:p>
        </w:tc>
      </w:tr>
      <w:tr w:rsidR="00406B90" w:rsidRPr="00FA697F" w14:paraId="76E87057" w14:textId="77777777" w:rsidTr="008C2D47">
        <w:trPr>
          <w:trHeight w:val="972"/>
        </w:trPr>
        <w:tc>
          <w:tcPr>
            <w:tcW w:w="431" w:type="dxa"/>
            <w:shd w:val="clear" w:color="auto" w:fill="auto"/>
            <w:tcMar>
              <w:left w:w="57" w:type="dxa"/>
              <w:right w:w="57" w:type="dxa"/>
            </w:tcMar>
            <w:hideMark/>
          </w:tcPr>
          <w:p w14:paraId="5BA5F50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11</w:t>
            </w:r>
          </w:p>
        </w:tc>
        <w:tc>
          <w:tcPr>
            <w:tcW w:w="982" w:type="dxa"/>
            <w:shd w:val="clear" w:color="auto" w:fill="auto"/>
            <w:tcMar>
              <w:left w:w="57" w:type="dxa"/>
              <w:right w:w="57" w:type="dxa"/>
            </w:tcMar>
            <w:hideMark/>
          </w:tcPr>
          <w:p w14:paraId="08B6C57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Erzse</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{"citationItems":[{"id":"ITEM-1","itemData":{"DOI":"10.1080/16549716.2019.1636611","ISSN":"16549880","PMID":"31282315","abstract":"Background: Type 2 diabetes mellitus (T2DM) is known to require continuous clinical care and management that consumes significant health-care resources. These costs are not well understood, particularly in low- and middle-income countries. Objective: The aim of this study was to estimate the direct medical costs associated with T2DM in the South African public health sector and to project an estimate of the future direct costs of T2DM by 2030. Methods: A cost of illness study was conducted to estimate the direct medical costs of T2DM in South Africa in 2018 and to make projections for potential costs in 2030. Costs were estimated for diagnosis and management of T2DM, and related complications. Analyses were implemented in Microsoft Excel, with sensitivity analysis conducted on particular parameters. Results: In 2018, public sector costs of diagnosed T2DM patients were approximately ZAR 2.7 bn and ZAR 21.8 bn if both diagnosed and undiagnosed patients are considered. In real terms, the 2030 cost of all T2DM cases is estimated to be ZAR 35.1 bn. Approximately 51% of these estimated costs for 2030 are attributable to the management of T2DM, and 49% are attributable to complications. Conclusion: T2DM imposes a significant financial burden on the public healthcare system in South Africa. Treatment of all prevalent cases would incur a cost equivalent to approximately 12% of the total national health budget in 2018. With rising prevalence, direct costs will grow if current care regimes are maintained and case-finding improved. Increased financial resources are necessary in order to deliver effective services to people with T2DM.","author":[{"dropping-particle":"","family":"Erzse","given":"Agnes","non-dropping-particle":"","parse-names":false,"suffix":""},{"dropping-particle":"","family":"Stacey","given":"Nicholas","non-dropping-particle":"","parse-names":false,"suffix":""},{"dropping-particle":"","family":"Chola","given":"Lumbwe","non-dropping-particle":"","parse-names":false,"suffix":""},{"dropping-particle":"","family":"Tugendhaft","given":"Aviva","non-dropping-particle":"","parse-names":false,"suffix":""},{"dropping-particle":"","family":"Freeman","given":"Melvyn","non-dropping-particle":"","parse-names":false,"suffix":""},{"dropping-particle":"","family":"Hofman","given":"Karen","non-dropping-particle":"","parse-names":false,"suffix":""}],"container-title":"Global Health Action","id":"ITEM-1","issue":"1","issued":{"date-parts":[["2019"]]},"page":"1-9","title":"The direct medical cost of type 2 diabetes mellitus in South Africa: a cost of illness study","type":"article-journal","volume":"12"},"uris":["http://www.mendeley.com/documents/?uuid=c3d8c560-9c19-4b84-9be5-8bfe99d443ce"]}],"mendeley":{"formattedCitation":"&lt;sup&gt;11&lt;/sup&gt;","plainTextFormattedCitation":"11","previouslyFormattedCitation":"&lt;sup&gt;11&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11</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shd w:val="clear" w:color="auto" w:fill="auto"/>
            <w:tcMar>
              <w:left w:w="57" w:type="dxa"/>
              <w:right w:w="57" w:type="dxa"/>
            </w:tcMar>
            <w:hideMark/>
          </w:tcPr>
          <w:p w14:paraId="66C26CF3" w14:textId="7FF3E59A"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Estimate the direct medical costs associated with type 2 diabetes mellitus </w:t>
            </w:r>
          </w:p>
        </w:tc>
        <w:tc>
          <w:tcPr>
            <w:tcW w:w="1299" w:type="dxa"/>
            <w:shd w:val="clear" w:color="auto" w:fill="auto"/>
            <w:tcMar>
              <w:left w:w="57" w:type="dxa"/>
              <w:right w:w="57" w:type="dxa"/>
            </w:tcMar>
            <w:hideMark/>
          </w:tcPr>
          <w:p w14:paraId="4BDA96B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(&gt;15); hospital</w:t>
            </w:r>
          </w:p>
        </w:tc>
        <w:tc>
          <w:tcPr>
            <w:tcW w:w="1017" w:type="dxa"/>
            <w:shd w:val="clear" w:color="auto" w:fill="auto"/>
            <w:tcMar>
              <w:left w:w="57" w:type="dxa"/>
              <w:right w:w="57" w:type="dxa"/>
            </w:tcMar>
            <w:hideMark/>
          </w:tcPr>
          <w:p w14:paraId="1BD5E98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shd w:val="clear" w:color="auto" w:fill="auto"/>
            <w:tcMar>
              <w:left w:w="57" w:type="dxa"/>
              <w:right w:w="57" w:type="dxa"/>
            </w:tcMar>
            <w:hideMark/>
          </w:tcPr>
          <w:p w14:paraId="786C356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 approach</w:t>
            </w:r>
          </w:p>
        </w:tc>
        <w:tc>
          <w:tcPr>
            <w:tcW w:w="1011" w:type="dxa"/>
            <w:shd w:val="clear" w:color="auto" w:fill="auto"/>
            <w:tcMar>
              <w:left w:w="57" w:type="dxa"/>
              <w:right w:w="57" w:type="dxa"/>
            </w:tcMar>
            <w:hideMark/>
          </w:tcPr>
          <w:p w14:paraId="6A49C96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2BC10AC7" w14:textId="5821B37D"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ischaemic heart disease: $1,662</w:t>
            </w:r>
            <w:r w:rsidRPr="00FA697F">
              <w:rPr>
                <w:rFonts w:ascii="Times New Roman" w:eastAsia="Times New Roman" w:hAnsi="Times New Roman" w:cs="Times New Roman"/>
                <w:sz w:val="16"/>
                <w:szCs w:val="16"/>
                <w:lang w:eastAsia="en-GB"/>
              </w:rPr>
              <w:br/>
              <w:t>per person</w:t>
            </w:r>
            <w:r w:rsidR="008C2D47"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27C7464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22DF6D9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07C910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5D56CF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7C270C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96DB14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035C31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98AE15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FF47E9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A9E7A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E281E4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41E36E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362CFCBB"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Facility fees</w:t>
            </w:r>
          </w:p>
        </w:tc>
      </w:tr>
      <w:tr w:rsidR="00406B90" w:rsidRPr="00FA697F" w14:paraId="11B9C65D" w14:textId="77777777" w:rsidTr="00DA0AFD">
        <w:trPr>
          <w:trHeight w:val="1015"/>
        </w:trPr>
        <w:tc>
          <w:tcPr>
            <w:tcW w:w="431" w:type="dxa"/>
            <w:vMerge w:val="restart"/>
            <w:shd w:val="clear" w:color="auto" w:fill="auto"/>
            <w:tcMar>
              <w:left w:w="57" w:type="dxa"/>
              <w:right w:w="57" w:type="dxa"/>
            </w:tcMar>
            <w:hideMark/>
          </w:tcPr>
          <w:p w14:paraId="4E2AB4B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20</w:t>
            </w:r>
          </w:p>
        </w:tc>
        <w:tc>
          <w:tcPr>
            <w:tcW w:w="982" w:type="dxa"/>
            <w:vMerge w:val="restart"/>
            <w:shd w:val="clear" w:color="auto" w:fill="auto"/>
            <w:tcMar>
              <w:left w:w="57" w:type="dxa"/>
              <w:right w:w="57" w:type="dxa"/>
            </w:tcMar>
            <w:hideMark/>
          </w:tcPr>
          <w:p w14:paraId="576394B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Lin</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{"citationItems":[{"id":"ITEM-1","itemData":{"DOI":"10.1016/S2214-109X(19)30339-0","ISSN":"2214109X","PMID":"31477544","abstract":"Background: Fewer than 25% of patients with atherosclerotic cardiovascular disease in countries of low and middle income (LMICs) use guideline-directed drugs for secondary prevention. A fixed-dose combination polypill might improve cardiovascular outcomes by increasing prescription rates and adherence, but the cost-effectiveness of this approach is uncertain. Methods: We developed microsimulation models to assess the cost-effectiveness of a polypill containing aspirin, lisinopril, atenolol, and simvastatin for secondary prevention of atherosclerotic cardiovascular disease compared with current care in China, India, Mexico, Nigeria, and South Africa. We modelled baseline use of secondary prevention drugs on the Prospective Urban Rural Epidemiological study. In the intervention arm, we assumed that patients currently prescribed any prevention drug for atherosclerotic cardiovascular disease would receive the polypill instead, which would improve adherence by 32% (from a meta-analysis of two randomised trials in LMICs). We assessed the cost-effectiveness of the polypill at prices in the public sector and on the retail market. Key outcomes were major adverse cardiovascular events (cardiovascular death, non-fatal myocardial infarction, or non-fatal stroke) over a 5-year period and the incremental cost-effectiveness ratio (ICER) from the perspective of the health-care sector and a lifetime analytical horizon. We assumed a cost-effectiveness threshold equal to each country's per capita gross domestic product (GDP) per disability-adjusted life-year (DALY) averted. In sensitivity analyses, we examined the population health effect achievable by increasing the uptake of the polypill in the eligible population. Findings: Among adults aged 30–84 years with established atherosclerotic cardiovascular disease, adoption of the polypill for secondary prevention compared with current care was projected to avert 40–54 major adverse cardiovascular events for every 1000 patients treated for 5 years and produce between three and ten additional serious adverse events. Assuming public-sector pharmaceutical prices, the ICER of the polypill compared with current care over a lifetime analytical horizon was Int$168 (95% UI 55 to 337) per DALY averted in China, $154 (57 to 289) in India, $88 (15 to 193) in Mexico, $364 (147 to 692) in Nigeria, and $64 (cost-saving to 203) in South Africa, amounting to 0·4–6·2% of the per capita GDP in these countries. The ICER of the polypill compare…","author":[{"dropping-particle":"","family":"Lin","given":"John K.","non-dropping-particle":"","parse-names":false,"suffix":""},{"dropping-particle":"","family":"Moran","given":"Andrew E.","non-dropping-particle":"","parse-names":false,"suffix":""},{"dropping-particle":"","family":"Bibbins-Domingo","given":"Kirsten","non-dropping-particle":"","parse-names":false,"suffix":""},{"dropping-particle":"","family":"Falase","given":"Bode","non-dropping-particle":"","parse-names":false,"suffix":""},{"dropping-particle":"","family":"Pedroza Tobias","given":"Andrea","non-dropping-particle":"","parse-names":false,"suffix":""},{"dropping-particle":"","family":"Mandke","given":"Charuta N.","non-dropping-particle":"","parse-names":false,"suffix":""},{"dropping-particle":"","family":"Kazi","given":"Dhruv S.","non-dropping-particle":"","parse-names":false,"suffix":""}],"container-title":"The Lancet Global Health","id":"ITEM-1","issue":"10","issued":{"date-parts":[["2019"]]},"page":"e1346-e1358","publisher":"The Author(s). Published by Elsevier Ltd. This is an Open Access article under the CC BY 4.0 license","title":"Cost-effectiveness of a fixed-dose combination pill for secondary prevention of cardiovascular disease in China, India, Mexico, Nigeria, and South Africa: a modelling study","type":"article-journal","volume":"7"},"uris":["http://www.mendeley.com/documents/?uuid=584247ec-47f8-4f79-8dff-341667f00853"]}],"mendeley":{"formattedCitation":"&lt;sup&gt;20&lt;/sup&gt;","plainTextFormattedCitation":"20","previouslyFormattedCitation":"&lt;sup&gt;20&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20</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(2019)</w:t>
            </w:r>
          </w:p>
        </w:tc>
        <w:tc>
          <w:tcPr>
            <w:tcW w:w="1843" w:type="dxa"/>
            <w:vMerge w:val="restart"/>
            <w:shd w:val="clear" w:color="auto" w:fill="auto"/>
            <w:tcMar>
              <w:left w:w="57" w:type="dxa"/>
              <w:right w:w="57" w:type="dxa"/>
            </w:tcMar>
            <w:hideMark/>
          </w:tcPr>
          <w:p w14:paraId="224E02B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Examine the cost-effectiveness and health effect of a polypill compared with current care for secondary prevention of atherosclerotic CVD</w:t>
            </w:r>
          </w:p>
        </w:tc>
        <w:tc>
          <w:tcPr>
            <w:tcW w:w="1299" w:type="dxa"/>
            <w:vMerge w:val="restart"/>
            <w:shd w:val="clear" w:color="auto" w:fill="auto"/>
            <w:tcMar>
              <w:left w:w="57" w:type="dxa"/>
              <w:right w:w="57" w:type="dxa"/>
            </w:tcMar>
            <w:hideMark/>
          </w:tcPr>
          <w:p w14:paraId="25CAB0B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(30–84), with established atherosclerotic CVD; PHC</w:t>
            </w:r>
          </w:p>
        </w:tc>
        <w:tc>
          <w:tcPr>
            <w:tcW w:w="1017" w:type="dxa"/>
            <w:vMerge w:val="restart"/>
            <w:shd w:val="clear" w:color="auto" w:fill="auto"/>
            <w:tcMar>
              <w:left w:w="57" w:type="dxa"/>
              <w:right w:w="57" w:type="dxa"/>
            </w:tcMar>
            <w:hideMark/>
          </w:tcPr>
          <w:p w14:paraId="6BEB64C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vMerge w:val="restart"/>
            <w:shd w:val="clear" w:color="auto" w:fill="auto"/>
            <w:tcMar>
              <w:left w:w="57" w:type="dxa"/>
              <w:right w:w="57" w:type="dxa"/>
            </w:tcMar>
            <w:hideMark/>
          </w:tcPr>
          <w:p w14:paraId="40870F5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 approach</w:t>
            </w:r>
          </w:p>
        </w:tc>
        <w:tc>
          <w:tcPr>
            <w:tcW w:w="1011" w:type="dxa"/>
            <w:vMerge w:val="restart"/>
            <w:shd w:val="clear" w:color="auto" w:fill="auto"/>
            <w:tcMar>
              <w:left w:w="57" w:type="dxa"/>
              <w:right w:w="57" w:type="dxa"/>
            </w:tcMar>
            <w:hideMark/>
          </w:tcPr>
          <w:p w14:paraId="186595F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(2018)</w:t>
            </w:r>
          </w:p>
        </w:tc>
        <w:tc>
          <w:tcPr>
            <w:tcW w:w="2146" w:type="dxa"/>
            <w:shd w:val="clear" w:color="auto" w:fill="auto"/>
            <w:tcMar>
              <w:left w:w="57" w:type="dxa"/>
              <w:right w:w="57" w:type="dxa"/>
            </w:tcMar>
            <w:hideMark/>
          </w:tcPr>
          <w:p w14:paraId="0C35FDA5" w14:textId="46ABD086"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coronary heart disease: $42</w:t>
            </w:r>
            <w:r w:rsidRPr="00FA697F">
              <w:rPr>
                <w:rFonts w:ascii="Times New Roman" w:eastAsia="Times New Roman" w:hAnsi="Times New Roman" w:cs="Times New Roman"/>
                <w:sz w:val="16"/>
                <w:szCs w:val="16"/>
                <w:lang w:eastAsia="en-GB"/>
              </w:rPr>
              <w:br/>
              <w:t>per person</w:t>
            </w:r>
            <w:r w:rsidR="008C2D47"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0E50542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3AB9DC6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0749FD2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x </w:t>
            </w:r>
          </w:p>
        </w:tc>
        <w:tc>
          <w:tcPr>
            <w:tcW w:w="294" w:type="dxa"/>
            <w:shd w:val="clear" w:color="auto" w:fill="auto"/>
            <w:tcMar>
              <w:left w:w="57" w:type="dxa"/>
              <w:right w:w="57" w:type="dxa"/>
            </w:tcMar>
            <w:hideMark/>
          </w:tcPr>
          <w:p w14:paraId="3C821D9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66B6ABF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08F0B2E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150AE41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5DDC057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5CCB77C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04BF18A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3221DF8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58898A4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857" w:type="dxa"/>
            <w:shd w:val="clear" w:color="auto" w:fill="auto"/>
            <w:tcMar>
              <w:left w:w="57" w:type="dxa"/>
              <w:right w:w="57" w:type="dxa"/>
            </w:tcMar>
            <w:textDirection w:val="btLr"/>
            <w:hideMark/>
          </w:tcPr>
          <w:p w14:paraId="2F8B654B"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Out-patient care minus drugs</w:t>
            </w:r>
          </w:p>
        </w:tc>
      </w:tr>
      <w:tr w:rsidR="00406B90" w:rsidRPr="00FA697F" w14:paraId="48310761" w14:textId="77777777" w:rsidTr="00DA0AFD">
        <w:trPr>
          <w:trHeight w:val="864"/>
        </w:trPr>
        <w:tc>
          <w:tcPr>
            <w:tcW w:w="431" w:type="dxa"/>
            <w:vMerge/>
            <w:tcMar>
              <w:left w:w="57" w:type="dxa"/>
              <w:right w:w="57" w:type="dxa"/>
            </w:tcMar>
            <w:vAlign w:val="center"/>
            <w:hideMark/>
          </w:tcPr>
          <w:p w14:paraId="1EFBA8A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378160A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79661F5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5DCE292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490E568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461A2ED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7583D7F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5E0184E9" w14:textId="60CFEFBE"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CVD</w:t>
            </w:r>
            <w:r w:rsidRPr="00FA697F">
              <w:rPr>
                <w:rFonts w:ascii="Times New Roman" w:eastAsia="Times New Roman" w:hAnsi="Times New Roman" w:cs="Times New Roman"/>
                <w:sz w:val="16"/>
                <w:szCs w:val="16"/>
                <w:lang w:eastAsia="en-GB"/>
              </w:rPr>
              <w:br/>
              <w:t>Treatment of myocardial infarction: $427</w:t>
            </w:r>
            <w:r w:rsidRPr="00FA697F">
              <w:rPr>
                <w:rFonts w:ascii="Times New Roman" w:eastAsia="Times New Roman" w:hAnsi="Times New Roman" w:cs="Times New Roman"/>
                <w:sz w:val="16"/>
                <w:szCs w:val="16"/>
                <w:lang w:eastAsia="en-GB"/>
              </w:rPr>
              <w:br/>
              <w:t>per person</w:t>
            </w:r>
            <w:r w:rsidR="008C2D47"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7B54B87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7C363EB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4810F26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x </w:t>
            </w:r>
          </w:p>
        </w:tc>
        <w:tc>
          <w:tcPr>
            <w:tcW w:w="294" w:type="dxa"/>
            <w:shd w:val="clear" w:color="auto" w:fill="auto"/>
            <w:tcMar>
              <w:left w:w="57" w:type="dxa"/>
              <w:right w:w="57" w:type="dxa"/>
            </w:tcMar>
            <w:hideMark/>
          </w:tcPr>
          <w:p w14:paraId="4D2F75D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30C8839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176CDA1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x </w:t>
            </w:r>
          </w:p>
        </w:tc>
        <w:tc>
          <w:tcPr>
            <w:tcW w:w="294" w:type="dxa"/>
            <w:shd w:val="clear" w:color="auto" w:fill="auto"/>
            <w:tcMar>
              <w:left w:w="57" w:type="dxa"/>
              <w:right w:w="57" w:type="dxa"/>
            </w:tcMar>
            <w:hideMark/>
          </w:tcPr>
          <w:p w14:paraId="45F7CB4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4E3EF0C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5FA72D9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2B8E233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06EA223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w:t>
            </w:r>
          </w:p>
        </w:tc>
        <w:tc>
          <w:tcPr>
            <w:tcW w:w="294" w:type="dxa"/>
            <w:shd w:val="clear" w:color="auto" w:fill="auto"/>
            <w:tcMar>
              <w:left w:w="57" w:type="dxa"/>
              <w:right w:w="57" w:type="dxa"/>
            </w:tcMar>
            <w:hideMark/>
          </w:tcPr>
          <w:p w14:paraId="5F2F700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 xml:space="preserve"> x </w:t>
            </w:r>
          </w:p>
        </w:tc>
        <w:tc>
          <w:tcPr>
            <w:tcW w:w="857" w:type="dxa"/>
            <w:shd w:val="clear" w:color="auto" w:fill="auto"/>
            <w:tcMar>
              <w:left w:w="57" w:type="dxa"/>
              <w:right w:w="57" w:type="dxa"/>
            </w:tcMar>
            <w:textDirection w:val="btLr"/>
            <w:hideMark/>
          </w:tcPr>
          <w:p w14:paraId="39E95A11"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2107884A" w14:textId="77777777" w:rsidTr="00DA0AFD">
        <w:trPr>
          <w:trHeight w:val="288"/>
        </w:trPr>
        <w:tc>
          <w:tcPr>
            <w:tcW w:w="14967" w:type="dxa"/>
            <w:gridSpan w:val="21"/>
            <w:shd w:val="clear" w:color="auto" w:fill="auto"/>
            <w:tcMar>
              <w:left w:w="57" w:type="dxa"/>
              <w:right w:w="57" w:type="dxa"/>
            </w:tcMar>
            <w:hideMark/>
          </w:tcPr>
          <w:p w14:paraId="1BF4FFD6" w14:textId="77777777" w:rsidR="00406B90" w:rsidRPr="00FA697F" w:rsidRDefault="00406B90" w:rsidP="00406B90">
            <w:pPr>
              <w:spacing w:after="0" w:line="240" w:lineRule="auto"/>
              <w:rPr>
                <w:rFonts w:ascii="Times New Roman" w:eastAsia="Times New Roman" w:hAnsi="Times New Roman" w:cs="Times New Roman"/>
                <w:b/>
                <w:bCs/>
                <w:sz w:val="16"/>
                <w:szCs w:val="16"/>
                <w:lang w:eastAsia="en-GB"/>
              </w:rPr>
            </w:pPr>
            <w:r w:rsidRPr="00FA697F">
              <w:rPr>
                <w:rFonts w:ascii="Times New Roman" w:eastAsia="Times New Roman" w:hAnsi="Times New Roman" w:cs="Times New Roman"/>
                <w:b/>
                <w:bCs/>
                <w:sz w:val="16"/>
                <w:szCs w:val="16"/>
                <w:lang w:eastAsia="en-GB"/>
              </w:rPr>
              <w:t>CVD treatment (other)</w:t>
            </w:r>
          </w:p>
        </w:tc>
      </w:tr>
      <w:tr w:rsidR="00406B90" w:rsidRPr="00FA697F" w14:paraId="00D7950E" w14:textId="77777777" w:rsidTr="00DA0AFD">
        <w:trPr>
          <w:trHeight w:val="636"/>
        </w:trPr>
        <w:tc>
          <w:tcPr>
            <w:tcW w:w="431" w:type="dxa"/>
            <w:vMerge w:val="restart"/>
            <w:shd w:val="clear" w:color="auto" w:fill="auto"/>
            <w:tcMar>
              <w:left w:w="57" w:type="dxa"/>
              <w:right w:w="57" w:type="dxa"/>
            </w:tcMar>
            <w:hideMark/>
          </w:tcPr>
          <w:p w14:paraId="390446A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29</w:t>
            </w:r>
          </w:p>
        </w:tc>
        <w:tc>
          <w:tcPr>
            <w:tcW w:w="982" w:type="dxa"/>
            <w:vMerge w:val="restart"/>
            <w:shd w:val="clear" w:color="auto" w:fill="auto"/>
            <w:tcMar>
              <w:left w:w="57" w:type="dxa"/>
              <w:right w:w="57" w:type="dxa"/>
            </w:tcMar>
            <w:hideMark/>
          </w:tcPr>
          <w:p w14:paraId="7417C20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Pestana</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{"citationItems":[{"id":"ITEM-1","itemData":{"author":[{"dropping-particle":"","family":"Pestana","given":"J A X","non-dropping-particle":"","parse-names":false,"suffix":""},{"dropping-particle":"","family":"Steyn","given":"K","non-dropping-particle":"","parse-names":false,"suffix":""},{"dropping-particle":"","family":"Leiman","given":"A","non-dropping-particle":"","parse-names":false,"suffix":""},{"dropping-particle":"","family":"Hartzenberg","given":"G M","non-dropping-particle":"","parse-names":false,"suffix":""}],"container-title":"South African Medical Journal","id":"ITEM-1","issue":"6","issued":{"date-parts":[["1996"]]},"note":"Cited By :44\n\nExport Date: 1 June 2021","page":"679-684","title":"The direct and indirect costs of cardiovascular disease in South Africa in 1991","type":"article-journal","volume":"86"},"uris":["http://www.mendeley.com/documents/?uuid=06437706-0b9f-4f39-87a7-51491d9d957d"]}],"mendeley":{"formattedCitation":"&lt;sup&gt;29&lt;/sup&gt;","plainTextFormattedCitation":"29","previouslyFormattedCitation":"&lt;sup&gt;29&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29</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(1996)</w:t>
            </w:r>
          </w:p>
        </w:tc>
        <w:tc>
          <w:tcPr>
            <w:tcW w:w="1843" w:type="dxa"/>
            <w:vMerge w:val="restart"/>
            <w:shd w:val="clear" w:color="auto" w:fill="auto"/>
            <w:tcMar>
              <w:left w:w="57" w:type="dxa"/>
              <w:right w:w="57" w:type="dxa"/>
            </w:tcMar>
            <w:hideMark/>
          </w:tcPr>
          <w:p w14:paraId="4E7C1B7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Determine the availability and quality of data on the cost of CVD and estimate the economic impact of CVD</w:t>
            </w:r>
          </w:p>
        </w:tc>
        <w:tc>
          <w:tcPr>
            <w:tcW w:w="1299" w:type="dxa"/>
            <w:vMerge w:val="restart"/>
            <w:shd w:val="clear" w:color="auto" w:fill="auto"/>
            <w:tcMar>
              <w:left w:w="57" w:type="dxa"/>
              <w:right w:w="57" w:type="dxa"/>
            </w:tcMar>
            <w:hideMark/>
          </w:tcPr>
          <w:p w14:paraId="0A36FE5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N/S; hospital</w:t>
            </w:r>
          </w:p>
        </w:tc>
        <w:tc>
          <w:tcPr>
            <w:tcW w:w="1017" w:type="dxa"/>
            <w:shd w:val="clear" w:color="auto" w:fill="auto"/>
            <w:tcMar>
              <w:left w:w="57" w:type="dxa"/>
              <w:right w:w="57" w:type="dxa"/>
            </w:tcMar>
            <w:hideMark/>
          </w:tcPr>
          <w:p w14:paraId="7AC86CC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vMerge w:val="restart"/>
            <w:shd w:val="clear" w:color="auto" w:fill="auto"/>
            <w:tcMar>
              <w:left w:w="57" w:type="dxa"/>
              <w:right w:w="57" w:type="dxa"/>
            </w:tcMar>
            <w:hideMark/>
          </w:tcPr>
          <w:p w14:paraId="7602F7D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Full economic cost, bottom-up approach</w:t>
            </w:r>
          </w:p>
        </w:tc>
        <w:tc>
          <w:tcPr>
            <w:tcW w:w="1011" w:type="dxa"/>
            <w:vMerge w:val="restart"/>
            <w:shd w:val="clear" w:color="auto" w:fill="auto"/>
            <w:tcMar>
              <w:left w:w="57" w:type="dxa"/>
              <w:right w:w="57" w:type="dxa"/>
            </w:tcMar>
            <w:hideMark/>
          </w:tcPr>
          <w:p w14:paraId="6AEA1D2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1991-1992</w:t>
            </w:r>
          </w:p>
        </w:tc>
        <w:tc>
          <w:tcPr>
            <w:tcW w:w="2146" w:type="dxa"/>
            <w:shd w:val="clear" w:color="auto" w:fill="auto"/>
            <w:tcMar>
              <w:left w:w="57" w:type="dxa"/>
              <w:right w:w="57" w:type="dxa"/>
            </w:tcMar>
            <w:hideMark/>
          </w:tcPr>
          <w:p w14:paraId="326DA10F" w14:textId="090697A5"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monitoring and management of CVD</w:t>
            </w:r>
            <w:r w:rsidRPr="00FA697F">
              <w:rPr>
                <w:rFonts w:ascii="Times New Roman" w:eastAsia="Times New Roman" w:hAnsi="Times New Roman" w:cs="Times New Roman"/>
                <w:sz w:val="16"/>
                <w:szCs w:val="16"/>
                <w:lang w:eastAsia="en-GB"/>
              </w:rPr>
              <w:br/>
              <w:t>$ 204</w:t>
            </w:r>
            <w:r w:rsidR="00BF6EDC"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2m per year</w:t>
            </w:r>
          </w:p>
        </w:tc>
        <w:tc>
          <w:tcPr>
            <w:tcW w:w="1051" w:type="dxa"/>
            <w:shd w:val="clear" w:color="auto" w:fill="auto"/>
            <w:tcMar>
              <w:left w:w="57" w:type="dxa"/>
              <w:right w:w="57" w:type="dxa"/>
            </w:tcMar>
            <w:hideMark/>
          </w:tcPr>
          <w:p w14:paraId="32C89D5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55489A6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D5810B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6856E1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7DDDBC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54600B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599663F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986D63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4D619F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4AEBB9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E5EBBA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3512FC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4CA2139F"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Minor costs</w:t>
            </w:r>
          </w:p>
        </w:tc>
      </w:tr>
      <w:tr w:rsidR="00406B90" w:rsidRPr="00FA697F" w14:paraId="78A7002A" w14:textId="77777777" w:rsidTr="00DA0AFD">
        <w:trPr>
          <w:trHeight w:val="864"/>
        </w:trPr>
        <w:tc>
          <w:tcPr>
            <w:tcW w:w="431" w:type="dxa"/>
            <w:vMerge/>
            <w:tcMar>
              <w:left w:w="57" w:type="dxa"/>
              <w:right w:w="57" w:type="dxa"/>
            </w:tcMar>
            <w:vAlign w:val="center"/>
            <w:hideMark/>
          </w:tcPr>
          <w:p w14:paraId="697DE8D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1E5A672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0D335F4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06DB6ED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7" w:type="dxa"/>
            <w:shd w:val="clear" w:color="auto" w:fill="auto"/>
            <w:tcMar>
              <w:left w:w="57" w:type="dxa"/>
              <w:right w:w="57" w:type="dxa"/>
            </w:tcMar>
            <w:hideMark/>
          </w:tcPr>
          <w:p w14:paraId="2B387A4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vMerge/>
            <w:tcMar>
              <w:left w:w="57" w:type="dxa"/>
              <w:right w:w="57" w:type="dxa"/>
            </w:tcMar>
            <w:vAlign w:val="center"/>
            <w:hideMark/>
          </w:tcPr>
          <w:p w14:paraId="30B81B3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21F9A90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01D688C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1051" w:type="dxa"/>
            <w:shd w:val="clear" w:color="auto" w:fill="auto"/>
            <w:tcMar>
              <w:left w:w="57" w:type="dxa"/>
              <w:right w:w="57" w:type="dxa"/>
            </w:tcMar>
            <w:hideMark/>
          </w:tcPr>
          <w:p w14:paraId="1E48F65C" w14:textId="21A50CE4"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monitoring and management of CVD</w:t>
            </w:r>
            <w:r w:rsidRPr="00FA697F">
              <w:rPr>
                <w:rFonts w:ascii="Times New Roman" w:eastAsia="Times New Roman" w:hAnsi="Times New Roman" w:cs="Times New Roman"/>
                <w:sz w:val="16"/>
                <w:szCs w:val="16"/>
                <w:lang w:eastAsia="en-GB"/>
              </w:rPr>
              <w:br/>
              <w:t xml:space="preserve"> $ 515</w:t>
            </w:r>
            <w:r w:rsidR="00BF6EDC"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7m - $ 724m per year</w:t>
            </w:r>
          </w:p>
        </w:tc>
        <w:tc>
          <w:tcPr>
            <w:tcW w:w="260" w:type="dxa"/>
            <w:shd w:val="clear" w:color="auto" w:fill="auto"/>
            <w:tcMar>
              <w:left w:w="57" w:type="dxa"/>
              <w:right w:w="57" w:type="dxa"/>
            </w:tcMar>
            <w:hideMark/>
          </w:tcPr>
          <w:p w14:paraId="701FDB4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12BF19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DDFC35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C567F4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D5DC55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168B93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996D45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A5DDC0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DCE2BF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9798A8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6C366A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0146152D"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Minor costs</w:t>
            </w:r>
          </w:p>
        </w:tc>
      </w:tr>
      <w:tr w:rsidR="00406B90" w:rsidRPr="00FA697F" w14:paraId="3745C259" w14:textId="77777777" w:rsidTr="00DA0AFD">
        <w:trPr>
          <w:trHeight w:val="1764"/>
        </w:trPr>
        <w:tc>
          <w:tcPr>
            <w:tcW w:w="431" w:type="dxa"/>
            <w:vMerge w:val="restart"/>
            <w:shd w:val="clear" w:color="auto" w:fill="auto"/>
            <w:tcMar>
              <w:left w:w="57" w:type="dxa"/>
              <w:right w:w="57" w:type="dxa"/>
            </w:tcMar>
            <w:hideMark/>
          </w:tcPr>
          <w:p w14:paraId="39BE3A8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30</w:t>
            </w:r>
          </w:p>
        </w:tc>
        <w:tc>
          <w:tcPr>
            <w:tcW w:w="982" w:type="dxa"/>
            <w:vMerge w:val="restart"/>
            <w:shd w:val="clear" w:color="auto" w:fill="auto"/>
            <w:tcMar>
              <w:left w:w="57" w:type="dxa"/>
              <w:right w:w="57" w:type="dxa"/>
            </w:tcMar>
            <w:hideMark/>
          </w:tcPr>
          <w:p w14:paraId="51D8286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Biccard</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{"citationItems":[{"id":"ITEM-1","itemData":{"ISSN":"0256-9574 (Print)","PMID":"17167708","abstract":"We conducted a pharmaco-economic analysis of the prospective peri-operative studies of beta-blocker and statin administration for major elective non-cardiac surgery, using the Discovery Health claims costs for 2004. This analysis shows that acute peri-operative beta-blockade and statin therapy could result in a cost saving through a reduction in major perioperative cardiovascular complications in patients with an expected peri-operative major cardiovascular complication rate exceeding 10% following elective major non-cardiac surgery. The validity of these findings is dependent on whether the incidence of cardiovascular complications following major noncardiac surgery reported in the international literature is found to be similar in South Africa.","author":[{"dropping-particle":"","family":"Biccard","given":"B M","non-dropping-particle":"","parse-names":false,"suffix":""},{"dropping-particle":"","family":"Sear","given":"J W","non-dropping-particle":"","parse-names":false,"suffix":""},{"dropping-particle":"","family":"Foëx","given":"P","non-dropping-particle":"","parse-names":false,"suffix":""}],"container-title":"South African medical journal = Suid-Afrikaanse tydskrif vir geneeskunde","id":"ITEM-1","issue":"11","issued":{"date-parts":[["2006","11"]]},"language":"eng","page":"1199-1202","publisher-place":"South Africa","title":"The pharmaco-economics of peri-operative beta-blocker and statin therapy in South Africa.","type":"article-journal","volume":"96"},"uris":["http://www.mendeley.com/documents/?uuid=01ce8f0b-ed3c-4ced-a575-4052f2d91451"]}],"mendeley":{"formattedCitation":"&lt;sup&gt;30&lt;/sup&gt;","plainTextFormattedCitation":"30","previouslyFormattedCitation":"&lt;sup&gt;30&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30</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(2006)</w:t>
            </w:r>
          </w:p>
        </w:tc>
        <w:tc>
          <w:tcPr>
            <w:tcW w:w="1843" w:type="dxa"/>
            <w:vMerge w:val="restart"/>
            <w:shd w:val="clear" w:color="auto" w:fill="auto"/>
            <w:tcMar>
              <w:left w:w="57" w:type="dxa"/>
              <w:right w:w="57" w:type="dxa"/>
            </w:tcMar>
            <w:hideMark/>
          </w:tcPr>
          <w:p w14:paraId="6C91FB2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 cost-effectiveness analysis of the use of beta-blocker and statin therapy in high-risk non-cardiac surgery and vascular surgery patients</w:t>
            </w:r>
          </w:p>
        </w:tc>
        <w:tc>
          <w:tcPr>
            <w:tcW w:w="1299" w:type="dxa"/>
            <w:vMerge w:val="restart"/>
            <w:shd w:val="clear" w:color="auto" w:fill="auto"/>
            <w:tcMar>
              <w:left w:w="57" w:type="dxa"/>
              <w:right w:w="57" w:type="dxa"/>
            </w:tcMar>
            <w:hideMark/>
          </w:tcPr>
          <w:p w14:paraId="375E342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Adults (61-75) in all provinces; hospital</w:t>
            </w:r>
          </w:p>
        </w:tc>
        <w:tc>
          <w:tcPr>
            <w:tcW w:w="1017" w:type="dxa"/>
            <w:vMerge w:val="restart"/>
            <w:shd w:val="clear" w:color="auto" w:fill="auto"/>
            <w:tcMar>
              <w:left w:w="57" w:type="dxa"/>
              <w:right w:w="57" w:type="dxa"/>
            </w:tcMar>
            <w:hideMark/>
          </w:tcPr>
          <w:p w14:paraId="3402D22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vMerge w:val="restart"/>
            <w:shd w:val="clear" w:color="auto" w:fill="auto"/>
            <w:tcMar>
              <w:left w:w="57" w:type="dxa"/>
              <w:right w:w="57" w:type="dxa"/>
            </w:tcMar>
            <w:hideMark/>
          </w:tcPr>
          <w:p w14:paraId="6B44AE7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top-down approach</w:t>
            </w:r>
          </w:p>
        </w:tc>
        <w:tc>
          <w:tcPr>
            <w:tcW w:w="1011" w:type="dxa"/>
            <w:vMerge w:val="restart"/>
            <w:shd w:val="clear" w:color="auto" w:fill="auto"/>
            <w:tcMar>
              <w:left w:w="57" w:type="dxa"/>
              <w:right w:w="57" w:type="dxa"/>
            </w:tcMar>
            <w:hideMark/>
          </w:tcPr>
          <w:p w14:paraId="44E5904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2004</w:t>
            </w:r>
          </w:p>
        </w:tc>
        <w:tc>
          <w:tcPr>
            <w:tcW w:w="2146" w:type="dxa"/>
            <w:shd w:val="clear" w:color="auto" w:fill="auto"/>
            <w:tcMar>
              <w:left w:w="57" w:type="dxa"/>
              <w:right w:w="57" w:type="dxa"/>
            </w:tcMar>
            <w:hideMark/>
          </w:tcPr>
          <w:p w14:paraId="35DBC7AF" w14:textId="76037F12"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Prevention &amp; treatment of cardiovascular complications and adverse events</w:t>
            </w:r>
            <w:r w:rsidRPr="00FA697F">
              <w:rPr>
                <w:rFonts w:ascii="Times New Roman" w:eastAsia="Times New Roman" w:hAnsi="Times New Roman" w:cs="Times New Roman"/>
                <w:sz w:val="16"/>
                <w:szCs w:val="16"/>
                <w:lang w:eastAsia="en-GB"/>
              </w:rPr>
              <w:br/>
              <w:t>Peri-operative beta-blocker therapy: $2,007</w:t>
            </w:r>
            <w:r w:rsidRPr="00FA697F">
              <w:rPr>
                <w:rFonts w:ascii="Times New Roman" w:eastAsia="Times New Roman" w:hAnsi="Times New Roman" w:cs="Times New Roman"/>
                <w:sz w:val="16"/>
                <w:szCs w:val="16"/>
                <w:lang w:eastAsia="en-GB"/>
              </w:rPr>
              <w:br/>
              <w:t>No beta-blocker therapy: $2,153</w:t>
            </w:r>
            <w:r w:rsidRPr="00FA697F">
              <w:rPr>
                <w:rFonts w:ascii="Times New Roman" w:eastAsia="Times New Roman" w:hAnsi="Times New Roman" w:cs="Times New Roman"/>
                <w:sz w:val="16"/>
                <w:szCs w:val="16"/>
                <w:lang w:eastAsia="en-GB"/>
              </w:rPr>
              <w:br/>
              <w:t>per person</w:t>
            </w:r>
            <w:r w:rsidR="008C2D47"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4B8855A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484A895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E828AE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1173BF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3639B2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F4380F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BB6F86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564EA6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B8045F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309979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20A04F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56CD0D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7A94BDE4"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CVD complications &amp; adverse drug events</w:t>
            </w:r>
          </w:p>
        </w:tc>
      </w:tr>
      <w:tr w:rsidR="00406B90" w:rsidRPr="00FA697F" w14:paraId="2F2CDACD" w14:textId="77777777" w:rsidTr="00DA0AFD">
        <w:trPr>
          <w:trHeight w:val="1308"/>
        </w:trPr>
        <w:tc>
          <w:tcPr>
            <w:tcW w:w="431" w:type="dxa"/>
            <w:vMerge/>
            <w:tcMar>
              <w:left w:w="57" w:type="dxa"/>
              <w:right w:w="57" w:type="dxa"/>
            </w:tcMar>
            <w:vAlign w:val="center"/>
            <w:hideMark/>
          </w:tcPr>
          <w:p w14:paraId="0A3DA72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7A4330D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7EB519C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04AB666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3E8529C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15A1A53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754D1A7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29FCD9AA" w14:textId="41E4B61E"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Prevention &amp; treatment of cardiovascular complications and adverse events</w:t>
            </w:r>
            <w:r w:rsidRPr="00FA697F">
              <w:rPr>
                <w:rFonts w:ascii="Times New Roman" w:eastAsia="Times New Roman" w:hAnsi="Times New Roman" w:cs="Times New Roman"/>
                <w:sz w:val="16"/>
                <w:szCs w:val="16"/>
                <w:lang w:eastAsia="en-GB"/>
              </w:rPr>
              <w:br/>
              <w:t xml:space="preserve"> Peri-operative statin therapy: $1,250</w:t>
            </w:r>
            <w:r w:rsidRPr="00FA697F">
              <w:rPr>
                <w:rFonts w:ascii="Times New Roman" w:eastAsia="Times New Roman" w:hAnsi="Times New Roman" w:cs="Times New Roman"/>
                <w:sz w:val="16"/>
                <w:szCs w:val="16"/>
                <w:lang w:eastAsia="en-GB"/>
              </w:rPr>
              <w:br/>
              <w:t>No statin therapy: $1,558</w:t>
            </w:r>
            <w:r w:rsidRPr="00FA697F">
              <w:rPr>
                <w:rFonts w:ascii="Times New Roman" w:eastAsia="Times New Roman" w:hAnsi="Times New Roman" w:cs="Times New Roman"/>
                <w:sz w:val="16"/>
                <w:szCs w:val="16"/>
                <w:lang w:eastAsia="en-GB"/>
              </w:rPr>
              <w:br/>
              <w:t>per person</w:t>
            </w:r>
            <w:r w:rsidR="008C2D47"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64371C9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31515BF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941338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5616E2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5CB679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75115B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CBA165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9F80F2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C6A153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CBC0AB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4F2CE9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1EC49B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20D53A5E"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CVD complications</w:t>
            </w:r>
          </w:p>
        </w:tc>
      </w:tr>
      <w:tr w:rsidR="00406B90" w:rsidRPr="00FA697F" w14:paraId="25F871D6" w14:textId="77777777" w:rsidTr="00DA0AFD">
        <w:trPr>
          <w:trHeight w:val="1152"/>
        </w:trPr>
        <w:tc>
          <w:tcPr>
            <w:tcW w:w="431" w:type="dxa"/>
            <w:shd w:val="clear" w:color="auto" w:fill="auto"/>
            <w:tcMar>
              <w:left w:w="57" w:type="dxa"/>
              <w:right w:w="57" w:type="dxa"/>
            </w:tcMar>
            <w:hideMark/>
          </w:tcPr>
          <w:p w14:paraId="66D2BC3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lastRenderedPageBreak/>
              <w:t>16</w:t>
            </w:r>
          </w:p>
        </w:tc>
        <w:tc>
          <w:tcPr>
            <w:tcW w:w="982" w:type="dxa"/>
            <w:shd w:val="clear" w:color="auto" w:fill="auto"/>
            <w:tcMar>
              <w:left w:w="57" w:type="dxa"/>
              <w:right w:w="57" w:type="dxa"/>
            </w:tcMar>
            <w:hideMark/>
          </w:tcPr>
          <w:p w14:paraId="3D8B90B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Wessels</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{"citationItems":[{"id":"ITEM-1","itemData":{"DOI":"10.5830/CVJA-2010-001","ISSN":"19951892","abstract":"Introduction: This project was based on the FIELD trial.1 It is a localisation of the study by Carrington and Stewart.2 The aim of the original study was to determine the impact of fenofibrate therapy on healthcare costs of middle-aged patients with type 2 diabetes at high risk of future cardiovascular events. Methods: The methodology used in the Carrington article2 was adopted for this study. The clinical foundation for the analysis was derived from the findings of the FIELD study.1 All costs were sourced from electronic databases obtained from private-sector South African funders of healthcare. Event costs for the cardiovascular events were determined and added to the treatment costs for the individual treatment arms. The cost saving was determined as the difference between the event costs saved and the additional treatment costs associated with fenofibrate treatment. All costs were reported as 2008 ZAR and a discount rate of 10% was used. The study adopted a South African private-sector funder perspective. Results: If the same approach is followed as in the Carrington and Stewart study,2 a cost saving of 18% results. This is the difference between the total costs associated with the placebo and fenofibrate arms, respectively (R3 480 471 compared to R2 858 598 per 1 000 patient years for the placebo and fenofibrate arms, respectively). The total costs were determined as the sum of associated event costs and treatment costs for each of the comparators. Conclusions: Based on this exploratory analysis, it seems that Lipanthyl® treatment in middle-aged patients resulted in a cost saving due to the prevention of cardiovascular events when it was used in the treatment of type 2 diabetics, as in the FIELD study. It should therefore be considered to be cost effective, even when just the cardiovascular risk reduction effect is considered.","author":[{"dropping-particle":"","family":"Wessels","given":"Francois","non-dropping-particle":"","parse-names":false,"suffix":""}],"container-title":"Cardiovascular Journal of Africa","id":"ITEM-1","issue":"1","issued":{"date-parts":[["2010"]]},"page":"43-46","title":"Is fenofibrate a cost-saving treatment for middle-aged individuals with type 2 diabetes? A South African private-sector perspective","type":"article-journal","volume":"21"},"uris":["http://www.mendeley.com/documents/?uuid=a65f1554-b1c5-4281-839b-d4e1bab9b2ab"]}],"mendeley":{"formattedCitation":"&lt;sup&gt;16&lt;/sup&gt;","plainTextFormattedCitation":"16","previouslyFormattedCitation":"&lt;sup&gt;16&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16</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(2010)</w:t>
            </w:r>
          </w:p>
        </w:tc>
        <w:tc>
          <w:tcPr>
            <w:tcW w:w="1843" w:type="dxa"/>
            <w:shd w:val="clear" w:color="auto" w:fill="auto"/>
            <w:tcMar>
              <w:left w:w="57" w:type="dxa"/>
              <w:right w:w="57" w:type="dxa"/>
            </w:tcMar>
            <w:hideMark/>
          </w:tcPr>
          <w:p w14:paraId="2E3B137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Establish the healthcare cost impact of fenofibrate therapy for middle-aged type 2 diabetes patients at high risk of CVD</w:t>
            </w:r>
          </w:p>
        </w:tc>
        <w:tc>
          <w:tcPr>
            <w:tcW w:w="1299" w:type="dxa"/>
            <w:shd w:val="clear" w:color="auto" w:fill="auto"/>
            <w:tcMar>
              <w:left w:w="57" w:type="dxa"/>
              <w:right w:w="57" w:type="dxa"/>
            </w:tcMar>
            <w:hideMark/>
          </w:tcPr>
          <w:p w14:paraId="2B67BB4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Patients aged 50 to 75 years with T2DM; hospital</w:t>
            </w:r>
          </w:p>
        </w:tc>
        <w:tc>
          <w:tcPr>
            <w:tcW w:w="1017" w:type="dxa"/>
            <w:shd w:val="clear" w:color="auto" w:fill="auto"/>
            <w:tcMar>
              <w:left w:w="57" w:type="dxa"/>
              <w:right w:w="57" w:type="dxa"/>
            </w:tcMar>
            <w:hideMark/>
          </w:tcPr>
          <w:p w14:paraId="4587E82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shd w:val="clear" w:color="auto" w:fill="auto"/>
            <w:tcMar>
              <w:left w:w="57" w:type="dxa"/>
              <w:right w:w="57" w:type="dxa"/>
            </w:tcMar>
            <w:hideMark/>
          </w:tcPr>
          <w:p w14:paraId="09E2392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Full financial cost, top-down approach</w:t>
            </w:r>
          </w:p>
        </w:tc>
        <w:tc>
          <w:tcPr>
            <w:tcW w:w="1011" w:type="dxa"/>
            <w:shd w:val="clear" w:color="auto" w:fill="auto"/>
            <w:tcMar>
              <w:left w:w="57" w:type="dxa"/>
              <w:right w:w="57" w:type="dxa"/>
            </w:tcMar>
            <w:hideMark/>
          </w:tcPr>
          <w:p w14:paraId="46B8236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2008</w:t>
            </w:r>
          </w:p>
        </w:tc>
        <w:tc>
          <w:tcPr>
            <w:tcW w:w="2146" w:type="dxa"/>
            <w:shd w:val="clear" w:color="auto" w:fill="auto"/>
            <w:tcMar>
              <w:left w:w="57" w:type="dxa"/>
              <w:right w:w="57" w:type="dxa"/>
            </w:tcMar>
            <w:hideMark/>
          </w:tcPr>
          <w:p w14:paraId="2132044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Non-coronary revascularisation: $2,586</w:t>
            </w:r>
            <w:r w:rsidRPr="00FA697F">
              <w:rPr>
                <w:rFonts w:ascii="Times New Roman" w:eastAsia="Times New Roman" w:hAnsi="Times New Roman" w:cs="Times New Roman"/>
                <w:sz w:val="16"/>
                <w:szCs w:val="16"/>
                <w:lang w:eastAsia="en-GB"/>
              </w:rPr>
              <w:br/>
              <w:t>per event</w:t>
            </w:r>
          </w:p>
        </w:tc>
        <w:tc>
          <w:tcPr>
            <w:tcW w:w="1051" w:type="dxa"/>
            <w:shd w:val="clear" w:color="auto" w:fill="auto"/>
            <w:tcMar>
              <w:left w:w="57" w:type="dxa"/>
              <w:right w:w="57" w:type="dxa"/>
            </w:tcMar>
            <w:hideMark/>
          </w:tcPr>
          <w:p w14:paraId="16DAC89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624D6C6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F4432F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664D4A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653EBBB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2B5674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446EC6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FE8D3D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213821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172CC4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C12A4E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24DAAE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18A2508A"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6B6529DA" w14:textId="77777777" w:rsidTr="00DA0AFD">
        <w:trPr>
          <w:trHeight w:val="1728"/>
        </w:trPr>
        <w:tc>
          <w:tcPr>
            <w:tcW w:w="431" w:type="dxa"/>
            <w:shd w:val="clear" w:color="auto" w:fill="auto"/>
            <w:tcMar>
              <w:left w:w="57" w:type="dxa"/>
              <w:right w:w="57" w:type="dxa"/>
            </w:tcMar>
            <w:hideMark/>
          </w:tcPr>
          <w:p w14:paraId="4733DEF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22</w:t>
            </w:r>
          </w:p>
        </w:tc>
        <w:tc>
          <w:tcPr>
            <w:tcW w:w="982" w:type="dxa"/>
            <w:shd w:val="clear" w:color="auto" w:fill="auto"/>
            <w:tcMar>
              <w:left w:w="57" w:type="dxa"/>
              <w:right w:w="57" w:type="dxa"/>
            </w:tcMar>
            <w:hideMark/>
          </w:tcPr>
          <w:p w14:paraId="2BFD2A0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Bergh</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{"citationItems":[{"id":"ITEM-1","itemData":{"DOI":"10.7196/samj.6471","ISSN":"0256-9574 (Print)","PMID":"23547700","abstract":"BACKGROUND: Dabigatran is an oral anticoagulant direct thrombin inhibitor recently registered in South Africa (SA) to reduce the risk of stroke and systemic embolism in patients with atrial fibrillation (AF). Owing to the price disparity between warfarin (the current gold standard for treatment of patients with AF) and dabigatran, we conducted an economic appraisal of the use of dabigatran compared with warfarin from a payer perspective in the South African private healthcare setting. OBJECTIVES: To estimate the cost-effectiveness (CE) and budget impact of dabigatran compared with warfarin for the prevention of stroke in AF patients. Methods. A previously published Markov model was populated with SA cost and mortality data to estimate the CE and budget impact analysis of dabigatran over a lifetime horizon. The model population consisted of a cohort of patients of whom those aged younger than 80 years used dabigatran 150 mg twice daily and those older than 80 years 110 mg twice daily. Modelled outcomes included total cost, quality-adjusted life years (QALYs) and incremental CE ratio (ICER), with the effectiveness measured by QALYs gained. RESULTS: Dabigatran compared with warfarin as first-line treatment was estimated to have an ICER of R93 290 and an average incremental cost per beneficiary per month of R0.39 over a 5-year period. Conservative assumptions were made regarding the number of international normalised ratio monitoring tests for patients on warfarin, and the ICER is estimated to decrease by as much as 15.7% under less stringent assumptions. A robust sensitivity analysis was also performed. CONCLUSION: Dabigatran as first-line treatment compared with warfarin for the use of stroke prevention in patients with AF is deemed cost-effective when used in accordance with its registered indication in the SA private sector.","author":[{"dropping-particle":"","family":"Bergh","given":"M","non-dropping-particle":"","parse-names":false,"suffix":""},{"dropping-particle":"","family":"Marais","given":"C A","non-dropping-particle":"","parse-names":false,"suffix":""},{"dropping-particle":"","family":"Miller-Jansön","given":"H","non-dropping-particle":"","parse-names":false,"suffix":""},{"dropping-particle":"","family":"Salie","given":"F","non-dropping-particle":"","parse-names":false,"suffix":""},{"dropping-particle":"","family":"Stander","given":"M P","non-dropping-particle":"","parse-names":false,"suffix":""}],"container-title":"South African medical journal = Suid-Afrikaanse tydskrif vir geneeskunde","id":"ITEM-1","issue":"4","issued":{"date-parts":[["2013","2"]]},"language":"eng","page":"241-245","publisher-place":"South Africa","title":"Economic appraisal of dabigatran as first-line therapy for stroke prevention in atrial fibrillation.","type":"article-journal","volume":"103"},"uris":["http://www.mendeley.com/documents/?uuid=dc97fc53-8bdd-4f3c-a3f7-88f90f370f7d"]}],"mendeley":{"formattedCitation":"&lt;sup&gt;22&lt;/sup&gt;","plainTextFormattedCitation":"22","previouslyFormattedCitation":"&lt;sup&gt;22&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22</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(2013)</w:t>
            </w:r>
          </w:p>
        </w:tc>
        <w:tc>
          <w:tcPr>
            <w:tcW w:w="1843" w:type="dxa"/>
            <w:shd w:val="clear" w:color="auto" w:fill="auto"/>
            <w:tcMar>
              <w:left w:w="57" w:type="dxa"/>
              <w:right w:w="57" w:type="dxa"/>
            </w:tcMar>
            <w:hideMark/>
          </w:tcPr>
          <w:p w14:paraId="2A42444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Estimate the cost-effectiveness and budgetary impact of using dabigatran for stroke prevention</w:t>
            </w:r>
          </w:p>
        </w:tc>
        <w:tc>
          <w:tcPr>
            <w:tcW w:w="1299" w:type="dxa"/>
            <w:shd w:val="clear" w:color="auto" w:fill="auto"/>
            <w:tcMar>
              <w:left w:w="57" w:type="dxa"/>
              <w:right w:w="57" w:type="dxa"/>
            </w:tcMar>
            <w:hideMark/>
          </w:tcPr>
          <w:p w14:paraId="4B41592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Patients with atrial fibrillation; hospital</w:t>
            </w:r>
          </w:p>
        </w:tc>
        <w:tc>
          <w:tcPr>
            <w:tcW w:w="1017" w:type="dxa"/>
            <w:shd w:val="clear" w:color="auto" w:fill="auto"/>
            <w:tcMar>
              <w:left w:w="57" w:type="dxa"/>
              <w:right w:w="57" w:type="dxa"/>
            </w:tcMar>
            <w:hideMark/>
          </w:tcPr>
          <w:p w14:paraId="25067B2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(private)</w:t>
            </w:r>
          </w:p>
        </w:tc>
        <w:tc>
          <w:tcPr>
            <w:tcW w:w="1130" w:type="dxa"/>
            <w:shd w:val="clear" w:color="auto" w:fill="auto"/>
            <w:tcMar>
              <w:left w:w="57" w:type="dxa"/>
              <w:right w:w="57" w:type="dxa"/>
            </w:tcMar>
            <w:hideMark/>
          </w:tcPr>
          <w:p w14:paraId="04AF20F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ingredients-based and top-down approaches</w:t>
            </w:r>
          </w:p>
        </w:tc>
        <w:tc>
          <w:tcPr>
            <w:tcW w:w="1011" w:type="dxa"/>
            <w:shd w:val="clear" w:color="auto" w:fill="auto"/>
            <w:tcMar>
              <w:left w:w="57" w:type="dxa"/>
              <w:right w:w="57" w:type="dxa"/>
            </w:tcMar>
            <w:hideMark/>
          </w:tcPr>
          <w:p w14:paraId="4D8FA9F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2000 - 2007</w:t>
            </w:r>
          </w:p>
        </w:tc>
        <w:tc>
          <w:tcPr>
            <w:tcW w:w="2146" w:type="dxa"/>
            <w:shd w:val="clear" w:color="auto" w:fill="auto"/>
            <w:tcMar>
              <w:left w:w="57" w:type="dxa"/>
              <w:right w:w="57" w:type="dxa"/>
            </w:tcMar>
            <w:hideMark/>
          </w:tcPr>
          <w:p w14:paraId="1B7888EE" w14:textId="631E11D9"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Treatment of stroke, systemic embolism, ischaemic attack or atrial fibrillation &amp; adverse events</w:t>
            </w:r>
            <w:r w:rsidRPr="00FA697F">
              <w:rPr>
                <w:rFonts w:ascii="Times New Roman" w:eastAsia="Times New Roman" w:hAnsi="Times New Roman" w:cs="Times New Roman"/>
                <w:sz w:val="16"/>
                <w:szCs w:val="16"/>
                <w:lang w:eastAsia="en-GB"/>
              </w:rPr>
              <w:br/>
              <w:t>Dabigatran: $2,618</w:t>
            </w:r>
            <w:r w:rsidRPr="00FA697F">
              <w:rPr>
                <w:rFonts w:ascii="Times New Roman" w:eastAsia="Times New Roman" w:hAnsi="Times New Roman" w:cs="Times New Roman"/>
                <w:sz w:val="16"/>
                <w:szCs w:val="16"/>
                <w:lang w:eastAsia="en-GB"/>
              </w:rPr>
              <w:br/>
              <w:t>Trial-like warfarin: $2,781</w:t>
            </w:r>
            <w:r w:rsidRPr="00FA697F">
              <w:rPr>
                <w:rFonts w:ascii="Times New Roman" w:eastAsia="Times New Roman" w:hAnsi="Times New Roman" w:cs="Times New Roman"/>
                <w:sz w:val="16"/>
                <w:szCs w:val="16"/>
                <w:lang w:eastAsia="en-GB"/>
              </w:rPr>
              <w:br/>
              <w:t>per person</w:t>
            </w:r>
            <w:r w:rsidR="008C2D47"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year</w:t>
            </w:r>
          </w:p>
        </w:tc>
        <w:tc>
          <w:tcPr>
            <w:tcW w:w="1051" w:type="dxa"/>
            <w:shd w:val="clear" w:color="auto" w:fill="auto"/>
            <w:tcMar>
              <w:left w:w="57" w:type="dxa"/>
              <w:right w:w="57" w:type="dxa"/>
            </w:tcMar>
            <w:hideMark/>
          </w:tcPr>
          <w:p w14:paraId="7A29D34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N/A</w:t>
            </w:r>
          </w:p>
        </w:tc>
        <w:tc>
          <w:tcPr>
            <w:tcW w:w="260" w:type="dxa"/>
            <w:shd w:val="clear" w:color="auto" w:fill="auto"/>
            <w:tcMar>
              <w:left w:w="57" w:type="dxa"/>
              <w:right w:w="57" w:type="dxa"/>
            </w:tcMar>
            <w:hideMark/>
          </w:tcPr>
          <w:p w14:paraId="319B02D7"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2C8C6D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B815D6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CE8375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39EF98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34D7F82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C58B67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25D683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475116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A287D9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E6620E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2F0845A9"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p>
        </w:tc>
      </w:tr>
      <w:tr w:rsidR="00406B90" w:rsidRPr="00FA697F" w14:paraId="47122E36" w14:textId="77777777" w:rsidTr="00DA0AFD">
        <w:trPr>
          <w:trHeight w:val="1152"/>
        </w:trPr>
        <w:tc>
          <w:tcPr>
            <w:tcW w:w="431" w:type="dxa"/>
            <w:vMerge w:val="restart"/>
            <w:shd w:val="clear" w:color="auto" w:fill="auto"/>
            <w:tcMar>
              <w:left w:w="57" w:type="dxa"/>
              <w:right w:w="57" w:type="dxa"/>
            </w:tcMar>
            <w:hideMark/>
          </w:tcPr>
          <w:p w14:paraId="230378A6"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19</w:t>
            </w:r>
          </w:p>
        </w:tc>
        <w:tc>
          <w:tcPr>
            <w:tcW w:w="982" w:type="dxa"/>
            <w:vMerge w:val="restart"/>
            <w:shd w:val="clear" w:color="auto" w:fill="auto"/>
            <w:tcMar>
              <w:left w:w="57" w:type="dxa"/>
              <w:right w:w="57" w:type="dxa"/>
            </w:tcMar>
            <w:hideMark/>
          </w:tcPr>
          <w:p w14:paraId="573833D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Laas</w:t>
            </w:r>
            <w:r w:rsidRPr="00FA697F">
              <w:rPr>
                <w:rFonts w:ascii="Times New Roman" w:eastAsia="Times New Roman" w:hAnsi="Times New Roman" w:cs="Times New Roman"/>
                <w:sz w:val="16"/>
                <w:szCs w:val="16"/>
                <w:lang w:eastAsia="en-GB"/>
              </w:rPr>
              <w:fldChar w:fldCharType="begin" w:fldLock="1"/>
            </w:r>
            <w:r w:rsidRPr="00FA697F">
              <w:rPr>
                <w:rFonts w:ascii="Times New Roman" w:eastAsia="Times New Roman" w:hAnsi="Times New Roman" w:cs="Times New Roman"/>
                <w:sz w:val="16"/>
                <w:szCs w:val="16"/>
                <w:lang w:eastAsia="en-GB"/>
              </w:rPr>
              <w:instrText>ADDIN CSL_CITATION {"citationItems":[{"id":"ITEM-1","itemData":{"DOI":"10.7196/SAMJ.2018.v108i12.13256","author":[{"dropping-particle":"","family":"Laäs","given":"D J","non-dropping-particle":"","parse-names":false,"suffix":""},{"dropping-particle":"","family":"Naidoo","given":"M","non-dropping-particle":"","parse-names":false,"suffix":""}],"container-title":"South African Medical Journal","id":"ITEM-1","issue":"12","issued":{"date-parts":[["2018"]]},"note":"Cited By :4\n\nExport Date: 11 August 2021","page":"1046-1050","title":"An evaluation of warfarin use at an urban district-level hospital in Kwazulu-natal Province, South Africa","type":"article-journal","volume":"108"},"uris":["http://www.mendeley.com/documents/?uuid=e6cf25dd-8477-4c35-bcb8-5cddd68b8863"]}],"mendeley":{"formattedCitation":"&lt;sup&gt;19&lt;/sup&gt;","plainTextFormattedCitation":"19","previouslyFormattedCitation":"&lt;sup&gt;19&lt;/sup&gt;"},"properties":{"noteIndex":0},"schema":"https://github.com/citation-style-language/schema/raw/master/csl-citation.json"}</w:instrText>
            </w:r>
            <w:r w:rsidRPr="00FA697F">
              <w:rPr>
                <w:rFonts w:ascii="Times New Roman" w:eastAsia="Times New Roman" w:hAnsi="Times New Roman" w:cs="Times New Roman"/>
                <w:sz w:val="16"/>
                <w:szCs w:val="16"/>
                <w:lang w:eastAsia="en-GB"/>
              </w:rPr>
              <w:fldChar w:fldCharType="separate"/>
            </w:r>
            <w:r w:rsidRPr="00FA697F">
              <w:rPr>
                <w:rFonts w:ascii="Times New Roman" w:eastAsia="Times New Roman" w:hAnsi="Times New Roman" w:cs="Times New Roman"/>
                <w:noProof/>
                <w:sz w:val="16"/>
                <w:szCs w:val="16"/>
                <w:vertAlign w:val="superscript"/>
                <w:lang w:eastAsia="en-GB"/>
              </w:rPr>
              <w:t>19</w:t>
            </w:r>
            <w:r w:rsidRPr="00FA697F">
              <w:rPr>
                <w:rFonts w:ascii="Times New Roman" w:eastAsia="Times New Roman" w:hAnsi="Times New Roman" w:cs="Times New Roman"/>
                <w:sz w:val="16"/>
                <w:szCs w:val="16"/>
                <w:lang w:eastAsia="en-GB"/>
              </w:rPr>
              <w:fldChar w:fldCharType="end"/>
            </w:r>
            <w:r w:rsidRPr="00FA697F">
              <w:rPr>
                <w:rFonts w:ascii="Times New Roman" w:eastAsia="Times New Roman" w:hAnsi="Times New Roman" w:cs="Times New Roman"/>
                <w:sz w:val="16"/>
                <w:szCs w:val="16"/>
                <w:lang w:eastAsia="en-GB"/>
              </w:rPr>
              <w:t xml:space="preserve"> (2018)</w:t>
            </w:r>
          </w:p>
        </w:tc>
        <w:tc>
          <w:tcPr>
            <w:tcW w:w="1843" w:type="dxa"/>
            <w:vMerge w:val="restart"/>
            <w:shd w:val="clear" w:color="auto" w:fill="auto"/>
            <w:tcMar>
              <w:left w:w="57" w:type="dxa"/>
              <w:right w:w="57" w:type="dxa"/>
            </w:tcMar>
            <w:hideMark/>
          </w:tcPr>
          <w:p w14:paraId="222ADB5D" w14:textId="6FD15CB3"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Evaluate the cost</w:t>
            </w:r>
            <w:r w:rsidR="008C2D47" w:rsidRPr="00FA697F">
              <w:rPr>
                <w:rFonts w:ascii="Times New Roman" w:eastAsia="Times New Roman" w:hAnsi="Times New Roman" w:cs="Times New Roman"/>
                <w:sz w:val="16"/>
                <w:szCs w:val="16"/>
                <w:lang w:eastAsia="en-GB"/>
              </w:rPr>
              <w:t>-</w:t>
            </w:r>
            <w:r w:rsidRPr="00FA697F">
              <w:rPr>
                <w:rFonts w:ascii="Times New Roman" w:eastAsia="Times New Roman" w:hAnsi="Times New Roman" w:cs="Times New Roman"/>
                <w:sz w:val="16"/>
                <w:szCs w:val="16"/>
                <w:lang w:eastAsia="en-GB"/>
              </w:rPr>
              <w:t xml:space="preserve">effectiveness and patients’ quality of care of warfarin therapy </w:t>
            </w:r>
            <w:r w:rsidRPr="00FA697F">
              <w:rPr>
                <w:rFonts w:ascii="Times New Roman" w:eastAsia="Times New Roman" w:hAnsi="Times New Roman" w:cs="Times New Roman"/>
                <w:sz w:val="16"/>
                <w:szCs w:val="16"/>
                <w:lang w:eastAsia="en-GB"/>
              </w:rPr>
              <w:br/>
              <w:t xml:space="preserve"> </w:t>
            </w:r>
          </w:p>
        </w:tc>
        <w:tc>
          <w:tcPr>
            <w:tcW w:w="1299" w:type="dxa"/>
            <w:vMerge w:val="restart"/>
            <w:shd w:val="clear" w:color="auto" w:fill="auto"/>
            <w:tcMar>
              <w:left w:w="57" w:type="dxa"/>
              <w:right w:w="57" w:type="dxa"/>
            </w:tcMar>
            <w:hideMark/>
          </w:tcPr>
          <w:p w14:paraId="612E411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Patients on warfarin; hospital</w:t>
            </w:r>
          </w:p>
        </w:tc>
        <w:tc>
          <w:tcPr>
            <w:tcW w:w="1017" w:type="dxa"/>
            <w:vMerge w:val="restart"/>
            <w:shd w:val="clear" w:color="auto" w:fill="auto"/>
            <w:tcMar>
              <w:left w:w="57" w:type="dxa"/>
              <w:right w:w="57" w:type="dxa"/>
            </w:tcMar>
            <w:hideMark/>
          </w:tcPr>
          <w:p w14:paraId="46842C6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Provider (public)</w:t>
            </w:r>
          </w:p>
        </w:tc>
        <w:tc>
          <w:tcPr>
            <w:tcW w:w="1130" w:type="dxa"/>
            <w:vMerge w:val="restart"/>
            <w:shd w:val="clear" w:color="auto" w:fill="auto"/>
            <w:tcMar>
              <w:left w:w="57" w:type="dxa"/>
              <w:right w:w="57" w:type="dxa"/>
            </w:tcMar>
            <w:hideMark/>
          </w:tcPr>
          <w:p w14:paraId="57A860D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Incremental financial cost, ingredients approaches</w:t>
            </w:r>
          </w:p>
        </w:tc>
        <w:tc>
          <w:tcPr>
            <w:tcW w:w="1011" w:type="dxa"/>
            <w:vMerge w:val="restart"/>
            <w:shd w:val="clear" w:color="auto" w:fill="auto"/>
            <w:tcMar>
              <w:left w:w="57" w:type="dxa"/>
              <w:right w:w="57" w:type="dxa"/>
            </w:tcMar>
            <w:hideMark/>
          </w:tcPr>
          <w:p w14:paraId="7197970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2017</w:t>
            </w:r>
          </w:p>
        </w:tc>
        <w:tc>
          <w:tcPr>
            <w:tcW w:w="2146" w:type="dxa"/>
            <w:shd w:val="clear" w:color="auto" w:fill="auto"/>
            <w:tcMar>
              <w:left w:w="57" w:type="dxa"/>
              <w:right w:w="57" w:type="dxa"/>
            </w:tcMar>
            <w:hideMark/>
          </w:tcPr>
          <w:p w14:paraId="5F8ADF75"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Inpatient and emergency care</w:t>
            </w:r>
            <w:r w:rsidRPr="00FA697F">
              <w:rPr>
                <w:rFonts w:ascii="Times New Roman" w:eastAsia="Times New Roman" w:hAnsi="Times New Roman" w:cs="Times New Roman"/>
                <w:sz w:val="16"/>
                <w:szCs w:val="16"/>
                <w:lang w:eastAsia="en-GB"/>
              </w:rPr>
              <w:br/>
              <w:t>Median: $978</w:t>
            </w:r>
          </w:p>
          <w:p w14:paraId="6DAB709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br/>
              <w:t>Mean: $1,140</w:t>
            </w:r>
          </w:p>
          <w:p w14:paraId="650ADF3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br/>
              <w:t>per person month</w:t>
            </w:r>
          </w:p>
        </w:tc>
        <w:tc>
          <w:tcPr>
            <w:tcW w:w="1051" w:type="dxa"/>
            <w:shd w:val="clear" w:color="auto" w:fill="auto"/>
            <w:tcMar>
              <w:left w:w="57" w:type="dxa"/>
              <w:right w:w="57" w:type="dxa"/>
            </w:tcMar>
            <w:hideMark/>
          </w:tcPr>
          <w:p w14:paraId="6D23229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p w14:paraId="77F1F4B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p w14:paraId="1846A50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IQR: $434 - $1,846</w:t>
            </w:r>
            <w:r w:rsidRPr="00FA697F">
              <w:rPr>
                <w:rFonts w:ascii="Times New Roman" w:eastAsia="Times New Roman" w:hAnsi="Times New Roman" w:cs="Times New Roman"/>
                <w:sz w:val="16"/>
                <w:szCs w:val="16"/>
                <w:lang w:eastAsia="en-GB"/>
              </w:rPr>
              <w:br/>
              <w:t>SEM: $667 - $1,612</w:t>
            </w:r>
          </w:p>
        </w:tc>
        <w:tc>
          <w:tcPr>
            <w:tcW w:w="260" w:type="dxa"/>
            <w:shd w:val="clear" w:color="auto" w:fill="auto"/>
            <w:tcMar>
              <w:left w:w="57" w:type="dxa"/>
              <w:right w:w="57" w:type="dxa"/>
            </w:tcMar>
            <w:hideMark/>
          </w:tcPr>
          <w:p w14:paraId="69365B4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6557B8A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7154026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3EEC656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0DFA3D2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4084E1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5DA7C0A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796EF1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45FC53C"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291E7440"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05E92D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857" w:type="dxa"/>
            <w:shd w:val="clear" w:color="auto" w:fill="auto"/>
            <w:tcMar>
              <w:left w:w="57" w:type="dxa"/>
              <w:right w:w="57" w:type="dxa"/>
            </w:tcMar>
            <w:textDirection w:val="btLr"/>
            <w:hideMark/>
          </w:tcPr>
          <w:p w14:paraId="173428E9" w14:textId="77777777"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Other investigations</w:t>
            </w:r>
          </w:p>
        </w:tc>
      </w:tr>
      <w:tr w:rsidR="00406B90" w:rsidRPr="00FA697F" w14:paraId="31ABA607" w14:textId="77777777" w:rsidTr="00DA0AFD">
        <w:trPr>
          <w:trHeight w:val="1427"/>
        </w:trPr>
        <w:tc>
          <w:tcPr>
            <w:tcW w:w="431" w:type="dxa"/>
            <w:vMerge/>
            <w:tcMar>
              <w:left w:w="57" w:type="dxa"/>
              <w:right w:w="57" w:type="dxa"/>
            </w:tcMar>
            <w:vAlign w:val="center"/>
            <w:hideMark/>
          </w:tcPr>
          <w:p w14:paraId="1F83B6F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982" w:type="dxa"/>
            <w:vMerge/>
            <w:tcMar>
              <w:left w:w="57" w:type="dxa"/>
              <w:right w:w="57" w:type="dxa"/>
            </w:tcMar>
            <w:vAlign w:val="center"/>
            <w:hideMark/>
          </w:tcPr>
          <w:p w14:paraId="1B0F0A6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843" w:type="dxa"/>
            <w:vMerge/>
            <w:tcMar>
              <w:left w:w="57" w:type="dxa"/>
              <w:right w:w="57" w:type="dxa"/>
            </w:tcMar>
            <w:vAlign w:val="center"/>
            <w:hideMark/>
          </w:tcPr>
          <w:p w14:paraId="2B0F081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299" w:type="dxa"/>
            <w:vMerge/>
            <w:tcMar>
              <w:left w:w="57" w:type="dxa"/>
              <w:right w:w="57" w:type="dxa"/>
            </w:tcMar>
            <w:vAlign w:val="center"/>
            <w:hideMark/>
          </w:tcPr>
          <w:p w14:paraId="7AB6C2D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7" w:type="dxa"/>
            <w:vMerge/>
            <w:tcMar>
              <w:left w:w="57" w:type="dxa"/>
              <w:right w:w="57" w:type="dxa"/>
            </w:tcMar>
            <w:vAlign w:val="center"/>
            <w:hideMark/>
          </w:tcPr>
          <w:p w14:paraId="505E3D99"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130" w:type="dxa"/>
            <w:vMerge/>
            <w:tcMar>
              <w:left w:w="57" w:type="dxa"/>
              <w:right w:w="57" w:type="dxa"/>
            </w:tcMar>
            <w:vAlign w:val="center"/>
            <w:hideMark/>
          </w:tcPr>
          <w:p w14:paraId="4A6E021B"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1011" w:type="dxa"/>
            <w:vMerge/>
            <w:tcMar>
              <w:left w:w="57" w:type="dxa"/>
              <w:right w:w="57" w:type="dxa"/>
            </w:tcMar>
            <w:vAlign w:val="center"/>
            <w:hideMark/>
          </w:tcPr>
          <w:p w14:paraId="7953926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146" w:type="dxa"/>
            <w:shd w:val="clear" w:color="auto" w:fill="auto"/>
            <w:tcMar>
              <w:left w:w="57" w:type="dxa"/>
              <w:right w:w="57" w:type="dxa"/>
            </w:tcMar>
            <w:hideMark/>
          </w:tcPr>
          <w:p w14:paraId="1623ABD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Outpatient care</w:t>
            </w:r>
          </w:p>
          <w:p w14:paraId="71853DA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Median: $142</w:t>
            </w:r>
          </w:p>
          <w:p w14:paraId="1F9A75D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br/>
              <w:t>Mean: $160</w:t>
            </w:r>
          </w:p>
          <w:p w14:paraId="03A6F0C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br/>
              <w:t>per person month</w:t>
            </w:r>
          </w:p>
        </w:tc>
        <w:tc>
          <w:tcPr>
            <w:tcW w:w="1051" w:type="dxa"/>
            <w:shd w:val="clear" w:color="auto" w:fill="auto"/>
            <w:tcMar>
              <w:left w:w="57" w:type="dxa"/>
              <w:right w:w="57" w:type="dxa"/>
            </w:tcMar>
            <w:hideMark/>
          </w:tcPr>
          <w:p w14:paraId="3670B77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p w14:paraId="1D3A7B7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IQR: $136 - $160</w:t>
            </w:r>
            <w:r w:rsidRPr="00FA697F">
              <w:rPr>
                <w:rFonts w:ascii="Times New Roman" w:eastAsia="Times New Roman" w:hAnsi="Times New Roman" w:cs="Times New Roman"/>
                <w:sz w:val="16"/>
                <w:szCs w:val="16"/>
                <w:lang w:eastAsia="en-GB"/>
              </w:rPr>
              <w:br/>
              <w:t>SEM: $156 - $163</w:t>
            </w:r>
          </w:p>
        </w:tc>
        <w:tc>
          <w:tcPr>
            <w:tcW w:w="260" w:type="dxa"/>
            <w:shd w:val="clear" w:color="auto" w:fill="auto"/>
            <w:tcMar>
              <w:left w:w="57" w:type="dxa"/>
              <w:right w:w="57" w:type="dxa"/>
            </w:tcMar>
            <w:hideMark/>
          </w:tcPr>
          <w:p w14:paraId="67A0338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07E619C4"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21772582"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72E6B3A1"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x</w:t>
            </w:r>
          </w:p>
        </w:tc>
        <w:tc>
          <w:tcPr>
            <w:tcW w:w="294" w:type="dxa"/>
            <w:shd w:val="clear" w:color="auto" w:fill="auto"/>
            <w:tcMar>
              <w:left w:w="57" w:type="dxa"/>
              <w:right w:w="57" w:type="dxa"/>
            </w:tcMar>
            <w:hideMark/>
          </w:tcPr>
          <w:p w14:paraId="17862BA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145DC1F"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01A500D"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4C7DE4CE"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4BF83C3"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22E89EA"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294" w:type="dxa"/>
            <w:shd w:val="clear" w:color="auto" w:fill="auto"/>
            <w:tcMar>
              <w:left w:w="57" w:type="dxa"/>
              <w:right w:w="57" w:type="dxa"/>
            </w:tcMar>
            <w:hideMark/>
          </w:tcPr>
          <w:p w14:paraId="1E6D80B8" w14:textId="77777777" w:rsidR="00406B90" w:rsidRPr="00FA697F" w:rsidRDefault="00406B90" w:rsidP="00406B90">
            <w:pPr>
              <w:spacing w:after="0" w:line="240" w:lineRule="auto"/>
              <w:rPr>
                <w:rFonts w:ascii="Times New Roman" w:eastAsia="Times New Roman" w:hAnsi="Times New Roman" w:cs="Times New Roman"/>
                <w:sz w:val="16"/>
                <w:szCs w:val="16"/>
                <w:lang w:eastAsia="en-GB"/>
              </w:rPr>
            </w:pPr>
          </w:p>
        </w:tc>
        <w:tc>
          <w:tcPr>
            <w:tcW w:w="857" w:type="dxa"/>
            <w:shd w:val="clear" w:color="auto" w:fill="auto"/>
            <w:tcMar>
              <w:left w:w="57" w:type="dxa"/>
              <w:right w:w="57" w:type="dxa"/>
            </w:tcMar>
            <w:textDirection w:val="btLr"/>
            <w:hideMark/>
          </w:tcPr>
          <w:p w14:paraId="69EFDAD9" w14:textId="4ABC3F74" w:rsidR="00406B90" w:rsidRPr="00FA697F" w:rsidRDefault="00406B90" w:rsidP="00406B90">
            <w:pPr>
              <w:spacing w:after="0" w:line="240" w:lineRule="auto"/>
              <w:jc w:val="center"/>
              <w:rPr>
                <w:rFonts w:ascii="Times New Roman" w:eastAsia="Times New Roman" w:hAnsi="Times New Roman" w:cs="Times New Roman"/>
                <w:sz w:val="16"/>
                <w:szCs w:val="16"/>
                <w:lang w:eastAsia="en-GB"/>
              </w:rPr>
            </w:pPr>
            <w:r w:rsidRPr="00FA697F">
              <w:rPr>
                <w:rFonts w:ascii="Times New Roman" w:eastAsia="Times New Roman" w:hAnsi="Times New Roman" w:cs="Times New Roman"/>
                <w:sz w:val="16"/>
                <w:szCs w:val="16"/>
                <w:lang w:eastAsia="en-GB"/>
              </w:rPr>
              <w:t>Outpatient and emergency room visits</w:t>
            </w:r>
          </w:p>
        </w:tc>
      </w:tr>
    </w:tbl>
    <w:p w14:paraId="210D234D" w14:textId="176B8A46" w:rsidR="00C85EA4" w:rsidRPr="00FA697F" w:rsidRDefault="000374C9" w:rsidP="00560043">
      <w:pPr>
        <w:spacing w:line="276" w:lineRule="auto"/>
        <w:rPr>
          <w:rFonts w:ascii="Times New Roman" w:hAnsi="Times New Roman" w:cs="Times New Roman"/>
          <w:sz w:val="16"/>
          <w:szCs w:val="16"/>
        </w:rPr>
      </w:pPr>
      <w:r w:rsidRPr="00FA697F">
        <w:rPr>
          <w:rFonts w:ascii="Times New Roman" w:hAnsi="Times New Roman" w:cs="Times New Roman"/>
          <w:sz w:val="16"/>
          <w:szCs w:val="16"/>
        </w:rPr>
        <w:t>*</w:t>
      </w:r>
      <w:r w:rsidR="003E609A" w:rsidRPr="00FA697F">
        <w:rPr>
          <w:rFonts w:ascii="Times New Roman" w:hAnsi="Times New Roman" w:cs="Times New Roman"/>
          <w:sz w:val="16"/>
          <w:szCs w:val="16"/>
        </w:rPr>
        <w:t>Where the costing period was not reported, it was assumed to be the year before publication and bracketed.</w:t>
      </w:r>
    </w:p>
    <w:p w14:paraId="101002C3" w14:textId="5084CD92" w:rsidR="00031D9B" w:rsidRPr="00FA697F" w:rsidRDefault="00C85EA4" w:rsidP="00560043">
      <w:pPr>
        <w:spacing w:line="276" w:lineRule="auto"/>
        <w:rPr>
          <w:rFonts w:ascii="Times New Roman" w:hAnsi="Times New Roman" w:cs="Times New Roman"/>
          <w:sz w:val="16"/>
          <w:szCs w:val="16"/>
        </w:rPr>
      </w:pPr>
      <w:r w:rsidRPr="00FA697F">
        <w:rPr>
          <w:rFonts w:ascii="Times New Roman" w:hAnsi="Times New Roman" w:cs="Times New Roman"/>
          <w:sz w:val="16"/>
          <w:szCs w:val="16"/>
          <w:lang w:val="de-DE"/>
        </w:rPr>
        <w:t xml:space="preserve">Abbreviations: </w:t>
      </w:r>
      <w:r w:rsidR="000F5A32" w:rsidRPr="00FA697F">
        <w:rPr>
          <w:rFonts w:ascii="Times New Roman" w:hAnsi="Times New Roman" w:cs="Times New Roman"/>
          <w:sz w:val="16"/>
          <w:szCs w:val="16"/>
          <w:lang w:val="de-DE"/>
        </w:rPr>
        <w:t>T2DM</w:t>
      </w:r>
      <w:r w:rsidR="001E72DF" w:rsidRPr="00FA697F">
        <w:rPr>
          <w:rFonts w:ascii="Times New Roman" w:hAnsi="Times New Roman" w:cs="Times New Roman"/>
          <w:sz w:val="16"/>
          <w:szCs w:val="16"/>
          <w:lang w:val="de-DE"/>
        </w:rPr>
        <w:t xml:space="preserve">: </w:t>
      </w:r>
      <w:r w:rsidR="00306AB6" w:rsidRPr="00FA697F">
        <w:rPr>
          <w:rFonts w:ascii="Times New Roman" w:hAnsi="Times New Roman" w:cs="Times New Roman"/>
          <w:sz w:val="16"/>
          <w:szCs w:val="16"/>
          <w:lang w:val="de-DE"/>
        </w:rPr>
        <w:t>T</w:t>
      </w:r>
      <w:r w:rsidR="000F5A32" w:rsidRPr="00FA697F">
        <w:rPr>
          <w:rFonts w:ascii="Times New Roman" w:hAnsi="Times New Roman" w:cs="Times New Roman"/>
          <w:sz w:val="16"/>
          <w:szCs w:val="16"/>
          <w:lang w:val="de-DE"/>
        </w:rPr>
        <w:t xml:space="preserve">ype 2 </w:t>
      </w:r>
      <w:r w:rsidR="008A490E" w:rsidRPr="00FA697F">
        <w:rPr>
          <w:rFonts w:ascii="Times New Roman" w:hAnsi="Times New Roman" w:cs="Times New Roman"/>
          <w:sz w:val="16"/>
          <w:szCs w:val="16"/>
          <w:lang w:val="de-DE"/>
        </w:rPr>
        <w:t>d</w:t>
      </w:r>
      <w:r w:rsidR="000F5A32" w:rsidRPr="00FA697F">
        <w:rPr>
          <w:rFonts w:ascii="Times New Roman" w:hAnsi="Times New Roman" w:cs="Times New Roman"/>
          <w:sz w:val="16"/>
          <w:szCs w:val="16"/>
          <w:lang w:val="de-DE"/>
        </w:rPr>
        <w:t xml:space="preserve">iabetes </w:t>
      </w:r>
      <w:r w:rsidR="008A490E" w:rsidRPr="00FA697F">
        <w:rPr>
          <w:rFonts w:ascii="Times New Roman" w:hAnsi="Times New Roman" w:cs="Times New Roman"/>
          <w:sz w:val="16"/>
          <w:szCs w:val="16"/>
          <w:lang w:val="de-DE"/>
        </w:rPr>
        <w:t>m</w:t>
      </w:r>
      <w:r w:rsidR="000F5A32" w:rsidRPr="00FA697F">
        <w:rPr>
          <w:rFonts w:ascii="Times New Roman" w:hAnsi="Times New Roman" w:cs="Times New Roman"/>
          <w:sz w:val="16"/>
          <w:szCs w:val="16"/>
          <w:lang w:val="de-DE"/>
        </w:rPr>
        <w:t>ellitus</w:t>
      </w:r>
      <w:r w:rsidR="001E72DF" w:rsidRPr="00FA697F">
        <w:rPr>
          <w:rFonts w:ascii="Times New Roman" w:hAnsi="Times New Roman" w:cs="Times New Roman"/>
          <w:sz w:val="16"/>
          <w:szCs w:val="16"/>
          <w:lang w:val="de-DE"/>
        </w:rPr>
        <w:t xml:space="preserve">. </w:t>
      </w:r>
      <w:r w:rsidR="000F5A32" w:rsidRPr="00FA697F">
        <w:rPr>
          <w:rFonts w:ascii="Times New Roman" w:hAnsi="Times New Roman" w:cs="Times New Roman"/>
          <w:sz w:val="16"/>
          <w:szCs w:val="16"/>
        </w:rPr>
        <w:t>CVD</w:t>
      </w:r>
      <w:r w:rsidR="001E72DF" w:rsidRPr="00FA697F">
        <w:rPr>
          <w:rFonts w:ascii="Times New Roman" w:hAnsi="Times New Roman" w:cs="Times New Roman"/>
          <w:sz w:val="16"/>
          <w:szCs w:val="16"/>
        </w:rPr>
        <w:t xml:space="preserve">: </w:t>
      </w:r>
      <w:r w:rsidR="00306AB6" w:rsidRPr="00FA697F">
        <w:rPr>
          <w:rFonts w:ascii="Times New Roman" w:hAnsi="Times New Roman" w:cs="Times New Roman"/>
          <w:sz w:val="16"/>
          <w:szCs w:val="16"/>
        </w:rPr>
        <w:t>C</w:t>
      </w:r>
      <w:r w:rsidR="000F5A32" w:rsidRPr="00FA697F">
        <w:rPr>
          <w:rFonts w:ascii="Times New Roman" w:hAnsi="Times New Roman" w:cs="Times New Roman"/>
          <w:sz w:val="16"/>
          <w:szCs w:val="16"/>
        </w:rPr>
        <w:t xml:space="preserve">ardiovascular </w:t>
      </w:r>
      <w:r w:rsidR="008A490E" w:rsidRPr="00FA697F">
        <w:rPr>
          <w:rFonts w:ascii="Times New Roman" w:hAnsi="Times New Roman" w:cs="Times New Roman"/>
          <w:sz w:val="16"/>
          <w:szCs w:val="16"/>
        </w:rPr>
        <w:t>d</w:t>
      </w:r>
      <w:r w:rsidR="000F5A32" w:rsidRPr="00FA697F">
        <w:rPr>
          <w:rFonts w:ascii="Times New Roman" w:hAnsi="Times New Roman" w:cs="Times New Roman"/>
          <w:sz w:val="16"/>
          <w:szCs w:val="16"/>
        </w:rPr>
        <w:t>isease</w:t>
      </w:r>
      <w:r w:rsidR="001E72DF" w:rsidRPr="00FA697F">
        <w:rPr>
          <w:rFonts w:ascii="Times New Roman" w:hAnsi="Times New Roman" w:cs="Times New Roman"/>
          <w:sz w:val="16"/>
          <w:szCs w:val="16"/>
        </w:rPr>
        <w:t xml:space="preserve">. </w:t>
      </w:r>
      <w:r w:rsidR="00385112" w:rsidRPr="00FA697F">
        <w:rPr>
          <w:rFonts w:ascii="Times New Roman" w:hAnsi="Times New Roman" w:cs="Times New Roman"/>
          <w:sz w:val="16"/>
          <w:szCs w:val="16"/>
        </w:rPr>
        <w:t>SD</w:t>
      </w:r>
      <w:r w:rsidR="001E72DF" w:rsidRPr="00FA697F">
        <w:rPr>
          <w:rFonts w:ascii="Times New Roman" w:hAnsi="Times New Roman" w:cs="Times New Roman"/>
          <w:sz w:val="16"/>
          <w:szCs w:val="16"/>
        </w:rPr>
        <w:t xml:space="preserve">: </w:t>
      </w:r>
      <w:r w:rsidR="00306AB6" w:rsidRPr="00FA697F">
        <w:rPr>
          <w:rFonts w:ascii="Times New Roman" w:hAnsi="Times New Roman" w:cs="Times New Roman"/>
          <w:sz w:val="16"/>
          <w:szCs w:val="16"/>
        </w:rPr>
        <w:t>S</w:t>
      </w:r>
      <w:r w:rsidR="00385112" w:rsidRPr="00FA697F">
        <w:rPr>
          <w:rFonts w:ascii="Times New Roman" w:hAnsi="Times New Roman" w:cs="Times New Roman"/>
          <w:sz w:val="16"/>
          <w:szCs w:val="16"/>
        </w:rPr>
        <w:t xml:space="preserve">tandard </w:t>
      </w:r>
      <w:r w:rsidR="008A490E" w:rsidRPr="00FA697F">
        <w:rPr>
          <w:rFonts w:ascii="Times New Roman" w:hAnsi="Times New Roman" w:cs="Times New Roman"/>
          <w:sz w:val="16"/>
          <w:szCs w:val="16"/>
        </w:rPr>
        <w:t>d</w:t>
      </w:r>
      <w:r w:rsidR="00385112" w:rsidRPr="00FA697F">
        <w:rPr>
          <w:rFonts w:ascii="Times New Roman" w:hAnsi="Times New Roman" w:cs="Times New Roman"/>
          <w:sz w:val="16"/>
          <w:szCs w:val="16"/>
        </w:rPr>
        <w:t>eviation</w:t>
      </w:r>
      <w:r w:rsidR="001E72DF" w:rsidRPr="00FA697F">
        <w:rPr>
          <w:rFonts w:ascii="Times New Roman" w:hAnsi="Times New Roman" w:cs="Times New Roman"/>
          <w:sz w:val="16"/>
          <w:szCs w:val="16"/>
        </w:rPr>
        <w:t xml:space="preserve">. </w:t>
      </w:r>
      <w:r w:rsidR="00385112" w:rsidRPr="00FA697F">
        <w:rPr>
          <w:rFonts w:ascii="Times New Roman" w:hAnsi="Times New Roman" w:cs="Times New Roman"/>
          <w:sz w:val="16"/>
          <w:szCs w:val="16"/>
        </w:rPr>
        <w:t>SE</w:t>
      </w:r>
      <w:r w:rsidR="001E72DF" w:rsidRPr="00FA697F">
        <w:rPr>
          <w:rFonts w:ascii="Times New Roman" w:hAnsi="Times New Roman" w:cs="Times New Roman"/>
          <w:sz w:val="16"/>
          <w:szCs w:val="16"/>
        </w:rPr>
        <w:t xml:space="preserve">: </w:t>
      </w:r>
      <w:r w:rsidR="00306AB6" w:rsidRPr="00FA697F">
        <w:rPr>
          <w:rFonts w:ascii="Times New Roman" w:hAnsi="Times New Roman" w:cs="Times New Roman"/>
          <w:sz w:val="16"/>
          <w:szCs w:val="16"/>
        </w:rPr>
        <w:t>S</w:t>
      </w:r>
      <w:r w:rsidR="00385112" w:rsidRPr="00FA697F">
        <w:rPr>
          <w:rFonts w:ascii="Times New Roman" w:hAnsi="Times New Roman" w:cs="Times New Roman"/>
          <w:sz w:val="16"/>
          <w:szCs w:val="16"/>
        </w:rPr>
        <w:t xml:space="preserve">tandard </w:t>
      </w:r>
      <w:r w:rsidR="008A490E" w:rsidRPr="00FA697F">
        <w:rPr>
          <w:rFonts w:ascii="Times New Roman" w:hAnsi="Times New Roman" w:cs="Times New Roman"/>
          <w:sz w:val="16"/>
          <w:szCs w:val="16"/>
        </w:rPr>
        <w:t>e</w:t>
      </w:r>
      <w:r w:rsidR="00385112" w:rsidRPr="00FA697F">
        <w:rPr>
          <w:rFonts w:ascii="Times New Roman" w:hAnsi="Times New Roman" w:cs="Times New Roman"/>
          <w:sz w:val="16"/>
          <w:szCs w:val="16"/>
        </w:rPr>
        <w:t>rror</w:t>
      </w:r>
      <w:r w:rsidR="001E72DF" w:rsidRPr="00FA697F">
        <w:rPr>
          <w:rFonts w:ascii="Times New Roman" w:hAnsi="Times New Roman" w:cs="Times New Roman"/>
          <w:sz w:val="16"/>
          <w:szCs w:val="16"/>
        </w:rPr>
        <w:t xml:space="preserve">. </w:t>
      </w:r>
      <w:r w:rsidR="00C078FC" w:rsidRPr="00FA697F">
        <w:rPr>
          <w:rFonts w:ascii="Times New Roman" w:hAnsi="Times New Roman" w:cs="Times New Roman"/>
          <w:sz w:val="16"/>
          <w:szCs w:val="16"/>
        </w:rPr>
        <w:t>SE</w:t>
      </w:r>
      <w:r w:rsidR="001E72DF" w:rsidRPr="00FA697F">
        <w:rPr>
          <w:rFonts w:ascii="Times New Roman" w:hAnsi="Times New Roman" w:cs="Times New Roman"/>
          <w:sz w:val="16"/>
          <w:szCs w:val="16"/>
        </w:rPr>
        <w:t xml:space="preserve">M: </w:t>
      </w:r>
      <w:r w:rsidR="00306AB6" w:rsidRPr="00FA697F">
        <w:rPr>
          <w:rFonts w:ascii="Times New Roman" w:hAnsi="Times New Roman" w:cs="Times New Roman"/>
          <w:sz w:val="16"/>
          <w:szCs w:val="16"/>
        </w:rPr>
        <w:t>S</w:t>
      </w:r>
      <w:r w:rsidR="00C078FC" w:rsidRPr="00FA697F">
        <w:rPr>
          <w:rFonts w:ascii="Times New Roman" w:hAnsi="Times New Roman" w:cs="Times New Roman"/>
          <w:sz w:val="16"/>
          <w:szCs w:val="16"/>
        </w:rPr>
        <w:t xml:space="preserve">tandard </w:t>
      </w:r>
      <w:r w:rsidR="008A490E" w:rsidRPr="00FA697F">
        <w:rPr>
          <w:rFonts w:ascii="Times New Roman" w:hAnsi="Times New Roman" w:cs="Times New Roman"/>
          <w:sz w:val="16"/>
          <w:szCs w:val="16"/>
        </w:rPr>
        <w:t>e</w:t>
      </w:r>
      <w:r w:rsidR="00C078FC" w:rsidRPr="00FA697F">
        <w:rPr>
          <w:rFonts w:ascii="Times New Roman" w:hAnsi="Times New Roman" w:cs="Times New Roman"/>
          <w:sz w:val="16"/>
          <w:szCs w:val="16"/>
        </w:rPr>
        <w:t xml:space="preserve">rror of the </w:t>
      </w:r>
      <w:r w:rsidR="008A490E" w:rsidRPr="00FA697F">
        <w:rPr>
          <w:rFonts w:ascii="Times New Roman" w:hAnsi="Times New Roman" w:cs="Times New Roman"/>
          <w:sz w:val="16"/>
          <w:szCs w:val="16"/>
        </w:rPr>
        <w:t>m</w:t>
      </w:r>
      <w:r w:rsidR="00C078FC" w:rsidRPr="00FA697F">
        <w:rPr>
          <w:rFonts w:ascii="Times New Roman" w:hAnsi="Times New Roman" w:cs="Times New Roman"/>
          <w:sz w:val="16"/>
          <w:szCs w:val="16"/>
        </w:rPr>
        <w:t>ean</w:t>
      </w:r>
      <w:r w:rsidR="001E72DF" w:rsidRPr="00FA697F">
        <w:rPr>
          <w:rFonts w:ascii="Times New Roman" w:hAnsi="Times New Roman" w:cs="Times New Roman"/>
          <w:sz w:val="16"/>
          <w:szCs w:val="16"/>
        </w:rPr>
        <w:t xml:space="preserve">. </w:t>
      </w:r>
      <w:r w:rsidR="00385112" w:rsidRPr="00FA697F">
        <w:rPr>
          <w:rFonts w:ascii="Times New Roman" w:hAnsi="Times New Roman" w:cs="Times New Roman"/>
          <w:sz w:val="16"/>
          <w:szCs w:val="16"/>
        </w:rPr>
        <w:t>IQR</w:t>
      </w:r>
      <w:r w:rsidR="001E72DF" w:rsidRPr="00FA697F">
        <w:rPr>
          <w:rFonts w:ascii="Times New Roman" w:hAnsi="Times New Roman" w:cs="Times New Roman"/>
          <w:sz w:val="16"/>
          <w:szCs w:val="16"/>
        </w:rPr>
        <w:t xml:space="preserve">: </w:t>
      </w:r>
      <w:r w:rsidR="00306AB6" w:rsidRPr="00FA697F">
        <w:rPr>
          <w:rFonts w:ascii="Times New Roman" w:hAnsi="Times New Roman" w:cs="Times New Roman"/>
          <w:sz w:val="16"/>
          <w:szCs w:val="16"/>
        </w:rPr>
        <w:t>I</w:t>
      </w:r>
      <w:r w:rsidR="00385112" w:rsidRPr="00FA697F">
        <w:rPr>
          <w:rFonts w:ascii="Times New Roman" w:hAnsi="Times New Roman" w:cs="Times New Roman"/>
          <w:sz w:val="16"/>
          <w:szCs w:val="16"/>
        </w:rPr>
        <w:t xml:space="preserve">nterquartile </w:t>
      </w:r>
      <w:r w:rsidR="00115C53" w:rsidRPr="00FA697F">
        <w:rPr>
          <w:rFonts w:ascii="Times New Roman" w:hAnsi="Times New Roman" w:cs="Times New Roman"/>
          <w:sz w:val="16"/>
          <w:szCs w:val="16"/>
        </w:rPr>
        <w:t>r</w:t>
      </w:r>
      <w:r w:rsidR="00385112" w:rsidRPr="00FA697F">
        <w:rPr>
          <w:rFonts w:ascii="Times New Roman" w:hAnsi="Times New Roman" w:cs="Times New Roman"/>
          <w:sz w:val="16"/>
          <w:szCs w:val="16"/>
        </w:rPr>
        <w:t>an</w:t>
      </w:r>
      <w:r w:rsidR="00771B49" w:rsidRPr="00FA697F">
        <w:rPr>
          <w:rFonts w:ascii="Times New Roman" w:hAnsi="Times New Roman" w:cs="Times New Roman"/>
          <w:sz w:val="16"/>
          <w:szCs w:val="16"/>
        </w:rPr>
        <w:t>ge</w:t>
      </w:r>
      <w:r w:rsidR="001E72DF" w:rsidRPr="00FA697F">
        <w:rPr>
          <w:rFonts w:ascii="Times New Roman" w:hAnsi="Times New Roman" w:cs="Times New Roman"/>
          <w:sz w:val="16"/>
          <w:szCs w:val="16"/>
        </w:rPr>
        <w:t>.</w:t>
      </w:r>
    </w:p>
    <w:p w14:paraId="11CF4C3C" w14:textId="58AC4661" w:rsidR="008C2D47" w:rsidRDefault="008C2D47">
      <w:pPr>
        <w:rPr>
          <w:rFonts w:ascii="Times New Roman" w:hAnsi="Times New Roman" w:cs="Times New Roman"/>
          <w:sz w:val="18"/>
          <w:szCs w:val="18"/>
        </w:rPr>
      </w:pPr>
    </w:p>
    <w:p w14:paraId="6414D3FF" w14:textId="0E15D8E6" w:rsidR="008C2D47" w:rsidRDefault="008C2D47">
      <w:pPr>
        <w:rPr>
          <w:rFonts w:ascii="Times New Roman" w:hAnsi="Times New Roman" w:cs="Times New Roman"/>
          <w:sz w:val="18"/>
          <w:szCs w:val="18"/>
        </w:rPr>
      </w:pPr>
    </w:p>
    <w:p w14:paraId="772E9B4F" w14:textId="520928E6" w:rsidR="008C2D47" w:rsidRDefault="008C2D47">
      <w:pPr>
        <w:rPr>
          <w:rFonts w:ascii="Times New Roman" w:hAnsi="Times New Roman" w:cs="Times New Roman"/>
          <w:sz w:val="18"/>
          <w:szCs w:val="18"/>
        </w:rPr>
      </w:pPr>
    </w:p>
    <w:p w14:paraId="4472DB7E" w14:textId="055B45BF" w:rsidR="008C2D47" w:rsidRDefault="008C2D47">
      <w:pPr>
        <w:rPr>
          <w:rFonts w:ascii="Times New Roman" w:hAnsi="Times New Roman" w:cs="Times New Roman"/>
          <w:sz w:val="18"/>
          <w:szCs w:val="18"/>
        </w:rPr>
      </w:pPr>
    </w:p>
    <w:p w14:paraId="346D3325" w14:textId="77777777" w:rsidR="00062037" w:rsidRDefault="00062037">
      <w:pPr>
        <w:rPr>
          <w:rFonts w:ascii="Times New Roman" w:hAnsi="Times New Roman" w:cs="Times New Roman"/>
          <w:b/>
          <w:sz w:val="24"/>
          <w:szCs w:val="24"/>
        </w:rPr>
        <w:sectPr w:rsidR="00062037" w:rsidSect="00115C53">
          <w:footerReference w:type="default" r:id="rId8"/>
          <w:pgSz w:w="16838" w:h="11906" w:orient="landscape"/>
          <w:pgMar w:top="1440" w:right="1440" w:bottom="1440" w:left="1440" w:header="708" w:footer="708" w:gutter="0"/>
          <w:cols w:space="708"/>
          <w:docGrid w:linePitch="360"/>
        </w:sectPr>
      </w:pPr>
    </w:p>
    <w:p w14:paraId="5C4FD4C0" w14:textId="77777777" w:rsidR="00B07072" w:rsidRDefault="00B07072">
      <w:pPr>
        <w:rPr>
          <w:rFonts w:ascii="Times New Roman" w:hAnsi="Times New Roman" w:cs="Times New Roman"/>
          <w:b/>
          <w:sz w:val="24"/>
          <w:szCs w:val="24"/>
        </w:rPr>
      </w:pPr>
      <w:r w:rsidRPr="00967181">
        <w:rPr>
          <w:rFonts w:ascii="Times New Roman" w:hAnsi="Times New Roman" w:cs="Times New Roman"/>
          <w:b/>
          <w:sz w:val="24"/>
          <w:szCs w:val="24"/>
        </w:rPr>
        <w:lastRenderedPageBreak/>
        <w:t>References</w:t>
      </w:r>
    </w:p>
    <w:p w14:paraId="7DA1C06F" w14:textId="77777777" w:rsidR="009E61E2" w:rsidRPr="009E61E2" w:rsidRDefault="00BB5EEC"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9E61E2" w:rsidRPr="009E61E2">
        <w:rPr>
          <w:rFonts w:ascii="Times New Roman" w:hAnsi="Times New Roman" w:cs="Times New Roman"/>
          <w:noProof/>
          <w:sz w:val="24"/>
          <w:szCs w:val="24"/>
        </w:rPr>
        <w:t xml:space="preserve">1. </w:t>
      </w:r>
      <w:r w:rsidR="009E61E2" w:rsidRPr="009E61E2">
        <w:rPr>
          <w:rFonts w:ascii="Times New Roman" w:hAnsi="Times New Roman" w:cs="Times New Roman"/>
          <w:noProof/>
          <w:sz w:val="24"/>
          <w:szCs w:val="24"/>
        </w:rPr>
        <w:tab/>
        <w:t xml:space="preserve">Day K, Booyens S. The cost-effectiveness of managed care regarding chronic medicine prescriptions in a selected medical scheme. Curationis. 1998;21(4):65–70. </w:t>
      </w:r>
    </w:p>
    <w:p w14:paraId="416057BD"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 </w:t>
      </w:r>
      <w:r w:rsidRPr="009E61E2">
        <w:rPr>
          <w:rFonts w:ascii="Times New Roman" w:hAnsi="Times New Roman" w:cs="Times New Roman"/>
          <w:noProof/>
          <w:sz w:val="24"/>
          <w:szCs w:val="24"/>
        </w:rPr>
        <w:tab/>
        <w:t>Edwards PR, Lunt DW, Fehrsen GS, Lombard CJ, Steyn K. Improving cost-effectiveness of hypertension management at a community health centre. S Afr Med J [Internet]. 1998 May;88(5):549–54. Available from: NL_INC</w:t>
      </w:r>
    </w:p>
    <w:p w14:paraId="2812B96A"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3. </w:t>
      </w:r>
      <w:r w:rsidRPr="009E61E2">
        <w:rPr>
          <w:rFonts w:ascii="Times New Roman" w:hAnsi="Times New Roman" w:cs="Times New Roman"/>
          <w:noProof/>
          <w:sz w:val="24"/>
          <w:szCs w:val="24"/>
        </w:rPr>
        <w:tab/>
        <w:t>Anderson AN, Wessels F, Moodley I, Kropman K. AT1 receptor blockers--cost-effectiveness within the South African context. S Afr Med J [Internet]. 2000 May;90(5):494–8. Available from: NL_INC</w:t>
      </w:r>
    </w:p>
    <w:p w14:paraId="715FE37B"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4. </w:t>
      </w:r>
      <w:r w:rsidRPr="009E61E2">
        <w:rPr>
          <w:rFonts w:ascii="Times New Roman" w:hAnsi="Times New Roman" w:cs="Times New Roman"/>
          <w:noProof/>
          <w:sz w:val="24"/>
          <w:szCs w:val="24"/>
        </w:rPr>
        <w:tab/>
        <w:t xml:space="preserve">Ker JA, Oosthuizen H, Rheeder P. Decision-making using absolute cardiovascular risk reduction and incremental cost-effectiveness ratios: A case study. Cardiovasc J Afr. 2008;19(2):97–101. </w:t>
      </w:r>
    </w:p>
    <w:p w14:paraId="06A6ECEF"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5. </w:t>
      </w:r>
      <w:r w:rsidRPr="009E61E2">
        <w:rPr>
          <w:rFonts w:ascii="Times New Roman" w:hAnsi="Times New Roman" w:cs="Times New Roman"/>
          <w:noProof/>
          <w:sz w:val="24"/>
          <w:szCs w:val="24"/>
        </w:rPr>
        <w:tab/>
        <w:t>Makkink JL, Greeff OBW. Angiotensin converting enzyme inhibitors v. angiotensin receptor blockers in the management of hypertension: a funder’s perspective. S Afr Med J [Internet]. 2014 Apr;104(4):292–4. Available from: NL_EXC</w:t>
      </w:r>
    </w:p>
    <w:p w14:paraId="4CDC3B0E"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6. </w:t>
      </w:r>
      <w:r w:rsidRPr="009E61E2">
        <w:rPr>
          <w:rFonts w:ascii="Times New Roman" w:hAnsi="Times New Roman" w:cs="Times New Roman"/>
          <w:noProof/>
          <w:sz w:val="24"/>
          <w:szCs w:val="24"/>
        </w:rPr>
        <w:tab/>
      </w:r>
      <w:r w:rsidRPr="00062037">
        <w:rPr>
          <w:rFonts w:ascii="Times New Roman" w:hAnsi="Times New Roman" w:cs="Times New Roman"/>
          <w:noProof/>
          <w:sz w:val="24"/>
          <w:szCs w:val="24"/>
          <w:lang w:val="de-DE"/>
        </w:rPr>
        <w:t xml:space="preserve">Gaziano TA, Bertram M, Tollman SM, Hofman KJ. </w:t>
      </w:r>
      <w:r w:rsidRPr="009E61E2">
        <w:rPr>
          <w:rFonts w:ascii="Times New Roman" w:hAnsi="Times New Roman" w:cs="Times New Roman"/>
          <w:noProof/>
          <w:sz w:val="24"/>
          <w:szCs w:val="24"/>
        </w:rPr>
        <w:t>Hypertension education and adherence in South Africa: a cost-effectiveness analysis of community health workers. BMC Public Health [Internet]. 2014 Mar;14:240. Available from: NL_INC</w:t>
      </w:r>
    </w:p>
    <w:p w14:paraId="37D264B3"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7. </w:t>
      </w:r>
      <w:r w:rsidRPr="009E61E2">
        <w:rPr>
          <w:rFonts w:ascii="Times New Roman" w:hAnsi="Times New Roman" w:cs="Times New Roman"/>
          <w:noProof/>
          <w:sz w:val="24"/>
          <w:szCs w:val="24"/>
        </w:rPr>
        <w:tab/>
        <w:t>Gaziano T, Abrahams-Gessel S, Surka S, Sy S, Pandya A, Denman CA, et al. Cardiovascular disease screening by community health workers can be cost-effective in low- resource countries. Health Aff [Internet]. 2015;34(9):1538–45. Available from: https://www.scopus.com/inward/record.uri?eid=2-s2.0-84942309984&amp;doi=10.1377%2Fhlthaff.2015.0349&amp;partnerID=40&amp;md5=cc210ab65a3a2ef65981ffa0e53131c1</w:t>
      </w:r>
    </w:p>
    <w:p w14:paraId="1D6DEDFD"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8. </w:t>
      </w:r>
      <w:r w:rsidRPr="009E61E2">
        <w:rPr>
          <w:rFonts w:ascii="Times New Roman" w:hAnsi="Times New Roman" w:cs="Times New Roman"/>
          <w:noProof/>
          <w:sz w:val="24"/>
          <w:szCs w:val="24"/>
        </w:rPr>
        <w:tab/>
        <w:t>Basu S, Wagner RG, Sewpaul R, Reddy P, Davies J. Implications of scaling up cardiovascular disease treatment in South Africa: a microsimulation and cost-effectiveness analysis. Lancet Glob Heal [Internet]. 2019 Feb;7(2):e270–80. Available from: NL_INC</w:t>
      </w:r>
    </w:p>
    <w:p w14:paraId="1D4FB6EA"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9. </w:t>
      </w:r>
      <w:r w:rsidRPr="009E61E2">
        <w:rPr>
          <w:rFonts w:ascii="Times New Roman" w:hAnsi="Times New Roman" w:cs="Times New Roman"/>
          <w:noProof/>
          <w:sz w:val="24"/>
          <w:szCs w:val="24"/>
        </w:rPr>
        <w:tab/>
        <w:t xml:space="preserve">Nomame S. Development of a Model To Predict the Cost of Management of Diabetes Mellitus and Its Complications At Groote Schuur Hospital. </w:t>
      </w:r>
    </w:p>
    <w:p w14:paraId="1628E4BC"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10. </w:t>
      </w:r>
      <w:r w:rsidRPr="009E61E2">
        <w:rPr>
          <w:rFonts w:ascii="Times New Roman" w:hAnsi="Times New Roman" w:cs="Times New Roman"/>
          <w:noProof/>
          <w:sz w:val="24"/>
          <w:szCs w:val="24"/>
        </w:rPr>
        <w:tab/>
        <w:t>Volmink HC, Bertram MY, Jina R, Wade AN, Hofman KJ. Applying a private sector capitation model to the management of type 2 diabetes in the South African public sector: A cost-effectiveness analysis. BMC Health Serv Res [Internet]. 2014;14(1). Available from: https://www.scopus.com/inward/record.uri?eid=2-s2.0-84908086237&amp;doi=10.1186%2F1472-6963-14-444&amp;partnerID=40&amp;md5=b35aa3f3e5075226b7573520ec168376</w:t>
      </w:r>
    </w:p>
    <w:p w14:paraId="39DBBCD7"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11. </w:t>
      </w:r>
      <w:r w:rsidRPr="009E61E2">
        <w:rPr>
          <w:rFonts w:ascii="Times New Roman" w:hAnsi="Times New Roman" w:cs="Times New Roman"/>
          <w:noProof/>
          <w:sz w:val="24"/>
          <w:szCs w:val="24"/>
        </w:rPr>
        <w:tab/>
        <w:t xml:space="preserve">Erzse A, Stacey N, Chola L, Tugendhaft A, Freeman M, Hofman K. The direct medical cost of type 2 diabetes mellitus in South Africa: a cost of illness study. Glob Health Action. 2019;12(1):1–9. </w:t>
      </w:r>
    </w:p>
    <w:p w14:paraId="3DE854F4"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12. </w:t>
      </w:r>
      <w:r w:rsidRPr="009E61E2">
        <w:rPr>
          <w:rFonts w:ascii="Times New Roman" w:hAnsi="Times New Roman" w:cs="Times New Roman"/>
          <w:noProof/>
          <w:sz w:val="24"/>
          <w:szCs w:val="24"/>
        </w:rPr>
        <w:tab/>
        <w:t xml:space="preserve">Ncube-Zulu T, Danckwerts MP. Comparative hospitalization cost and length of stay between patients with and without diabetes in a large tertiary hospital in Johannesburg, South Africa. Int J Diabetes Dev Ctries. 2014;34(3):156–62. </w:t>
      </w:r>
    </w:p>
    <w:p w14:paraId="150FEE1C"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lastRenderedPageBreak/>
        <w:t xml:space="preserve">13. </w:t>
      </w:r>
      <w:r w:rsidRPr="009E61E2">
        <w:rPr>
          <w:rFonts w:ascii="Times New Roman" w:hAnsi="Times New Roman" w:cs="Times New Roman"/>
          <w:noProof/>
          <w:sz w:val="24"/>
          <w:szCs w:val="24"/>
        </w:rPr>
        <w:tab/>
        <w:t xml:space="preserve">Joannou J, Kalk WJ, Mahomed I, Ntsepo S, Berzin M, Joffe BI, et al. Screening for diabetic retinopathy in South Africa with 60° retinal colour photography. J Intern Med. 1996;239(1):43–7. </w:t>
      </w:r>
    </w:p>
    <w:p w14:paraId="1F2E5701"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14. </w:t>
      </w:r>
      <w:r w:rsidRPr="009E61E2">
        <w:rPr>
          <w:rFonts w:ascii="Times New Roman" w:hAnsi="Times New Roman" w:cs="Times New Roman"/>
          <w:noProof/>
          <w:sz w:val="24"/>
          <w:szCs w:val="24"/>
        </w:rPr>
        <w:tab/>
        <w:t>Khan T, Bertram MY, Jina R, Mash B, Levitt N, Hofman K. Preventing diabetes blindness: Cost effectiveness of a screening programme using digital non-mydriatic fundus photography for diabetic retinopathy in a primary health care setting in South Africa. Diabetes Res Clin Pract [Internet]. 2013;101(2):170–6. Available from: https://www.scopus.com/inward/record.uri?eid=2-s2.0-84881312079&amp;doi=10.1016%2Fj.diabres.2013.05.006&amp;partnerID=40&amp;md5=0091ff0f25f877f5b2b785c4a63da005</w:t>
      </w:r>
    </w:p>
    <w:p w14:paraId="4FCC88FE"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15. </w:t>
      </w:r>
      <w:r w:rsidRPr="009E61E2">
        <w:rPr>
          <w:rFonts w:ascii="Times New Roman" w:hAnsi="Times New Roman" w:cs="Times New Roman"/>
          <w:noProof/>
          <w:sz w:val="24"/>
          <w:szCs w:val="24"/>
        </w:rPr>
        <w:tab/>
        <w:t xml:space="preserve">Pepper DJ, Levitt NS, Cleary S, Burch VC. Hyperglycaemic emergency admissions to a secondary-level hospital - An unnecessary financial burden. South African Med J. 2007;97(10 I):963–7. </w:t>
      </w:r>
    </w:p>
    <w:p w14:paraId="74B06AFC"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16. </w:t>
      </w:r>
      <w:r w:rsidRPr="009E61E2">
        <w:rPr>
          <w:rFonts w:ascii="Times New Roman" w:hAnsi="Times New Roman" w:cs="Times New Roman"/>
          <w:noProof/>
          <w:sz w:val="24"/>
          <w:szCs w:val="24"/>
        </w:rPr>
        <w:tab/>
        <w:t xml:space="preserve">Wessels F. Is fenofibrate a cost-saving treatment for middle-aged individuals with type 2 diabetes? A South African private-sector perspective. Cardiovasc J Afr. 2010;21(1):43–6. </w:t>
      </w:r>
    </w:p>
    <w:p w14:paraId="2F054946"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17. </w:t>
      </w:r>
      <w:r w:rsidRPr="009E61E2">
        <w:rPr>
          <w:rFonts w:ascii="Times New Roman" w:hAnsi="Times New Roman" w:cs="Times New Roman"/>
          <w:noProof/>
          <w:sz w:val="24"/>
          <w:szCs w:val="24"/>
        </w:rPr>
        <w:tab/>
        <w:t xml:space="preserve">Gaziano T, Cho S, Sy S, Pandya A, Levitt NS, Steyn K. Increasing prescription length could cut cardiovascular disease burden and produce savings in south africa. Health Aff. 2015;34(9):1578–85. </w:t>
      </w:r>
    </w:p>
    <w:p w14:paraId="78D8C27E"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18. </w:t>
      </w:r>
      <w:r w:rsidRPr="009E61E2">
        <w:rPr>
          <w:rFonts w:ascii="Times New Roman" w:hAnsi="Times New Roman" w:cs="Times New Roman"/>
          <w:noProof/>
          <w:sz w:val="24"/>
          <w:szCs w:val="24"/>
        </w:rPr>
        <w:tab/>
        <w:t xml:space="preserve">Golovaty I, Sharma M, Van Heerden A, Van Rooyen H, Baeten JM, Celum C, et al. Cost of integrating noncommunicable disease screening into home-based HIV testing and counseling in South Africa. J Acquir Immune Defic Syndr. 2018;78(5):522–6. </w:t>
      </w:r>
    </w:p>
    <w:p w14:paraId="2EAA413A"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19. </w:t>
      </w:r>
      <w:r w:rsidRPr="009E61E2">
        <w:rPr>
          <w:rFonts w:ascii="Times New Roman" w:hAnsi="Times New Roman" w:cs="Times New Roman"/>
          <w:noProof/>
          <w:sz w:val="24"/>
          <w:szCs w:val="24"/>
        </w:rPr>
        <w:tab/>
        <w:t>Laäs DJ, Naidoo M. An evaluation of warfarin use at an urban district-level hospital in Kwazulu-natal Province, South Africa. South African Med J [Internet]. 2018;108(12):1046–50. Available from: https://www.scopus.com/inward/record.uri?eid=2-s2.0-85050767922&amp;doi=10.7196%2FSAMJ.2018.v108i12.13256&amp;partnerID=40&amp;md5=d14555f575a953b532f3f7d6e9c32910</w:t>
      </w:r>
    </w:p>
    <w:p w14:paraId="549525CF"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20. </w:t>
      </w:r>
      <w:r w:rsidRPr="009E61E2">
        <w:rPr>
          <w:rFonts w:ascii="Times New Roman" w:hAnsi="Times New Roman" w:cs="Times New Roman"/>
          <w:noProof/>
          <w:sz w:val="24"/>
          <w:szCs w:val="24"/>
        </w:rPr>
        <w:tab/>
        <w:t xml:space="preserve">Lin JK, Moran AE, Bibbins-Domingo K, Falase B, Pedroza Tobias A, Mandke CN, et al. Cost-effectiveness of a fixed-dose combination pill for secondary prevention of cardiovascular disease in China, India, Mexico, Nigeria, and South Africa: a modelling study. Lancet Glob Heal. 2019;7(10):e1346–58. </w:t>
      </w:r>
    </w:p>
    <w:p w14:paraId="78D86AEF"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21. </w:t>
      </w:r>
      <w:r w:rsidRPr="009E61E2">
        <w:rPr>
          <w:rFonts w:ascii="Times New Roman" w:hAnsi="Times New Roman" w:cs="Times New Roman"/>
          <w:noProof/>
          <w:sz w:val="24"/>
          <w:szCs w:val="24"/>
        </w:rPr>
        <w:tab/>
        <w:t xml:space="preserve">Wessels F. Eprosartan in secondary prevention of stroke: The economic evidence. Cardiovasc J South Africa. 2007;18(2):95–6. </w:t>
      </w:r>
    </w:p>
    <w:p w14:paraId="218B52E1"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22. </w:t>
      </w:r>
      <w:r w:rsidRPr="009E61E2">
        <w:rPr>
          <w:rFonts w:ascii="Times New Roman" w:hAnsi="Times New Roman" w:cs="Times New Roman"/>
          <w:noProof/>
          <w:sz w:val="24"/>
          <w:szCs w:val="24"/>
        </w:rPr>
        <w:tab/>
        <w:t>Bergh M, Marais CA, Miller-Jansön H, Salie F, Stander MP. Economic appraisal of dabigatran as first-line therapy for stroke prevention in atrial fibrillation. S Afr Med J [Internet]. 2013 Feb;103(4):241–5. Available from: nl_inc</w:t>
      </w:r>
    </w:p>
    <w:p w14:paraId="78F7458C"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23. </w:t>
      </w:r>
      <w:r w:rsidRPr="009E61E2">
        <w:rPr>
          <w:rFonts w:ascii="Times New Roman" w:hAnsi="Times New Roman" w:cs="Times New Roman"/>
          <w:noProof/>
          <w:sz w:val="24"/>
          <w:szCs w:val="24"/>
        </w:rPr>
        <w:tab/>
        <w:t xml:space="preserve">Viljoen CA, Dalmeyer L, de Villiers L. Cost of acute stroke care in South Africa. Stroke. 2013;8(1):3–4. </w:t>
      </w:r>
    </w:p>
    <w:p w14:paraId="4133F476"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24. </w:t>
      </w:r>
      <w:r w:rsidRPr="009E61E2">
        <w:rPr>
          <w:rFonts w:ascii="Times New Roman" w:hAnsi="Times New Roman" w:cs="Times New Roman"/>
          <w:noProof/>
          <w:sz w:val="24"/>
          <w:szCs w:val="24"/>
        </w:rPr>
        <w:tab/>
        <w:t>Maredza M, Chola L. Economic burden of stroke in a rural South African setting. eNeurologicalSci [Internet]. 2016;3:26–32. Available from: https://www.scopus.com/inward/record.uri?eid=2-s2.0-84976633598&amp;doi=10.1016%2Fj.ensci.2016.01.001&amp;partnerID=40&amp;md5=de78610df005a58dfa42b8561ca6fb64</w:t>
      </w:r>
    </w:p>
    <w:p w14:paraId="01361C3A"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062037">
        <w:rPr>
          <w:rFonts w:ascii="Times New Roman" w:hAnsi="Times New Roman" w:cs="Times New Roman"/>
          <w:noProof/>
          <w:sz w:val="24"/>
          <w:szCs w:val="24"/>
          <w:lang w:val="de-DE"/>
        </w:rPr>
        <w:lastRenderedPageBreak/>
        <w:t xml:space="preserve">25. </w:t>
      </w:r>
      <w:r w:rsidRPr="00062037">
        <w:rPr>
          <w:rFonts w:ascii="Times New Roman" w:hAnsi="Times New Roman" w:cs="Times New Roman"/>
          <w:noProof/>
          <w:sz w:val="24"/>
          <w:szCs w:val="24"/>
          <w:lang w:val="de-DE"/>
        </w:rPr>
        <w:tab/>
        <w:t xml:space="preserve">Manyema M, Veerman LJ, Tugendhaft A, Labadarios D, Hofman KJ. </w:t>
      </w:r>
      <w:r w:rsidRPr="009E61E2">
        <w:rPr>
          <w:rFonts w:ascii="Times New Roman" w:hAnsi="Times New Roman" w:cs="Times New Roman"/>
          <w:noProof/>
          <w:sz w:val="24"/>
          <w:szCs w:val="24"/>
        </w:rPr>
        <w:t>Modelling the potential impact of a sugar-sweetened beverage tax on stroke mortality, costs and health-adjusted life years in South Africa. BMC Public Health [Internet]. 2016 May;16:405. Available from: nl_inc</w:t>
      </w:r>
    </w:p>
    <w:p w14:paraId="13E589E1"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26. </w:t>
      </w:r>
      <w:r w:rsidRPr="009E61E2">
        <w:rPr>
          <w:rFonts w:ascii="Times New Roman" w:hAnsi="Times New Roman" w:cs="Times New Roman"/>
          <w:noProof/>
          <w:sz w:val="24"/>
          <w:szCs w:val="24"/>
        </w:rPr>
        <w:tab/>
        <w:t>Louw Q, Twizeyemariya A, Grimmer K, Leibbrandt D. Estimating the costs and benefits of stroke rehabilitation in South Africa. J Eval Clin Pract [Internet]. 2020;26(4):1181–7. Available from: https://doi.org/10.1111/jep.13287</w:t>
      </w:r>
    </w:p>
    <w:p w14:paraId="67E7480A"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27. </w:t>
      </w:r>
      <w:r w:rsidRPr="009E61E2">
        <w:rPr>
          <w:rFonts w:ascii="Times New Roman" w:hAnsi="Times New Roman" w:cs="Times New Roman"/>
          <w:noProof/>
          <w:sz w:val="24"/>
          <w:szCs w:val="24"/>
        </w:rPr>
        <w:tab/>
        <w:t xml:space="preserve">Nixon Anderson A, Moodley I, Kropman K. A South African pharmaco-economic analysis of the acute infarction ramipril efficacy (AIRE) Study. Cardiovasc J South Africa. 2000;11(2):89–94. </w:t>
      </w:r>
    </w:p>
    <w:p w14:paraId="2EC3A208"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28. </w:t>
      </w:r>
      <w:r w:rsidRPr="009E61E2">
        <w:rPr>
          <w:rFonts w:ascii="Times New Roman" w:hAnsi="Times New Roman" w:cs="Times New Roman"/>
          <w:noProof/>
          <w:sz w:val="24"/>
          <w:szCs w:val="24"/>
        </w:rPr>
        <w:tab/>
        <w:t>Mabin TA, Condolfi P. An analysis of real-world cost-effectiveness of TAVI in South Africa. Cardiovasc J Afr [Internet]. 2014;25(1):21–6. Available from: nl_inc</w:t>
      </w:r>
    </w:p>
    <w:p w14:paraId="222BC867"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szCs w:val="24"/>
        </w:rPr>
      </w:pPr>
      <w:r w:rsidRPr="009E61E2">
        <w:rPr>
          <w:rFonts w:ascii="Times New Roman" w:hAnsi="Times New Roman" w:cs="Times New Roman"/>
          <w:noProof/>
          <w:sz w:val="24"/>
          <w:szCs w:val="24"/>
        </w:rPr>
        <w:t xml:space="preserve">29. </w:t>
      </w:r>
      <w:r w:rsidRPr="009E61E2">
        <w:rPr>
          <w:rFonts w:ascii="Times New Roman" w:hAnsi="Times New Roman" w:cs="Times New Roman"/>
          <w:noProof/>
          <w:sz w:val="24"/>
          <w:szCs w:val="24"/>
        </w:rPr>
        <w:tab/>
        <w:t>Pestana JAX, Steyn K, Leiman A, Hartzenberg GM. The direct and indirect costs of cardiovascular disease in South Africa in 1991. South African Med J [Internet]. 1996;86(6):679–84. Available from: https://www.scopus.com/inward/record.uri?eid=2-s2.0-0029820322&amp;partnerID=40&amp;md5=9ccad6e5b25e6f0d00d46c3e590e1612</w:t>
      </w:r>
    </w:p>
    <w:p w14:paraId="04B3D371" w14:textId="77777777" w:rsidR="009E61E2" w:rsidRPr="009E61E2" w:rsidRDefault="009E61E2" w:rsidP="009E61E2">
      <w:pPr>
        <w:widowControl w:val="0"/>
        <w:autoSpaceDE w:val="0"/>
        <w:autoSpaceDN w:val="0"/>
        <w:adjustRightInd w:val="0"/>
        <w:spacing w:line="240" w:lineRule="auto"/>
        <w:ind w:left="640" w:hanging="640"/>
        <w:rPr>
          <w:rFonts w:ascii="Times New Roman" w:hAnsi="Times New Roman" w:cs="Times New Roman"/>
          <w:noProof/>
          <w:sz w:val="24"/>
        </w:rPr>
      </w:pPr>
      <w:r w:rsidRPr="009E61E2">
        <w:rPr>
          <w:rFonts w:ascii="Times New Roman" w:hAnsi="Times New Roman" w:cs="Times New Roman"/>
          <w:noProof/>
          <w:sz w:val="24"/>
          <w:szCs w:val="24"/>
        </w:rPr>
        <w:t xml:space="preserve">30. </w:t>
      </w:r>
      <w:r w:rsidRPr="009E61E2">
        <w:rPr>
          <w:rFonts w:ascii="Times New Roman" w:hAnsi="Times New Roman" w:cs="Times New Roman"/>
          <w:noProof/>
          <w:sz w:val="24"/>
          <w:szCs w:val="24"/>
        </w:rPr>
        <w:tab/>
        <w:t>Biccard BM, Sear JW, Foëx P. The pharmaco-economics of peri-operative beta-blocker and statin therapy in South Africa. S Afr Med J [Internet]. 2006 Nov;96(11):1199–202. Available from: nl_inc</w:t>
      </w:r>
    </w:p>
    <w:p w14:paraId="01C33620" w14:textId="77777777" w:rsidR="00BB5EEC" w:rsidRPr="00967181" w:rsidRDefault="00BB5EEC">
      <w:pPr>
        <w:rPr>
          <w:rFonts w:ascii="Times New Roman" w:hAnsi="Times New Roman" w:cs="Times New Roman"/>
          <w:b/>
          <w:sz w:val="24"/>
          <w:szCs w:val="24"/>
        </w:rPr>
      </w:pPr>
      <w:r>
        <w:rPr>
          <w:rFonts w:ascii="Times New Roman" w:hAnsi="Times New Roman" w:cs="Times New Roman"/>
          <w:b/>
          <w:sz w:val="24"/>
          <w:szCs w:val="24"/>
        </w:rPr>
        <w:fldChar w:fldCharType="end"/>
      </w:r>
    </w:p>
    <w:sectPr w:rsidR="00BB5EEC" w:rsidRPr="00967181" w:rsidSect="001A63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9BB44" w14:textId="77777777" w:rsidR="00FB5585" w:rsidRDefault="00FB5585" w:rsidP="00031D9B">
      <w:pPr>
        <w:spacing w:after="0" w:line="240" w:lineRule="auto"/>
      </w:pPr>
      <w:r>
        <w:separator/>
      </w:r>
    </w:p>
  </w:endnote>
  <w:endnote w:type="continuationSeparator" w:id="0">
    <w:p w14:paraId="5BCD0EB2" w14:textId="77777777" w:rsidR="00FB5585" w:rsidRDefault="00FB5585" w:rsidP="00031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9656308"/>
      <w:docPartObj>
        <w:docPartGallery w:val="Page Numbers (Bottom of Page)"/>
        <w:docPartUnique/>
      </w:docPartObj>
    </w:sdtPr>
    <w:sdtEndPr>
      <w:rPr>
        <w:noProof/>
      </w:rPr>
    </w:sdtEndPr>
    <w:sdtContent>
      <w:p w14:paraId="7E6BC5C7" w14:textId="77777777" w:rsidR="002A0944" w:rsidRDefault="002A0944">
        <w:pPr>
          <w:pStyle w:val="Footer"/>
        </w:pPr>
        <w:r>
          <w:fldChar w:fldCharType="begin"/>
        </w:r>
        <w:r>
          <w:instrText xml:space="preserve"> PAGE   \* MERGEFORMAT </w:instrText>
        </w:r>
        <w:r>
          <w:fldChar w:fldCharType="separate"/>
        </w:r>
        <w:r>
          <w:rPr>
            <w:noProof/>
          </w:rPr>
          <w:t>2</w:t>
        </w:r>
        <w:r>
          <w:rPr>
            <w:noProof/>
          </w:rPr>
          <w:fldChar w:fldCharType="end"/>
        </w:r>
      </w:p>
    </w:sdtContent>
  </w:sdt>
  <w:p w14:paraId="078F6346" w14:textId="77777777" w:rsidR="002A0944" w:rsidRDefault="002A0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9C043" w14:textId="77777777" w:rsidR="00FB5585" w:rsidRDefault="00FB5585" w:rsidP="00031D9B">
      <w:pPr>
        <w:spacing w:after="0" w:line="240" w:lineRule="auto"/>
      </w:pPr>
      <w:r>
        <w:separator/>
      </w:r>
    </w:p>
  </w:footnote>
  <w:footnote w:type="continuationSeparator" w:id="0">
    <w:p w14:paraId="7543622D" w14:textId="77777777" w:rsidR="00FB5585" w:rsidRDefault="00FB5585" w:rsidP="00031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0715D"/>
    <w:multiLevelType w:val="hybridMultilevel"/>
    <w:tmpl w:val="A3CEA8A0"/>
    <w:lvl w:ilvl="0" w:tplc="9856BA2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1D3B94"/>
    <w:multiLevelType w:val="hybridMultilevel"/>
    <w:tmpl w:val="43047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CA34569"/>
    <w:multiLevelType w:val="hybridMultilevel"/>
    <w:tmpl w:val="63648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Y0MQMiCyBhbGqhpKMUnFpcnJmfB1JgaFILAIPE5SQtAAAA"/>
  </w:docVars>
  <w:rsids>
    <w:rsidRoot w:val="00112353"/>
    <w:rsid w:val="0000176B"/>
    <w:rsid w:val="0002107D"/>
    <w:rsid w:val="00031D9B"/>
    <w:rsid w:val="000374C9"/>
    <w:rsid w:val="00041425"/>
    <w:rsid w:val="00062037"/>
    <w:rsid w:val="00076A50"/>
    <w:rsid w:val="00097AEB"/>
    <w:rsid w:val="000A175E"/>
    <w:rsid w:val="000B7BF3"/>
    <w:rsid w:val="000C01F1"/>
    <w:rsid w:val="000E4584"/>
    <w:rsid w:val="000E75AD"/>
    <w:rsid w:val="000F5A32"/>
    <w:rsid w:val="001059A1"/>
    <w:rsid w:val="00112353"/>
    <w:rsid w:val="00115C53"/>
    <w:rsid w:val="00120CE6"/>
    <w:rsid w:val="00150EAE"/>
    <w:rsid w:val="00174136"/>
    <w:rsid w:val="001860A8"/>
    <w:rsid w:val="00186F1E"/>
    <w:rsid w:val="001946F2"/>
    <w:rsid w:val="001A63BF"/>
    <w:rsid w:val="001D0D33"/>
    <w:rsid w:val="001E72DF"/>
    <w:rsid w:val="001F154F"/>
    <w:rsid w:val="00221885"/>
    <w:rsid w:val="00287216"/>
    <w:rsid w:val="002911AB"/>
    <w:rsid w:val="0029158C"/>
    <w:rsid w:val="002A0944"/>
    <w:rsid w:val="00300DE2"/>
    <w:rsid w:val="00304DC8"/>
    <w:rsid w:val="00306AB6"/>
    <w:rsid w:val="0038036F"/>
    <w:rsid w:val="00385112"/>
    <w:rsid w:val="003A22E9"/>
    <w:rsid w:val="003A7CC1"/>
    <w:rsid w:val="003B381E"/>
    <w:rsid w:val="003B720E"/>
    <w:rsid w:val="003C76E8"/>
    <w:rsid w:val="003E51C8"/>
    <w:rsid w:val="003E609A"/>
    <w:rsid w:val="0040415A"/>
    <w:rsid w:val="00406B90"/>
    <w:rsid w:val="0042389E"/>
    <w:rsid w:val="004360DD"/>
    <w:rsid w:val="00443E91"/>
    <w:rsid w:val="0045555F"/>
    <w:rsid w:val="004A3A44"/>
    <w:rsid w:val="004C0EFF"/>
    <w:rsid w:val="004D7CC3"/>
    <w:rsid w:val="00504DB8"/>
    <w:rsid w:val="005273D9"/>
    <w:rsid w:val="00556188"/>
    <w:rsid w:val="00560043"/>
    <w:rsid w:val="00575558"/>
    <w:rsid w:val="00577A38"/>
    <w:rsid w:val="005836B5"/>
    <w:rsid w:val="00585313"/>
    <w:rsid w:val="005906F9"/>
    <w:rsid w:val="005F3C4B"/>
    <w:rsid w:val="00613F5F"/>
    <w:rsid w:val="00661746"/>
    <w:rsid w:val="0067780C"/>
    <w:rsid w:val="00683BFF"/>
    <w:rsid w:val="00686E5C"/>
    <w:rsid w:val="006A1C83"/>
    <w:rsid w:val="006A456C"/>
    <w:rsid w:val="006A5484"/>
    <w:rsid w:val="006A5F3D"/>
    <w:rsid w:val="006C44C9"/>
    <w:rsid w:val="00716677"/>
    <w:rsid w:val="00735785"/>
    <w:rsid w:val="00771B49"/>
    <w:rsid w:val="00774B1F"/>
    <w:rsid w:val="00794852"/>
    <w:rsid w:val="007B247A"/>
    <w:rsid w:val="008064FF"/>
    <w:rsid w:val="00846EBF"/>
    <w:rsid w:val="0089024F"/>
    <w:rsid w:val="008A1A71"/>
    <w:rsid w:val="008A490E"/>
    <w:rsid w:val="008C2D47"/>
    <w:rsid w:val="00904918"/>
    <w:rsid w:val="009063C3"/>
    <w:rsid w:val="00906ED0"/>
    <w:rsid w:val="00935F1C"/>
    <w:rsid w:val="0094286C"/>
    <w:rsid w:val="0095478E"/>
    <w:rsid w:val="00962131"/>
    <w:rsid w:val="009621A8"/>
    <w:rsid w:val="009656BD"/>
    <w:rsid w:val="00967181"/>
    <w:rsid w:val="00970327"/>
    <w:rsid w:val="00986BF6"/>
    <w:rsid w:val="009B148D"/>
    <w:rsid w:val="009B25FE"/>
    <w:rsid w:val="009E53C6"/>
    <w:rsid w:val="009E61E2"/>
    <w:rsid w:val="00A12EB6"/>
    <w:rsid w:val="00A143EB"/>
    <w:rsid w:val="00A14B24"/>
    <w:rsid w:val="00A31C0C"/>
    <w:rsid w:val="00A37098"/>
    <w:rsid w:val="00A556EB"/>
    <w:rsid w:val="00A60DD8"/>
    <w:rsid w:val="00A652AB"/>
    <w:rsid w:val="00AB709B"/>
    <w:rsid w:val="00AC0566"/>
    <w:rsid w:val="00AC256C"/>
    <w:rsid w:val="00AC2960"/>
    <w:rsid w:val="00AC4B5B"/>
    <w:rsid w:val="00B07072"/>
    <w:rsid w:val="00B3072B"/>
    <w:rsid w:val="00B43AF8"/>
    <w:rsid w:val="00B5448B"/>
    <w:rsid w:val="00B66223"/>
    <w:rsid w:val="00B80B83"/>
    <w:rsid w:val="00BA63A9"/>
    <w:rsid w:val="00BB5EEC"/>
    <w:rsid w:val="00BE5DDB"/>
    <w:rsid w:val="00BF6EDC"/>
    <w:rsid w:val="00C078FC"/>
    <w:rsid w:val="00C232B6"/>
    <w:rsid w:val="00C3135E"/>
    <w:rsid w:val="00C369B3"/>
    <w:rsid w:val="00C85EA4"/>
    <w:rsid w:val="00CC5286"/>
    <w:rsid w:val="00CD1F99"/>
    <w:rsid w:val="00CD5167"/>
    <w:rsid w:val="00CE2A01"/>
    <w:rsid w:val="00D04DE9"/>
    <w:rsid w:val="00D10BE7"/>
    <w:rsid w:val="00D414F3"/>
    <w:rsid w:val="00D66FC6"/>
    <w:rsid w:val="00D85070"/>
    <w:rsid w:val="00D962BB"/>
    <w:rsid w:val="00DA0AFD"/>
    <w:rsid w:val="00DD57D2"/>
    <w:rsid w:val="00E11D57"/>
    <w:rsid w:val="00E72842"/>
    <w:rsid w:val="00E72A01"/>
    <w:rsid w:val="00EB3C37"/>
    <w:rsid w:val="00F37242"/>
    <w:rsid w:val="00F5333D"/>
    <w:rsid w:val="00F802CB"/>
    <w:rsid w:val="00FA697F"/>
    <w:rsid w:val="00FB5585"/>
    <w:rsid w:val="00FC61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DB688"/>
  <w15:chartTrackingRefBased/>
  <w15:docId w15:val="{80CE0405-7D8D-4454-BB67-A6A4BDBB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1D9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Header">
    <w:name w:val="header"/>
    <w:basedOn w:val="Normal"/>
    <w:link w:val="HeaderChar"/>
    <w:uiPriority w:val="99"/>
    <w:unhideWhenUsed/>
    <w:rsid w:val="00031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D9B"/>
    <w:rPr>
      <w:lang w:val="en-GB"/>
    </w:rPr>
  </w:style>
  <w:style w:type="paragraph" w:styleId="Footer">
    <w:name w:val="footer"/>
    <w:basedOn w:val="Normal"/>
    <w:link w:val="FooterChar"/>
    <w:unhideWhenUsed/>
    <w:rsid w:val="00031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D9B"/>
    <w:rPr>
      <w:lang w:val="en-GB"/>
    </w:rPr>
  </w:style>
  <w:style w:type="character" w:styleId="Hyperlink">
    <w:name w:val="Hyperlink"/>
    <w:basedOn w:val="DefaultParagraphFont"/>
    <w:uiPriority w:val="99"/>
    <w:semiHidden/>
    <w:unhideWhenUsed/>
    <w:rsid w:val="00186F1E"/>
    <w:rPr>
      <w:color w:val="0563C1"/>
      <w:u w:val="single"/>
    </w:rPr>
  </w:style>
  <w:style w:type="character" w:styleId="FollowedHyperlink">
    <w:name w:val="FollowedHyperlink"/>
    <w:basedOn w:val="DefaultParagraphFont"/>
    <w:uiPriority w:val="99"/>
    <w:semiHidden/>
    <w:unhideWhenUsed/>
    <w:rsid w:val="00186F1E"/>
    <w:rPr>
      <w:color w:val="954F72"/>
      <w:u w:val="single"/>
    </w:rPr>
  </w:style>
  <w:style w:type="paragraph" w:customStyle="1" w:styleId="msonormal0">
    <w:name w:val="msonormal"/>
    <w:basedOn w:val="Normal"/>
    <w:rsid w:val="00186F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186F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n-GB"/>
    </w:rPr>
  </w:style>
  <w:style w:type="paragraph" w:customStyle="1" w:styleId="xl67">
    <w:name w:val="xl67"/>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en-GB"/>
    </w:rPr>
  </w:style>
  <w:style w:type="paragraph" w:customStyle="1" w:styleId="xl68">
    <w:name w:val="xl68"/>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69">
    <w:name w:val="xl69"/>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0">
    <w:name w:val="xl70"/>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1">
    <w:name w:val="xl71"/>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n-GB"/>
    </w:rPr>
  </w:style>
  <w:style w:type="paragraph" w:customStyle="1" w:styleId="xl72">
    <w:name w:val="xl72"/>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3">
    <w:name w:val="xl73"/>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4">
    <w:name w:val="xl74"/>
    <w:basedOn w:val="Normal"/>
    <w:rsid w:val="00186F1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n-GB"/>
    </w:rPr>
  </w:style>
  <w:style w:type="paragraph" w:customStyle="1" w:styleId="xl75">
    <w:name w:val="xl75"/>
    <w:basedOn w:val="Normal"/>
    <w:rsid w:val="00186F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6">
    <w:name w:val="xl76"/>
    <w:basedOn w:val="Normal"/>
    <w:rsid w:val="00186F1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7">
    <w:name w:val="xl77"/>
    <w:basedOn w:val="Normal"/>
    <w:rsid w:val="00186F1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n-GB"/>
    </w:rPr>
  </w:style>
  <w:style w:type="paragraph" w:styleId="ListParagraph">
    <w:name w:val="List Paragraph"/>
    <w:basedOn w:val="Normal"/>
    <w:uiPriority w:val="34"/>
    <w:qFormat/>
    <w:rsid w:val="00062037"/>
    <w:pPr>
      <w:spacing w:after="0" w:line="240" w:lineRule="auto"/>
      <w:ind w:left="720"/>
      <w:contextualSpacing/>
    </w:pPr>
    <w:rPr>
      <w:rFonts w:ascii="Arial" w:eastAsia="Times New Roman" w:hAnsi="Arial" w:cs="Times New Roman"/>
      <w:color w:val="000000"/>
      <w:szCs w:val="20"/>
    </w:rPr>
  </w:style>
  <w:style w:type="paragraph" w:styleId="BalloonText">
    <w:name w:val="Balloon Text"/>
    <w:basedOn w:val="Normal"/>
    <w:link w:val="BalloonTextChar"/>
    <w:uiPriority w:val="99"/>
    <w:semiHidden/>
    <w:unhideWhenUsed/>
    <w:rsid w:val="000620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037"/>
    <w:rPr>
      <w:rFonts w:ascii="Segoe UI" w:hAnsi="Segoe UI" w:cs="Segoe UI"/>
      <w:sz w:val="18"/>
      <w:szCs w:val="18"/>
      <w:lang w:val="en-GB"/>
    </w:rPr>
  </w:style>
  <w:style w:type="character" w:styleId="CommentReference">
    <w:name w:val="annotation reference"/>
    <w:basedOn w:val="DefaultParagraphFont"/>
    <w:uiPriority w:val="99"/>
    <w:semiHidden/>
    <w:unhideWhenUsed/>
    <w:rsid w:val="00062037"/>
    <w:rPr>
      <w:sz w:val="16"/>
      <w:szCs w:val="16"/>
    </w:rPr>
  </w:style>
  <w:style w:type="paragraph" w:styleId="CommentText">
    <w:name w:val="annotation text"/>
    <w:basedOn w:val="Normal"/>
    <w:link w:val="CommentTextChar"/>
    <w:uiPriority w:val="99"/>
    <w:semiHidden/>
    <w:unhideWhenUsed/>
    <w:rsid w:val="00062037"/>
    <w:pPr>
      <w:spacing w:line="240" w:lineRule="auto"/>
    </w:pPr>
    <w:rPr>
      <w:sz w:val="20"/>
      <w:szCs w:val="20"/>
    </w:rPr>
  </w:style>
  <w:style w:type="character" w:customStyle="1" w:styleId="CommentTextChar">
    <w:name w:val="Comment Text Char"/>
    <w:basedOn w:val="DefaultParagraphFont"/>
    <w:link w:val="CommentText"/>
    <w:uiPriority w:val="99"/>
    <w:semiHidden/>
    <w:rsid w:val="00062037"/>
    <w:rPr>
      <w:sz w:val="20"/>
      <w:szCs w:val="20"/>
      <w:lang w:val="en-GB"/>
    </w:rPr>
  </w:style>
  <w:style w:type="paragraph" w:styleId="CommentSubject">
    <w:name w:val="annotation subject"/>
    <w:basedOn w:val="CommentText"/>
    <w:next w:val="CommentText"/>
    <w:link w:val="CommentSubjectChar"/>
    <w:uiPriority w:val="99"/>
    <w:semiHidden/>
    <w:unhideWhenUsed/>
    <w:rsid w:val="00062037"/>
    <w:rPr>
      <w:b/>
      <w:bCs/>
    </w:rPr>
  </w:style>
  <w:style w:type="character" w:customStyle="1" w:styleId="CommentSubjectChar">
    <w:name w:val="Comment Subject Char"/>
    <w:basedOn w:val="CommentTextChar"/>
    <w:link w:val="CommentSubject"/>
    <w:uiPriority w:val="99"/>
    <w:semiHidden/>
    <w:rsid w:val="00062037"/>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3844">
      <w:bodyDiv w:val="1"/>
      <w:marLeft w:val="0"/>
      <w:marRight w:val="0"/>
      <w:marTop w:val="0"/>
      <w:marBottom w:val="0"/>
      <w:divBdr>
        <w:top w:val="none" w:sz="0" w:space="0" w:color="auto"/>
        <w:left w:val="none" w:sz="0" w:space="0" w:color="auto"/>
        <w:bottom w:val="none" w:sz="0" w:space="0" w:color="auto"/>
        <w:right w:val="none" w:sz="0" w:space="0" w:color="auto"/>
      </w:divBdr>
    </w:div>
    <w:div w:id="258222190">
      <w:bodyDiv w:val="1"/>
      <w:marLeft w:val="0"/>
      <w:marRight w:val="0"/>
      <w:marTop w:val="0"/>
      <w:marBottom w:val="0"/>
      <w:divBdr>
        <w:top w:val="none" w:sz="0" w:space="0" w:color="auto"/>
        <w:left w:val="none" w:sz="0" w:space="0" w:color="auto"/>
        <w:bottom w:val="none" w:sz="0" w:space="0" w:color="auto"/>
        <w:right w:val="none" w:sz="0" w:space="0" w:color="auto"/>
      </w:divBdr>
    </w:div>
    <w:div w:id="405147544">
      <w:bodyDiv w:val="1"/>
      <w:marLeft w:val="0"/>
      <w:marRight w:val="0"/>
      <w:marTop w:val="0"/>
      <w:marBottom w:val="0"/>
      <w:divBdr>
        <w:top w:val="none" w:sz="0" w:space="0" w:color="auto"/>
        <w:left w:val="none" w:sz="0" w:space="0" w:color="auto"/>
        <w:bottom w:val="none" w:sz="0" w:space="0" w:color="auto"/>
        <w:right w:val="none" w:sz="0" w:space="0" w:color="auto"/>
      </w:divBdr>
    </w:div>
    <w:div w:id="455757747">
      <w:bodyDiv w:val="1"/>
      <w:marLeft w:val="0"/>
      <w:marRight w:val="0"/>
      <w:marTop w:val="0"/>
      <w:marBottom w:val="0"/>
      <w:divBdr>
        <w:top w:val="none" w:sz="0" w:space="0" w:color="auto"/>
        <w:left w:val="none" w:sz="0" w:space="0" w:color="auto"/>
        <w:bottom w:val="none" w:sz="0" w:space="0" w:color="auto"/>
        <w:right w:val="none" w:sz="0" w:space="0" w:color="auto"/>
      </w:divBdr>
    </w:div>
    <w:div w:id="539168439">
      <w:bodyDiv w:val="1"/>
      <w:marLeft w:val="0"/>
      <w:marRight w:val="0"/>
      <w:marTop w:val="0"/>
      <w:marBottom w:val="0"/>
      <w:divBdr>
        <w:top w:val="none" w:sz="0" w:space="0" w:color="auto"/>
        <w:left w:val="none" w:sz="0" w:space="0" w:color="auto"/>
        <w:bottom w:val="none" w:sz="0" w:space="0" w:color="auto"/>
        <w:right w:val="none" w:sz="0" w:space="0" w:color="auto"/>
      </w:divBdr>
    </w:div>
    <w:div w:id="781189692">
      <w:bodyDiv w:val="1"/>
      <w:marLeft w:val="0"/>
      <w:marRight w:val="0"/>
      <w:marTop w:val="0"/>
      <w:marBottom w:val="0"/>
      <w:divBdr>
        <w:top w:val="none" w:sz="0" w:space="0" w:color="auto"/>
        <w:left w:val="none" w:sz="0" w:space="0" w:color="auto"/>
        <w:bottom w:val="none" w:sz="0" w:space="0" w:color="auto"/>
        <w:right w:val="none" w:sz="0" w:space="0" w:color="auto"/>
      </w:divBdr>
    </w:div>
    <w:div w:id="1136334978">
      <w:bodyDiv w:val="1"/>
      <w:marLeft w:val="0"/>
      <w:marRight w:val="0"/>
      <w:marTop w:val="0"/>
      <w:marBottom w:val="0"/>
      <w:divBdr>
        <w:top w:val="none" w:sz="0" w:space="0" w:color="auto"/>
        <w:left w:val="none" w:sz="0" w:space="0" w:color="auto"/>
        <w:bottom w:val="none" w:sz="0" w:space="0" w:color="auto"/>
        <w:right w:val="none" w:sz="0" w:space="0" w:color="auto"/>
      </w:divBdr>
    </w:div>
    <w:div w:id="1327829039">
      <w:bodyDiv w:val="1"/>
      <w:marLeft w:val="0"/>
      <w:marRight w:val="0"/>
      <w:marTop w:val="0"/>
      <w:marBottom w:val="0"/>
      <w:divBdr>
        <w:top w:val="none" w:sz="0" w:space="0" w:color="auto"/>
        <w:left w:val="none" w:sz="0" w:space="0" w:color="auto"/>
        <w:bottom w:val="none" w:sz="0" w:space="0" w:color="auto"/>
        <w:right w:val="none" w:sz="0" w:space="0" w:color="auto"/>
      </w:divBdr>
    </w:div>
    <w:div w:id="1526166432">
      <w:bodyDiv w:val="1"/>
      <w:marLeft w:val="0"/>
      <w:marRight w:val="0"/>
      <w:marTop w:val="0"/>
      <w:marBottom w:val="0"/>
      <w:divBdr>
        <w:top w:val="none" w:sz="0" w:space="0" w:color="auto"/>
        <w:left w:val="none" w:sz="0" w:space="0" w:color="auto"/>
        <w:bottom w:val="none" w:sz="0" w:space="0" w:color="auto"/>
        <w:right w:val="none" w:sz="0" w:space="0" w:color="auto"/>
      </w:divBdr>
    </w:div>
    <w:div w:id="1576278965">
      <w:bodyDiv w:val="1"/>
      <w:marLeft w:val="0"/>
      <w:marRight w:val="0"/>
      <w:marTop w:val="0"/>
      <w:marBottom w:val="0"/>
      <w:divBdr>
        <w:top w:val="none" w:sz="0" w:space="0" w:color="auto"/>
        <w:left w:val="none" w:sz="0" w:space="0" w:color="auto"/>
        <w:bottom w:val="none" w:sz="0" w:space="0" w:color="auto"/>
        <w:right w:val="none" w:sz="0" w:space="0" w:color="auto"/>
      </w:divBdr>
    </w:div>
    <w:div w:id="1695033186">
      <w:bodyDiv w:val="1"/>
      <w:marLeft w:val="0"/>
      <w:marRight w:val="0"/>
      <w:marTop w:val="0"/>
      <w:marBottom w:val="0"/>
      <w:divBdr>
        <w:top w:val="none" w:sz="0" w:space="0" w:color="auto"/>
        <w:left w:val="none" w:sz="0" w:space="0" w:color="auto"/>
        <w:bottom w:val="none" w:sz="0" w:space="0" w:color="auto"/>
        <w:right w:val="none" w:sz="0" w:space="0" w:color="auto"/>
      </w:divBdr>
    </w:div>
    <w:div w:id="1787120003">
      <w:bodyDiv w:val="1"/>
      <w:marLeft w:val="0"/>
      <w:marRight w:val="0"/>
      <w:marTop w:val="0"/>
      <w:marBottom w:val="0"/>
      <w:divBdr>
        <w:top w:val="none" w:sz="0" w:space="0" w:color="auto"/>
        <w:left w:val="none" w:sz="0" w:space="0" w:color="auto"/>
        <w:bottom w:val="none" w:sz="0" w:space="0" w:color="auto"/>
        <w:right w:val="none" w:sz="0" w:space="0" w:color="auto"/>
      </w:divBdr>
    </w:div>
    <w:div w:id="189419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4648D42-C60C-4F4C-800A-F761ABC13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30600</Words>
  <Characters>174420</Characters>
  <Application>Microsoft Office Word</Application>
  <DocSecurity>0</DocSecurity>
  <Lines>1453</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sithabiso masuku</dc:creator>
  <cp:keywords/>
  <dc:description/>
  <cp:lastModifiedBy>sithabiso masuku</cp:lastModifiedBy>
  <cp:revision>3</cp:revision>
  <dcterms:created xsi:type="dcterms:W3CDTF">2022-04-21T10:38:00Z</dcterms:created>
  <dcterms:modified xsi:type="dcterms:W3CDTF">2022-04-21T10:43:00Z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http://www.zotero.org/styles/the-lancet</vt:lpwstr>
  </property>
  <property fmtid="{D5CDD505-2E9C-101B-9397-08002B2CF9AE}" pid="17" name="Mendeley Recent Style Name 7_1">
    <vt:lpwstr>The Lancet</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5b53313e-3004-362f-9796-467bcbd89ca8</vt:lpwstr>
  </property>
  <property fmtid="{D5CDD505-2E9C-101B-9397-08002B2CF9AE}" pid="24" name="Mendeley Citation Style_1">
    <vt:lpwstr>http://www.zotero.org/styles/vancouver-superscript</vt:lpwstr>
  </property>
</Properties>
</file>