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146" w:rsidRDefault="00535146" w:rsidP="00535146">
      <w:pPr>
        <w:rPr>
          <w:b/>
        </w:rPr>
      </w:pPr>
      <w:r w:rsidRPr="0016053E">
        <w:rPr>
          <w:b/>
        </w:rPr>
        <w:t xml:space="preserve">Table </w:t>
      </w:r>
      <w:r>
        <w:rPr>
          <w:b/>
        </w:rPr>
        <w:t>S1</w:t>
      </w:r>
      <w:r w:rsidRPr="0016053E">
        <w:rPr>
          <w:b/>
        </w:rPr>
        <w:t>: P</w:t>
      </w:r>
      <w:r w:rsidRPr="0016053E">
        <w:rPr>
          <w:b/>
          <w:lang w:bidi="en-US"/>
        </w:rPr>
        <w:t>articipant</w:t>
      </w:r>
      <w:r w:rsidRPr="00BE4146">
        <w:rPr>
          <w:b/>
          <w:lang w:bidi="en-US"/>
        </w:rPr>
        <w:t xml:space="preserve"> reported resolution</w:t>
      </w:r>
      <w:r>
        <w:rPr>
          <w:b/>
          <w:lang w:bidi="en-US"/>
        </w:rPr>
        <w:t xml:space="preserve"> of bacterial vaginosis symptoms at Week 2 – between-group comparison by sub-group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3260"/>
        <w:gridCol w:w="2977"/>
        <w:gridCol w:w="2835"/>
      </w:tblGrid>
      <w:tr w:rsidR="00535146" w:rsidRPr="00384650" w:rsidTr="00EF6B05">
        <w:tc>
          <w:tcPr>
            <w:tcW w:w="3823" w:type="dxa"/>
            <w:shd w:val="clear" w:color="auto" w:fill="auto"/>
          </w:tcPr>
          <w:p w:rsidR="00535146" w:rsidRPr="001774B1" w:rsidRDefault="00535146" w:rsidP="00EF6B05">
            <w:pPr>
              <w:contextualSpacing/>
              <w:rPr>
                <w:b/>
                <w:color w:val="000000"/>
                <w:lang w:val="en-US" w:bidi="en-US"/>
              </w:rPr>
            </w:pPr>
            <w:r w:rsidRPr="001774B1">
              <w:rPr>
                <w:b/>
                <w:color w:val="000000"/>
                <w:lang w:val="en-US" w:bidi="en-US"/>
              </w:rPr>
              <w:t>Sub-group</w:t>
            </w:r>
          </w:p>
          <w:p w:rsidR="00535146" w:rsidRPr="001774B1" w:rsidRDefault="00535146" w:rsidP="00EF6B05">
            <w:pPr>
              <w:contextualSpacing/>
              <w:rPr>
                <w:b/>
                <w:color w:val="000000"/>
                <w:lang w:val="en-US" w:bidi="en-US"/>
              </w:rPr>
            </w:pPr>
          </w:p>
        </w:tc>
        <w:tc>
          <w:tcPr>
            <w:tcW w:w="3260" w:type="dxa"/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b/>
                <w:lang w:val="en-US" w:bidi="en-US"/>
              </w:rPr>
            </w:pPr>
            <w:r w:rsidRPr="001774B1">
              <w:rPr>
                <w:rFonts w:eastAsiaTheme="minorEastAsia"/>
                <w:b/>
                <w:lang w:val="en-US" w:bidi="en-US"/>
              </w:rPr>
              <w:t>Metronidazole vs lactic acid gel</w:t>
            </w:r>
          </w:p>
        </w:tc>
        <w:tc>
          <w:tcPr>
            <w:tcW w:w="2977" w:type="dxa"/>
            <w:shd w:val="clear" w:color="auto" w:fill="auto"/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b/>
                <w:vertAlign w:val="superscript"/>
                <w:lang w:val="en-US" w:bidi="en-US"/>
              </w:rPr>
            </w:pPr>
            <w:r w:rsidRPr="001774B1">
              <w:rPr>
                <w:rFonts w:eastAsiaTheme="minorEastAsia"/>
                <w:b/>
                <w:lang w:val="en-US" w:bidi="en-US"/>
              </w:rPr>
              <w:t>Treatment difference</w:t>
            </w:r>
          </w:p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b/>
                <w:vertAlign w:val="superscript"/>
                <w:lang w:val="en-US" w:bidi="en-US"/>
              </w:rPr>
            </w:pPr>
            <w:r w:rsidRPr="001774B1">
              <w:rPr>
                <w:rFonts w:eastAsiaTheme="minorEastAsia"/>
                <w:b/>
                <w:lang w:val="en-US" w:bidi="en-US"/>
              </w:rPr>
              <w:t>(95% CI)</w:t>
            </w:r>
            <w:r w:rsidRPr="001774B1">
              <w:rPr>
                <w:rFonts w:eastAsiaTheme="minorEastAsia"/>
                <w:b/>
                <w:vertAlign w:val="superscript"/>
                <w:lang w:val="en-US" w:bidi="en-US"/>
              </w:rPr>
              <w:t>a</w:t>
            </w:r>
          </w:p>
        </w:tc>
        <w:tc>
          <w:tcPr>
            <w:tcW w:w="2835" w:type="dxa"/>
            <w:shd w:val="clear" w:color="auto" w:fill="auto"/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b/>
                <w:vertAlign w:val="superscript"/>
                <w:lang w:val="en-US" w:bidi="en-US"/>
              </w:rPr>
            </w:pPr>
            <w:r w:rsidRPr="001774B1">
              <w:rPr>
                <w:rFonts w:eastAsiaTheme="minorEastAsia"/>
                <w:b/>
                <w:lang w:val="en-US" w:bidi="en-US"/>
              </w:rPr>
              <w:t>Estimate of treatment-sub-group interaction</w:t>
            </w:r>
          </w:p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b/>
                <w:vertAlign w:val="superscript"/>
                <w:lang w:val="en-US" w:bidi="en-US"/>
              </w:rPr>
            </w:pPr>
            <w:r w:rsidRPr="001774B1">
              <w:rPr>
                <w:rFonts w:eastAsiaTheme="minorEastAsia"/>
                <w:b/>
                <w:lang w:val="en-US" w:bidi="en-US"/>
              </w:rPr>
              <w:t>(95% CI)</w:t>
            </w:r>
            <w:r w:rsidRPr="001774B1">
              <w:rPr>
                <w:rFonts w:eastAsiaTheme="minorEastAsia"/>
                <w:b/>
                <w:vertAlign w:val="superscript"/>
                <w:lang w:val="en-US" w:bidi="en-US"/>
              </w:rPr>
              <w:t>b</w:t>
            </w:r>
          </w:p>
        </w:tc>
      </w:tr>
      <w:tr w:rsidR="00535146" w:rsidRPr="00384650" w:rsidTr="00EF6B05">
        <w:tc>
          <w:tcPr>
            <w:tcW w:w="3823" w:type="dxa"/>
            <w:tcBorders>
              <w:bottom w:val="nil"/>
            </w:tcBorders>
            <w:vAlign w:val="bottom"/>
          </w:tcPr>
          <w:p w:rsidR="00535146" w:rsidRPr="001774B1" w:rsidRDefault="00535146" w:rsidP="00EF6B05">
            <w:pPr>
              <w:contextualSpacing/>
              <w:rPr>
                <w:b/>
                <w:color w:val="000000"/>
                <w:lang w:val="en-US" w:bidi="en-US"/>
              </w:rPr>
            </w:pPr>
            <w:r w:rsidRPr="001774B1">
              <w:rPr>
                <w:b/>
                <w:color w:val="000000"/>
                <w:lang w:val="en-US" w:bidi="en-US"/>
              </w:rPr>
              <w:t>Presence of concomitant STI at baseline</w:t>
            </w:r>
            <w:r w:rsidRPr="001774B1">
              <w:rPr>
                <w:b/>
                <w:color w:val="000000"/>
                <w:vertAlign w:val="superscript"/>
                <w:lang w:val="en-US" w:bidi="en-US"/>
              </w:rPr>
              <w:t>c</w:t>
            </w:r>
          </w:p>
        </w:tc>
        <w:tc>
          <w:tcPr>
            <w:tcW w:w="3260" w:type="dxa"/>
            <w:tcBorders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</w:pPr>
          </w:p>
        </w:tc>
      </w:tr>
      <w:tr w:rsidR="00535146" w:rsidRPr="00384650" w:rsidTr="00EF6B05">
        <w:tc>
          <w:tcPr>
            <w:tcW w:w="3823" w:type="dxa"/>
            <w:tcBorders>
              <w:top w:val="nil"/>
              <w:bottom w:val="nil"/>
            </w:tcBorders>
            <w:vAlign w:val="bottom"/>
          </w:tcPr>
          <w:p w:rsidR="00535146" w:rsidRPr="001774B1" w:rsidRDefault="00535146" w:rsidP="00EF6B05">
            <w:pPr>
              <w:contextualSpacing/>
              <w:jc w:val="right"/>
              <w:rPr>
                <w:color w:val="000000"/>
                <w:lang w:val="en-US" w:bidi="en-US"/>
              </w:rPr>
            </w:pPr>
            <w:r w:rsidRPr="001774B1">
              <w:rPr>
                <w:color w:val="000000"/>
                <w:lang w:val="en-US" w:bidi="en-US"/>
              </w:rPr>
              <w:t>No (n=259)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</w:pPr>
            <w:r w:rsidRPr="001774B1">
              <w:t xml:space="preserve">67% (85/126) vs 50% (66/133)   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</w:pPr>
            <w:r w:rsidRPr="001774B1">
              <w:t>-17.8% (-29.6, -6.0)%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</w:pPr>
            <w:r w:rsidRPr="001774B1">
              <w:t>Insufficient data available</w:t>
            </w:r>
          </w:p>
        </w:tc>
      </w:tr>
      <w:tr w:rsidR="00535146" w:rsidRPr="00384650" w:rsidTr="00EF6B05"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:rsidR="00535146" w:rsidRPr="001774B1" w:rsidRDefault="00535146" w:rsidP="00EF6B05">
            <w:pPr>
              <w:contextualSpacing/>
              <w:jc w:val="right"/>
              <w:rPr>
                <w:color w:val="000000"/>
                <w:vertAlign w:val="superscript"/>
                <w:lang w:val="en-US" w:bidi="en-US"/>
              </w:rPr>
            </w:pPr>
            <w:r w:rsidRPr="001774B1">
              <w:rPr>
                <w:color w:val="000000"/>
                <w:lang w:val="en-US" w:bidi="en-US"/>
              </w:rPr>
              <w:t>Yes (n=8)</w:t>
            </w:r>
            <w:r w:rsidRPr="001774B1">
              <w:rPr>
                <w:color w:val="000000"/>
                <w:vertAlign w:val="superscript"/>
                <w:lang w:val="en-US" w:bidi="en-US"/>
              </w:rPr>
              <w:t>d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535146" w:rsidRPr="001774B1" w:rsidRDefault="00535146" w:rsidP="00EF6B05">
            <w:pPr>
              <w:contextualSpacing/>
              <w:jc w:val="center"/>
            </w:pPr>
            <w:r w:rsidRPr="001774B1">
              <w:t xml:space="preserve">100% (5/5) vs 0% (0/3)   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535146" w:rsidRPr="001774B1" w:rsidRDefault="00535146" w:rsidP="00EF6B05">
            <w:pPr>
              <w:contextualSpacing/>
              <w:jc w:val="center"/>
            </w:pPr>
            <w:r w:rsidRPr="001774B1">
              <w:t>-100% (not calculable)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535146" w:rsidRPr="001774B1" w:rsidRDefault="00535146" w:rsidP="00EF6B05">
            <w:pPr>
              <w:contextualSpacing/>
            </w:pPr>
          </w:p>
        </w:tc>
      </w:tr>
      <w:tr w:rsidR="00535146" w:rsidRPr="00384650" w:rsidTr="00EF6B05">
        <w:tc>
          <w:tcPr>
            <w:tcW w:w="3823" w:type="dxa"/>
            <w:tcBorders>
              <w:top w:val="single" w:sz="4" w:space="0" w:color="auto"/>
              <w:bottom w:val="nil"/>
            </w:tcBorders>
            <w:vAlign w:val="bottom"/>
          </w:tcPr>
          <w:p w:rsidR="00535146" w:rsidRPr="001774B1" w:rsidRDefault="00535146" w:rsidP="00EF6B05">
            <w:pPr>
              <w:contextualSpacing/>
              <w:rPr>
                <w:b/>
                <w:color w:val="000000"/>
                <w:vertAlign w:val="superscript"/>
                <w:lang w:val="en-US" w:bidi="en-US"/>
              </w:rPr>
            </w:pPr>
            <w:r w:rsidRPr="001774B1">
              <w:rPr>
                <w:b/>
                <w:color w:val="000000"/>
                <w:lang w:val="en-US" w:bidi="en-US"/>
              </w:rPr>
              <w:t>Bacterial vaginosis confirmed by positive baseline microscopy (central laboratory Ison-Hay grade 3)</w:t>
            </w:r>
            <w:r w:rsidRPr="001774B1">
              <w:rPr>
                <w:b/>
                <w:color w:val="000000"/>
                <w:vertAlign w:val="superscript"/>
                <w:lang w:val="en-US" w:bidi="en-US"/>
              </w:rPr>
              <w:t>e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535146" w:rsidRPr="001774B1" w:rsidRDefault="00535146" w:rsidP="00EF6B05">
            <w:pPr>
              <w:ind w:firstLine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535146" w:rsidRPr="001774B1" w:rsidRDefault="00535146" w:rsidP="00EF6B05">
            <w:pPr>
              <w:ind w:firstLine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</w:tr>
      <w:tr w:rsidR="00535146" w:rsidRPr="00384650" w:rsidTr="00EF6B05">
        <w:tc>
          <w:tcPr>
            <w:tcW w:w="3823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right"/>
              <w:rPr>
                <w:b/>
                <w:color w:val="000000"/>
                <w:lang w:val="en-US" w:bidi="en-US"/>
              </w:rPr>
            </w:pPr>
            <w:r w:rsidRPr="001774B1">
              <w:rPr>
                <w:color w:val="000000"/>
                <w:lang w:val="en-US" w:bidi="en-US"/>
              </w:rPr>
              <w:t>No (n=190)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65% (58/89) vs 46% (46/101)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-19.6% (-33.5, -5.8)%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</w:tr>
      <w:tr w:rsidR="00535146" w:rsidRPr="00384650" w:rsidTr="00EF6B05"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:rsidR="00535146" w:rsidRPr="001774B1" w:rsidRDefault="00535146" w:rsidP="00EF6B05">
            <w:pPr>
              <w:contextualSpacing/>
              <w:jc w:val="right"/>
              <w:rPr>
                <w:color w:val="000000"/>
                <w:lang w:val="en-US" w:bidi="en-US"/>
              </w:rPr>
            </w:pPr>
            <w:r w:rsidRPr="001774B1">
              <w:rPr>
                <w:color w:val="000000"/>
                <w:lang w:val="en-US" w:bidi="en-US"/>
              </w:rPr>
              <w:t>Yes (n=212)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75% (83/111) vs 49% (49/101)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-26.3 (-38.9, -13.6)%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2.1% (-11.6, 15.7)%</w:t>
            </w:r>
          </w:p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p = 0.77</w:t>
            </w:r>
          </w:p>
        </w:tc>
      </w:tr>
      <w:tr w:rsidR="00535146" w:rsidRPr="00384650" w:rsidTr="00EF6B05">
        <w:tc>
          <w:tcPr>
            <w:tcW w:w="3823" w:type="dxa"/>
            <w:tcBorders>
              <w:top w:val="single" w:sz="4" w:space="0" w:color="auto"/>
              <w:bottom w:val="nil"/>
            </w:tcBorders>
            <w:vAlign w:val="bottom"/>
          </w:tcPr>
          <w:p w:rsidR="00535146" w:rsidRPr="001774B1" w:rsidRDefault="00535146" w:rsidP="00EF6B05">
            <w:pPr>
              <w:contextualSpacing/>
              <w:rPr>
                <w:rFonts w:eastAsiaTheme="minorEastAsia"/>
                <w:b/>
                <w:lang w:val="en-US" w:bidi="en-US"/>
              </w:rPr>
            </w:pPr>
            <w:r w:rsidRPr="001774B1">
              <w:rPr>
                <w:rFonts w:eastAsiaTheme="minorEastAsia"/>
                <w:b/>
                <w:lang w:val="en-US" w:bidi="en-US"/>
              </w:rPr>
              <w:lastRenderedPageBreak/>
              <w:t>Number of episodes of bacterial vaginosis in 12 months before baseline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</w:tr>
      <w:tr w:rsidR="00535146" w:rsidRPr="00384650" w:rsidTr="00EF6B05">
        <w:tc>
          <w:tcPr>
            <w:tcW w:w="3823" w:type="dxa"/>
            <w:tcBorders>
              <w:top w:val="nil"/>
              <w:bottom w:val="nil"/>
            </w:tcBorders>
            <w:vAlign w:val="bottom"/>
          </w:tcPr>
          <w:p w:rsidR="00535146" w:rsidRPr="001774B1" w:rsidRDefault="00535146" w:rsidP="00EF6B05">
            <w:pPr>
              <w:ind w:left="360"/>
              <w:contextualSpacing/>
              <w:jc w:val="right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0 (n=4)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100% (1/1) vs 67% (2/3)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-33.3% (-86.7, 20.0)%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</w:tr>
      <w:tr w:rsidR="00535146" w:rsidRPr="00384650" w:rsidTr="00EF6B05">
        <w:tc>
          <w:tcPr>
            <w:tcW w:w="3823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right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1-3 (n=242)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75% (91/122) vs 51% (61/120)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-23.8% (-35.6, -11.9)%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-2.0% (-21.2, 17.0)%</w:t>
            </w:r>
          </w:p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p = 0.83</w:t>
            </w:r>
          </w:p>
        </w:tc>
      </w:tr>
      <w:tr w:rsidR="00535146" w:rsidRPr="00384650" w:rsidTr="00EF6B05">
        <w:tc>
          <w:tcPr>
            <w:tcW w:w="3823" w:type="dxa"/>
            <w:tcBorders>
              <w:top w:val="nil"/>
              <w:bottom w:val="nil"/>
            </w:tcBorders>
            <w:vAlign w:val="bottom"/>
          </w:tcPr>
          <w:p w:rsidR="00535146" w:rsidRPr="001774B1" w:rsidRDefault="00535146" w:rsidP="00EF6B05">
            <w:pPr>
              <w:ind w:left="360"/>
              <w:contextualSpacing/>
              <w:jc w:val="right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&gt;3 (n=163)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63% (51/81) vs 42% (34/82)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-21.5% (-36.5, -6.5)%</w:t>
            </w:r>
          </w:p>
        </w:tc>
        <w:tc>
          <w:tcPr>
            <w:tcW w:w="2835" w:type="dxa"/>
            <w:vMerge/>
            <w:tcBorders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</w:tr>
      <w:tr w:rsidR="00535146" w:rsidRPr="00384650" w:rsidTr="00EF6B05">
        <w:tc>
          <w:tcPr>
            <w:tcW w:w="3823" w:type="dxa"/>
            <w:tcBorders>
              <w:top w:val="single" w:sz="4" w:space="0" w:color="auto"/>
              <w:bottom w:val="nil"/>
            </w:tcBorders>
            <w:vAlign w:val="bottom"/>
          </w:tcPr>
          <w:p w:rsidR="00535146" w:rsidRPr="001774B1" w:rsidRDefault="00535146" w:rsidP="00EF6B05">
            <w:pPr>
              <w:contextualSpacing/>
              <w:rPr>
                <w:rFonts w:eastAsiaTheme="minorEastAsia"/>
                <w:b/>
                <w:lang w:val="en-US" w:bidi="en-US"/>
              </w:rPr>
            </w:pPr>
            <w:r w:rsidRPr="001774B1">
              <w:rPr>
                <w:rFonts w:eastAsiaTheme="minorEastAsia"/>
                <w:b/>
                <w:lang w:val="en-US" w:bidi="en-US"/>
              </w:rPr>
              <w:t>Total time with bacterial vaginosis in 12 months before baseline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</w:tr>
      <w:tr w:rsidR="00535146" w:rsidRPr="00384650" w:rsidTr="00EF6B05">
        <w:tc>
          <w:tcPr>
            <w:tcW w:w="3823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right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&lt;2 weeks (n=78)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72% (31/43) vs 57% (20/35)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-15.0% (-36.1, 6.2)%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ind w:left="360"/>
              <w:contextualSpacing/>
              <w:jc w:val="center"/>
              <w:rPr>
                <w:rFonts w:eastAsiaTheme="minorEastAsia"/>
                <w:lang w:val="en-US" w:bidi="en-US"/>
              </w:rPr>
            </w:pPr>
          </w:p>
        </w:tc>
      </w:tr>
      <w:tr w:rsidR="00535146" w:rsidRPr="00384650" w:rsidTr="00EF6B05">
        <w:tc>
          <w:tcPr>
            <w:tcW w:w="3823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right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≥2 weeks and &lt;3 months (n=209)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73% (78/107) vs 53% (54/102)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-20.0% (-32.8, -7.1)%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-3.1% (-27.8, 21.6)%</w:t>
            </w:r>
          </w:p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p = 0.81</w:t>
            </w:r>
          </w:p>
        </w:tc>
      </w:tr>
      <w:tr w:rsidR="00535146" w:rsidRPr="00384650" w:rsidTr="00EF6B05"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:rsidR="00535146" w:rsidRPr="001774B1" w:rsidRDefault="00535146" w:rsidP="00EF6B05">
            <w:pPr>
              <w:ind w:left="360"/>
              <w:contextualSpacing/>
              <w:jc w:val="right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≥3 months (n=122)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63% (34/54) vs 34% (23/68)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-29.1% (-46.2, -12.0)%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-11.1% (-38.5, 16.4)%</w:t>
            </w:r>
          </w:p>
          <w:p w:rsidR="00535146" w:rsidRPr="001774B1" w:rsidRDefault="00535146" w:rsidP="00EF6B05">
            <w:pPr>
              <w:contextualSpacing/>
              <w:jc w:val="center"/>
              <w:rPr>
                <w:rFonts w:eastAsiaTheme="minorEastAsia"/>
                <w:lang w:val="en-US" w:bidi="en-US"/>
              </w:rPr>
            </w:pPr>
            <w:r w:rsidRPr="001774B1">
              <w:rPr>
                <w:rFonts w:eastAsiaTheme="minorEastAsia"/>
                <w:lang w:val="en-US" w:bidi="en-US"/>
              </w:rPr>
              <w:t>p = 0.43</w:t>
            </w:r>
          </w:p>
        </w:tc>
      </w:tr>
    </w:tbl>
    <w:p w:rsidR="00535146" w:rsidRPr="003133EE" w:rsidRDefault="00535146" w:rsidP="00535146">
      <w:pPr>
        <w:rPr>
          <w:rFonts w:eastAsia="SimSun"/>
          <w:sz w:val="20"/>
          <w:szCs w:val="20"/>
          <w:lang w:val="en-US" w:bidi="en-US"/>
        </w:rPr>
      </w:pPr>
      <w:r w:rsidRPr="003133EE">
        <w:rPr>
          <w:rFonts w:eastAsia="SimSun"/>
          <w:i/>
          <w:iCs/>
          <w:sz w:val="20"/>
          <w:szCs w:val="20"/>
          <w:lang w:val="en-US" w:bidi="en-US"/>
        </w:rPr>
        <w:t>CI</w:t>
      </w:r>
      <w:r w:rsidRPr="003133EE">
        <w:rPr>
          <w:rFonts w:eastAsia="SimSun"/>
          <w:sz w:val="20"/>
          <w:szCs w:val="20"/>
          <w:lang w:val="en-US" w:bidi="en-US"/>
        </w:rPr>
        <w:t>, confidence interval</w:t>
      </w:r>
    </w:p>
    <w:p w:rsidR="00535146" w:rsidRPr="003133EE" w:rsidRDefault="00535146" w:rsidP="00535146">
      <w:pPr>
        <w:rPr>
          <w:rFonts w:eastAsiaTheme="minorEastAsia"/>
          <w:sz w:val="20"/>
          <w:szCs w:val="20"/>
          <w:lang w:val="en-US" w:bidi="en-US"/>
        </w:rPr>
      </w:pPr>
      <w:r w:rsidRPr="003133EE">
        <w:rPr>
          <w:rFonts w:eastAsiaTheme="minorEastAsia"/>
          <w:sz w:val="20"/>
          <w:szCs w:val="20"/>
          <w:lang w:val="en-US" w:bidi="en-US"/>
        </w:rPr>
        <w:t>Data are n (%) unless otherwise indicated.</w:t>
      </w:r>
    </w:p>
    <w:p w:rsidR="00535146" w:rsidRPr="003133EE" w:rsidRDefault="00535146" w:rsidP="00535146">
      <w:pPr>
        <w:rPr>
          <w:rFonts w:eastAsiaTheme="minorEastAsia"/>
          <w:sz w:val="20"/>
          <w:szCs w:val="20"/>
          <w:lang w:val="en-US" w:bidi="en-US"/>
        </w:rPr>
      </w:pPr>
      <w:r w:rsidRPr="003133EE">
        <w:rPr>
          <w:rFonts w:eastAsiaTheme="minorEastAsia"/>
          <w:sz w:val="20"/>
          <w:szCs w:val="20"/>
          <w:vertAlign w:val="superscript"/>
          <w:lang w:val="en-US" w:bidi="en-US"/>
        </w:rPr>
        <w:t xml:space="preserve">a </w:t>
      </w:r>
      <w:r w:rsidRPr="003133EE">
        <w:rPr>
          <w:rFonts w:eastAsiaTheme="minorEastAsia"/>
          <w:sz w:val="20"/>
          <w:szCs w:val="20"/>
          <w:lang w:val="en-US" w:bidi="en-US"/>
        </w:rPr>
        <w:t>Simple treatment differences are presented, due to non-convergence of more complicated models.</w:t>
      </w:r>
    </w:p>
    <w:p w:rsidR="00535146" w:rsidRPr="003133EE" w:rsidRDefault="00535146" w:rsidP="00535146">
      <w:pPr>
        <w:rPr>
          <w:rFonts w:eastAsiaTheme="minorEastAsia"/>
          <w:sz w:val="20"/>
          <w:szCs w:val="20"/>
          <w:lang w:val="en-US" w:bidi="en-US"/>
        </w:rPr>
      </w:pPr>
      <w:r w:rsidRPr="003133EE">
        <w:rPr>
          <w:rFonts w:eastAsiaTheme="minorEastAsia"/>
          <w:sz w:val="20"/>
          <w:szCs w:val="20"/>
          <w:vertAlign w:val="superscript"/>
          <w:lang w:val="en-US" w:bidi="en-US"/>
        </w:rPr>
        <w:t xml:space="preserve">b </w:t>
      </w:r>
      <w:r w:rsidRPr="003133EE">
        <w:rPr>
          <w:rFonts w:eastAsiaTheme="minorEastAsia"/>
          <w:sz w:val="20"/>
          <w:szCs w:val="20"/>
          <w:lang w:val="en-US" w:bidi="en-US"/>
        </w:rPr>
        <w:t>Adjusted for number of female partners in last 12 months, and number of episodes in last 12 months.</w:t>
      </w:r>
    </w:p>
    <w:p w:rsidR="00535146" w:rsidRPr="003133EE" w:rsidRDefault="00535146" w:rsidP="00535146">
      <w:pPr>
        <w:rPr>
          <w:rFonts w:eastAsiaTheme="minorEastAsia"/>
          <w:b/>
          <w:bCs/>
          <w:sz w:val="20"/>
          <w:szCs w:val="20"/>
          <w:lang w:val="en-US" w:bidi="en-US"/>
        </w:rPr>
      </w:pPr>
      <w:r w:rsidRPr="003133EE">
        <w:rPr>
          <w:rFonts w:eastAsia="SimSun"/>
          <w:bCs/>
          <w:sz w:val="20"/>
          <w:szCs w:val="20"/>
          <w:vertAlign w:val="superscript"/>
          <w:lang w:val="en-US" w:bidi="en-US"/>
        </w:rPr>
        <w:lastRenderedPageBreak/>
        <w:t xml:space="preserve">c </w:t>
      </w:r>
      <w:r w:rsidRPr="003133EE">
        <w:rPr>
          <w:rFonts w:eastAsia="SimSun"/>
          <w:bCs/>
          <w:sz w:val="20"/>
          <w:szCs w:val="20"/>
          <w:lang w:val="en-US" w:bidi="en-US"/>
        </w:rPr>
        <w:t xml:space="preserve">Chlamydia, </w:t>
      </w:r>
      <w:r w:rsidRPr="003133EE">
        <w:rPr>
          <w:rFonts w:eastAsia="SimSun"/>
          <w:bCs/>
          <w:sz w:val="20"/>
          <w:szCs w:val="20"/>
          <w:lang w:bidi="en-US"/>
        </w:rPr>
        <w:t>gonorrhoea</w:t>
      </w:r>
      <w:r w:rsidRPr="003133EE">
        <w:rPr>
          <w:rFonts w:eastAsia="SimSun"/>
          <w:bCs/>
          <w:sz w:val="20"/>
          <w:szCs w:val="20"/>
          <w:lang w:val="en-US" w:bidi="en-US"/>
        </w:rPr>
        <w:t xml:space="preserve"> or trichomoniasis in central laboratory sample. Two samples had an indeterminate result for all three STIs, and a third had a mixture of indeterminate and negative results; all three samples are therefore missing for overall STI.</w:t>
      </w:r>
    </w:p>
    <w:p w:rsidR="00535146" w:rsidRPr="003133EE" w:rsidRDefault="00535146" w:rsidP="00535146">
      <w:pPr>
        <w:rPr>
          <w:rFonts w:eastAsiaTheme="minorEastAsia"/>
          <w:sz w:val="20"/>
          <w:szCs w:val="20"/>
          <w:lang w:val="en-US" w:bidi="en-US"/>
        </w:rPr>
      </w:pPr>
      <w:r w:rsidRPr="003133EE">
        <w:rPr>
          <w:rFonts w:eastAsiaTheme="minorEastAsia"/>
          <w:sz w:val="20"/>
          <w:szCs w:val="20"/>
          <w:vertAlign w:val="superscript"/>
          <w:lang w:val="en-US" w:bidi="en-US"/>
        </w:rPr>
        <w:t xml:space="preserve">d </w:t>
      </w:r>
      <w:r w:rsidRPr="003133EE">
        <w:rPr>
          <w:rFonts w:eastAsiaTheme="minorEastAsia"/>
          <w:sz w:val="20"/>
          <w:szCs w:val="20"/>
          <w:lang w:val="en-US" w:bidi="en-US"/>
        </w:rPr>
        <w:t>All in metronidazole group resolved; none resolved in lactic acid gel group.</w:t>
      </w:r>
    </w:p>
    <w:p w:rsidR="00535146" w:rsidRPr="003133EE" w:rsidRDefault="00535146" w:rsidP="00535146">
      <w:pPr>
        <w:rPr>
          <w:sz w:val="20"/>
          <w:szCs w:val="20"/>
        </w:rPr>
      </w:pPr>
      <w:r w:rsidRPr="003133EE">
        <w:rPr>
          <w:rFonts w:eastAsiaTheme="minorEastAsia"/>
          <w:sz w:val="20"/>
          <w:szCs w:val="20"/>
          <w:vertAlign w:val="superscript"/>
          <w:lang w:val="en-US" w:bidi="en-US"/>
        </w:rPr>
        <w:t xml:space="preserve">e </w:t>
      </w:r>
      <w:r w:rsidRPr="003133EE">
        <w:rPr>
          <w:rFonts w:eastAsiaTheme="minorEastAsia"/>
          <w:sz w:val="20"/>
          <w:szCs w:val="20"/>
          <w:lang w:val="en-US" w:bidi="en-US"/>
        </w:rPr>
        <w:t>The baseline covariate is dependent on other variables in the analysis.</w:t>
      </w:r>
    </w:p>
    <w:p w:rsidR="00535146" w:rsidRDefault="00535146" w:rsidP="00535146">
      <w:pPr>
        <w:sectPr w:rsidR="00535146" w:rsidSect="007F25D9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:rsidR="00535146" w:rsidRDefault="00535146" w:rsidP="00535146">
      <w:pPr>
        <w:rPr>
          <w:b/>
        </w:rPr>
      </w:pPr>
      <w:r>
        <w:rPr>
          <w:b/>
        </w:rPr>
        <w:lastRenderedPageBreak/>
        <w:t xml:space="preserve">Table S2: </w:t>
      </w:r>
      <w:r>
        <w:rPr>
          <w:rFonts w:eastAsiaTheme="minorEastAsia"/>
          <w:b/>
          <w:bCs/>
          <w:lang w:val="en-US" w:bidi="en-US"/>
        </w:rPr>
        <w:t>Time to first recurrence of bacterial vaginosis (days) for those whose symptoms resolved within 2 weeks (participant reported)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268"/>
        <w:gridCol w:w="2976"/>
      </w:tblGrid>
      <w:tr w:rsidR="00535146" w:rsidTr="00EF6B05">
        <w:trPr>
          <w:tblHeader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rPr>
                <w:b/>
                <w:color w:val="000000"/>
                <w:lang w:val="en-US" w:bidi="en-US"/>
              </w:rPr>
            </w:pPr>
            <w:r>
              <w:rPr>
                <w:b/>
                <w:color w:val="000000"/>
                <w:lang w:val="en-US" w:bidi="en-US"/>
              </w:rPr>
              <w:t>Resolution/recurrence of bacterial vaginosis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  <w:rPr>
                <w:rFonts w:eastAsiaTheme="minorEastAsia"/>
                <w:b/>
                <w:lang w:val="en-US" w:bidi="en-US"/>
              </w:rPr>
            </w:pPr>
            <w:r>
              <w:rPr>
                <w:rFonts w:eastAsiaTheme="minorEastAsia"/>
                <w:b/>
                <w:lang w:val="en-US" w:bidi="en-US"/>
              </w:rPr>
              <w:t xml:space="preserve">Oral metronidazole </w:t>
            </w:r>
          </w:p>
          <w:p w:rsidR="00535146" w:rsidRDefault="00535146" w:rsidP="00EF6B05">
            <w:pPr>
              <w:jc w:val="center"/>
              <w:rPr>
                <w:rFonts w:eastAsiaTheme="minorEastAsia"/>
                <w:b/>
                <w:lang w:val="en-US" w:bidi="en-US"/>
              </w:rPr>
            </w:pPr>
            <w:r>
              <w:rPr>
                <w:rFonts w:eastAsiaTheme="minorEastAsia"/>
                <w:b/>
                <w:lang w:val="en-US" w:bidi="en-US"/>
              </w:rPr>
              <w:t>(n =259)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  <w:rPr>
                <w:rFonts w:eastAsiaTheme="minorEastAsia"/>
                <w:b/>
                <w:lang w:val="en-US" w:bidi="en-US"/>
              </w:rPr>
            </w:pPr>
            <w:r>
              <w:rPr>
                <w:rFonts w:eastAsiaTheme="minorEastAsia"/>
                <w:b/>
                <w:lang w:val="en-US" w:bidi="en-US"/>
              </w:rPr>
              <w:t>Intravaginal lactic acid gel</w:t>
            </w:r>
          </w:p>
          <w:p w:rsidR="00535146" w:rsidRDefault="00535146" w:rsidP="00EF6B05">
            <w:pPr>
              <w:jc w:val="center"/>
              <w:rPr>
                <w:rFonts w:eastAsiaTheme="minorEastAsia"/>
                <w:b/>
                <w:lang w:val="en-US" w:bidi="en-US"/>
              </w:rPr>
            </w:pPr>
            <w:r>
              <w:rPr>
                <w:rFonts w:eastAsiaTheme="minorEastAsia"/>
                <w:b/>
                <w:lang w:val="en-US" w:bidi="en-US"/>
              </w:rPr>
              <w:t>(n =259)</w:t>
            </w:r>
          </w:p>
        </w:tc>
      </w:tr>
      <w:tr w:rsidR="00535146" w:rsidTr="00EF6B05">
        <w:trPr>
          <w:tblHeader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jc w:val="right"/>
              <w:rPr>
                <w:b/>
                <w:color w:val="000000"/>
                <w:lang w:val="en-US"/>
              </w:rPr>
            </w:pPr>
            <w:r>
              <w:rPr>
                <w:rFonts w:eastAsiaTheme="minorEastAsia"/>
                <w:b/>
                <w:lang w:val="en-US" w:bidi="en-US"/>
              </w:rPr>
              <w:t>Resolved by Week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  <w:rPr>
                <w:rFonts w:eastAsiaTheme="minorEastAsia"/>
                <w:lang w:val="en-US" w:bidi="en-US"/>
              </w:rPr>
            </w:pPr>
            <w:r>
              <w:rPr>
                <w:rFonts w:eastAsiaTheme="minorEastAsia"/>
                <w:lang w:val="en-US" w:bidi="en-US"/>
              </w:rPr>
              <w:t>143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  <w:rPr>
                <w:rFonts w:eastAsiaTheme="minorEastAsia"/>
                <w:lang w:val="en-US" w:bidi="en-US"/>
              </w:rPr>
            </w:pPr>
            <w:r>
              <w:rPr>
                <w:rFonts w:eastAsiaTheme="minorEastAsia"/>
                <w:lang w:val="en-US" w:bidi="en-US"/>
              </w:rPr>
              <w:t>97</w:t>
            </w:r>
          </w:p>
        </w:tc>
      </w:tr>
      <w:tr w:rsidR="00535146" w:rsidTr="00EF6B0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jc w:val="right"/>
              <w:rPr>
                <w:b/>
                <w:color w:val="000000"/>
                <w:lang w:val="en-US"/>
              </w:rPr>
            </w:pPr>
            <w:r>
              <w:rPr>
                <w:rFonts w:eastAsiaTheme="minorEastAsia"/>
                <w:b/>
                <w:lang w:val="en-US" w:bidi="en-US"/>
              </w:rPr>
              <w:t>Recurred within 3 months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  <w:rPr>
                <w:rFonts w:eastAsiaTheme="minorHAnsi"/>
                <w:lang w:val="en-US"/>
              </w:rPr>
            </w:pPr>
            <w:r>
              <w:rPr>
                <w:rFonts w:eastAsiaTheme="minorEastAsia"/>
                <w:lang w:val="en-US" w:bidi="en-US"/>
              </w:rPr>
              <w:t>37/ 73 (51%)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23/ 50 (46%)</w:t>
            </w:r>
          </w:p>
        </w:tc>
      </w:tr>
      <w:tr w:rsidR="00535146" w:rsidTr="00EF6B05"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ind w:firstLine="360"/>
              <w:jc w:val="right"/>
              <w:rPr>
                <w:b/>
                <w:color w:val="000000"/>
                <w:lang w:val="en-US" w:bidi="en-US"/>
              </w:rPr>
            </w:pPr>
            <w:r>
              <w:rPr>
                <w:rFonts w:eastAsiaTheme="minorEastAsia"/>
                <w:b/>
                <w:lang w:val="en-US" w:bidi="en-US"/>
              </w:rPr>
              <w:t>Recurred within 6 months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jc w:val="center"/>
              <w:rPr>
                <w:rFonts w:eastAsiaTheme="minorHAnsi"/>
                <w:lang w:val="en-US"/>
              </w:rPr>
            </w:pPr>
            <w:r>
              <w:rPr>
                <w:lang w:val="en-US"/>
              </w:rPr>
              <w:t>51/72 (71%)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32/46 (70%)</w:t>
            </w:r>
          </w:p>
        </w:tc>
      </w:tr>
      <w:tr w:rsidR="00535146" w:rsidTr="00EF6B0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rPr>
                <w:rFonts w:eastAsiaTheme="minorEastAsia"/>
                <w:b/>
                <w:lang w:val="en-US" w:bidi="en-US"/>
              </w:rPr>
            </w:pPr>
            <w:r>
              <w:rPr>
                <w:rFonts w:eastAsiaTheme="minorEastAsia"/>
                <w:b/>
                <w:lang w:val="en-US" w:bidi="en-US"/>
              </w:rPr>
              <w:t>Including censored times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35146" w:rsidRDefault="00535146" w:rsidP="00EF6B05">
            <w:pPr>
              <w:jc w:val="center"/>
              <w:rPr>
                <w:rFonts w:eastAsiaTheme="minorHAnsi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35146" w:rsidRDefault="00535146" w:rsidP="00EF6B05">
            <w:pPr>
              <w:jc w:val="center"/>
              <w:rPr>
                <w:lang w:val="en-US"/>
              </w:rPr>
            </w:pPr>
          </w:p>
        </w:tc>
      </w:tr>
      <w:tr w:rsidR="00535146" w:rsidTr="00EF6B05"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ind w:firstLine="360"/>
              <w:jc w:val="right"/>
              <w:rPr>
                <w:rFonts w:eastAsiaTheme="minorEastAsia"/>
                <w:bCs/>
                <w:lang w:val="en-US" w:bidi="en-US"/>
              </w:rPr>
            </w:pPr>
            <w:r>
              <w:rPr>
                <w:rFonts w:eastAsiaTheme="minorEastAsia"/>
                <w:bCs/>
                <w:lang w:val="en-US" w:bidi="en-US"/>
              </w:rPr>
              <w:t>Number with time to recurrence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jc w:val="center"/>
              <w:rPr>
                <w:rFonts w:eastAsiaTheme="minorHAnsi"/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535146" w:rsidTr="00EF6B05"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ind w:firstLine="360"/>
              <w:jc w:val="right"/>
              <w:rPr>
                <w:rFonts w:eastAsiaTheme="minorEastAsia"/>
                <w:bCs/>
                <w:lang w:val="en-US" w:bidi="en-US"/>
              </w:rPr>
            </w:pPr>
            <w:r>
              <w:rPr>
                <w:rFonts w:eastAsiaTheme="minorEastAsia"/>
                <w:bCs/>
                <w:lang w:val="en-US" w:bidi="en-US"/>
              </w:rPr>
              <w:t>Median time to recurrence (IQR)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jc w:val="center"/>
              <w:rPr>
                <w:rFonts w:eastAsiaTheme="minorHAnsi"/>
                <w:vertAlign w:val="superscript"/>
                <w:lang w:val="en-US"/>
              </w:rPr>
            </w:pPr>
            <w:r>
              <w:rPr>
                <w:lang w:val="en-US"/>
              </w:rPr>
              <w:t>92 (49, .)</w:t>
            </w:r>
            <w:r>
              <w:rPr>
                <w:vertAlign w:val="superscript"/>
                <w:lang w:val="en-US"/>
              </w:rPr>
              <w:t>a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124 (63, .)</w:t>
            </w:r>
            <w:r>
              <w:rPr>
                <w:vertAlign w:val="superscript"/>
                <w:lang w:val="en-US"/>
              </w:rPr>
              <w:t>a</w:t>
            </w:r>
          </w:p>
        </w:tc>
      </w:tr>
      <w:tr w:rsidR="00535146" w:rsidTr="00EF6B0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rPr>
                <w:rFonts w:eastAsiaTheme="minorEastAsia"/>
                <w:b/>
                <w:lang w:val="en-US" w:bidi="en-US"/>
              </w:rPr>
            </w:pPr>
            <w:r>
              <w:rPr>
                <w:rFonts w:eastAsiaTheme="minorEastAsia"/>
                <w:b/>
                <w:lang w:val="en-US" w:bidi="en-US"/>
              </w:rPr>
              <w:t>Without censored times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35146" w:rsidRDefault="00535146" w:rsidP="00EF6B05">
            <w:pPr>
              <w:jc w:val="center"/>
              <w:rPr>
                <w:rFonts w:eastAsiaTheme="minorEastAsia"/>
                <w:lang w:val="en-US" w:bidi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35146" w:rsidRDefault="00535146" w:rsidP="00EF6B05">
            <w:pPr>
              <w:jc w:val="center"/>
              <w:rPr>
                <w:rFonts w:eastAsiaTheme="minorHAnsi"/>
                <w:lang w:val="en-US"/>
              </w:rPr>
            </w:pPr>
          </w:p>
        </w:tc>
      </w:tr>
      <w:tr w:rsidR="00535146" w:rsidTr="00EF6B05"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ind w:firstLine="360"/>
              <w:jc w:val="right"/>
              <w:rPr>
                <w:rFonts w:eastAsiaTheme="minorEastAsia"/>
                <w:bCs/>
                <w:lang w:val="en-US" w:bidi="en-US"/>
              </w:rPr>
            </w:pPr>
            <w:r>
              <w:rPr>
                <w:rFonts w:eastAsiaTheme="minorEastAsia"/>
                <w:bCs/>
                <w:lang w:val="en-US" w:bidi="en-US"/>
              </w:rPr>
              <w:t>Number with time to recurrence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jc w:val="center"/>
              <w:rPr>
                <w:rFonts w:eastAsiaTheme="minorEastAsia"/>
                <w:lang w:val="en-US" w:bidi="en-US"/>
              </w:rPr>
            </w:pPr>
            <w:r>
              <w:rPr>
                <w:rFonts w:eastAsiaTheme="minorEastAsia"/>
                <w:lang w:val="en-US" w:bidi="en-US"/>
              </w:rPr>
              <w:t>43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jc w:val="center"/>
              <w:rPr>
                <w:rFonts w:eastAsiaTheme="minorHAnsi"/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535146" w:rsidTr="00EF6B05"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ind w:firstLine="360"/>
              <w:jc w:val="right"/>
              <w:rPr>
                <w:rFonts w:eastAsiaTheme="minorEastAsia"/>
                <w:bCs/>
                <w:lang w:val="en-US" w:bidi="en-US"/>
              </w:rPr>
            </w:pPr>
            <w:r>
              <w:rPr>
                <w:rFonts w:eastAsiaTheme="minorEastAsia"/>
                <w:bCs/>
                <w:lang w:val="en-US" w:bidi="en-US"/>
              </w:rPr>
              <w:t>Median time to recurrence (IQR)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jc w:val="center"/>
              <w:rPr>
                <w:rFonts w:eastAsiaTheme="minorEastAsia"/>
                <w:lang w:val="en-US" w:bidi="en-US"/>
              </w:rPr>
            </w:pPr>
            <w:r>
              <w:rPr>
                <w:rFonts w:eastAsiaTheme="minorEastAsia"/>
                <w:lang w:val="en-US" w:bidi="en-US"/>
              </w:rPr>
              <w:t>54 (33-80)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5146" w:rsidRDefault="00535146" w:rsidP="00EF6B05">
            <w:pPr>
              <w:jc w:val="center"/>
              <w:rPr>
                <w:rFonts w:eastAsiaTheme="minorHAnsi"/>
                <w:lang w:val="en-US"/>
              </w:rPr>
            </w:pPr>
            <w:r>
              <w:rPr>
                <w:lang w:val="en-US"/>
              </w:rPr>
              <w:t>66 (25-79)</w:t>
            </w:r>
          </w:p>
        </w:tc>
      </w:tr>
    </w:tbl>
    <w:p w:rsidR="00535146" w:rsidRDefault="00535146" w:rsidP="00535146">
      <w:pPr>
        <w:rPr>
          <w:rFonts w:eastAsiaTheme="minorEastAsia"/>
          <w:sz w:val="20"/>
          <w:szCs w:val="20"/>
          <w:vertAlign w:val="superscript"/>
          <w:lang w:val="en-US" w:bidi="en-US"/>
        </w:rPr>
      </w:pPr>
      <w:r>
        <w:rPr>
          <w:rFonts w:eastAsia="SimSun"/>
          <w:i/>
          <w:iCs/>
          <w:sz w:val="20"/>
          <w:szCs w:val="20"/>
          <w:lang w:val="en-US" w:bidi="en-US"/>
        </w:rPr>
        <w:t>IQR</w:t>
      </w:r>
      <w:r>
        <w:rPr>
          <w:rFonts w:eastAsia="SimSun"/>
          <w:sz w:val="20"/>
          <w:szCs w:val="20"/>
          <w:lang w:val="en-US" w:bidi="en-US"/>
        </w:rPr>
        <w:t>, interquartile range</w:t>
      </w:r>
    </w:p>
    <w:p w:rsidR="00535146" w:rsidRDefault="00535146" w:rsidP="00535146">
      <w:pPr>
        <w:rPr>
          <w:rFonts w:eastAsiaTheme="minorEastAsia"/>
          <w:sz w:val="20"/>
          <w:szCs w:val="20"/>
          <w:lang w:val="en-US" w:bidi="en-US"/>
        </w:rPr>
      </w:pPr>
      <w:r>
        <w:rPr>
          <w:rFonts w:eastAsiaTheme="minorEastAsia"/>
          <w:sz w:val="20"/>
          <w:szCs w:val="20"/>
          <w:vertAlign w:val="superscript"/>
          <w:lang w:val="en-US" w:bidi="en-US"/>
        </w:rPr>
        <w:t xml:space="preserve">a </w:t>
      </w:r>
      <w:r>
        <w:rPr>
          <w:rFonts w:eastAsiaTheme="minorEastAsia"/>
          <w:sz w:val="20"/>
          <w:szCs w:val="20"/>
          <w:lang w:val="en-US" w:bidi="en-US"/>
        </w:rPr>
        <w:t>It was only possible to calculate the 25% quartile as there were not enough uncensored ‘events’.</w:t>
      </w:r>
    </w:p>
    <w:p w:rsidR="00535146" w:rsidRDefault="00535146" w:rsidP="00535146">
      <w:pPr>
        <w:rPr>
          <w:rFonts w:eastAsiaTheme="minorEastAsia"/>
          <w:sz w:val="20"/>
          <w:szCs w:val="20"/>
          <w:lang w:val="en-US" w:bidi="en-US"/>
        </w:rPr>
      </w:pPr>
      <w:r>
        <w:rPr>
          <w:rFonts w:eastAsiaTheme="minorEastAsia"/>
          <w:sz w:val="20"/>
          <w:szCs w:val="20"/>
          <w:lang w:val="en-US" w:bidi="en-US"/>
        </w:rPr>
        <w:t xml:space="preserve">Time is censored for those without recurrence at the latest time for which data up to that point are available, and is calculated from the date of resolution. If a participant had no recurrence up to 3 months, and 6 month data were missing, then overall (6 month) recurrence status would also be missing, and time to recurrence is censored at 3 months. Time to recurrence is censored at 6 months if data are available at both 3 and 6 months, but no recurrence was reported. </w:t>
      </w:r>
    </w:p>
    <w:p w:rsidR="00535146" w:rsidRDefault="00535146" w:rsidP="00535146">
      <w:pPr>
        <w:rPr>
          <w:rFonts w:asciiTheme="minorHAnsi" w:eastAsiaTheme="minorHAnsi" w:hAnsiTheme="minorHAnsi" w:cstheme="minorBidi"/>
          <w:sz w:val="20"/>
          <w:szCs w:val="20"/>
        </w:rPr>
      </w:pPr>
      <w:r>
        <w:rPr>
          <w:rFonts w:eastAsiaTheme="minorEastAsia"/>
          <w:sz w:val="20"/>
          <w:szCs w:val="20"/>
          <w:lang w:val="en-US" w:bidi="en-US"/>
        </w:rPr>
        <w:t>Denominators are greater for median times than for 6 month recurrence data due to times censored at 3 months.</w:t>
      </w:r>
    </w:p>
    <w:p w:rsidR="00535146" w:rsidRDefault="00535146" w:rsidP="00535146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35146" w:rsidRDefault="00535146" w:rsidP="00535146">
      <w:pPr>
        <w:rPr>
          <w:b/>
        </w:rPr>
      </w:pPr>
      <w:r>
        <w:rPr>
          <w:b/>
        </w:rPr>
        <w:lastRenderedPageBreak/>
        <w:t>Table S3: Summary of side effects reported on Week 2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455"/>
        <w:gridCol w:w="2455"/>
      </w:tblGrid>
      <w:tr w:rsidR="00535146" w:rsidTr="00EF6B0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46" w:rsidRDefault="00535146" w:rsidP="00EF6B05"/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rPr>
                <w:b/>
              </w:rPr>
              <w:t>Oral metronidazole (n=258)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rPr>
                <w:b/>
              </w:rPr>
              <w:t>Intravaginal lactic acid gel (n=258)</w:t>
            </w:r>
          </w:p>
        </w:tc>
      </w:tr>
      <w:tr w:rsidR="00535146" w:rsidTr="00EF6B0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r>
              <w:t>Number of questionnaires expected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256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258</w:t>
            </w:r>
          </w:p>
        </w:tc>
      </w:tr>
      <w:tr w:rsidR="00535146" w:rsidTr="00EF6B0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r>
              <w:t>Number of questionnaires returned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156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161</w:t>
            </w:r>
          </w:p>
        </w:tc>
      </w:tr>
      <w:tr w:rsidR="00535146" w:rsidTr="00EF6B0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r>
              <w:t>Number of participants experiencing one or more episodes of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46" w:rsidRDefault="00535146" w:rsidP="00EF6B05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46" w:rsidRDefault="00535146" w:rsidP="00EF6B05">
            <w:pPr>
              <w:jc w:val="center"/>
            </w:pPr>
          </w:p>
        </w:tc>
      </w:tr>
      <w:tr w:rsidR="00535146" w:rsidTr="00EF6B0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r>
              <w:t>Nausea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50 (32%)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13 (8%)</w:t>
            </w:r>
          </w:p>
        </w:tc>
      </w:tr>
      <w:tr w:rsidR="00535146" w:rsidTr="00EF6B0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r>
              <w:t>Vomiting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9 (6%)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2 (1%)</w:t>
            </w:r>
          </w:p>
        </w:tc>
      </w:tr>
      <w:tr w:rsidR="00535146" w:rsidTr="00EF6B0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r>
              <w:t>Taste changes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28 (18%)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2 (1%)</w:t>
            </w:r>
          </w:p>
        </w:tc>
      </w:tr>
      <w:tr w:rsidR="00535146" w:rsidTr="00EF6B0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r>
              <w:t>Vaginal irritation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44 (28%)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34 (21%)</w:t>
            </w:r>
          </w:p>
        </w:tc>
      </w:tr>
      <w:tr w:rsidR="00535146" w:rsidTr="00EF6B0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r>
              <w:t>Abdominal pain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31 (20%)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27 (17%)</w:t>
            </w:r>
          </w:p>
        </w:tc>
      </w:tr>
      <w:tr w:rsidR="00535146" w:rsidTr="00EF6B0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r>
              <w:t>Diarrhoea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31 (20%)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146" w:rsidRDefault="00535146" w:rsidP="00EF6B05">
            <w:pPr>
              <w:jc w:val="center"/>
            </w:pPr>
            <w:r>
              <w:t>9 (6%)</w:t>
            </w:r>
          </w:p>
        </w:tc>
      </w:tr>
    </w:tbl>
    <w:p w:rsidR="00535146" w:rsidRDefault="00535146" w:rsidP="00535146">
      <w:pPr>
        <w:rPr>
          <w:sz w:val="20"/>
          <w:szCs w:val="20"/>
        </w:rPr>
      </w:pPr>
      <w:r>
        <w:rPr>
          <w:sz w:val="20"/>
          <w:szCs w:val="20"/>
        </w:rPr>
        <w:t>All data are n (%).</w:t>
      </w:r>
    </w:p>
    <w:p w:rsidR="00535146" w:rsidRDefault="00535146" w:rsidP="00535146">
      <w:pPr>
        <w:rPr>
          <w:sz w:val="20"/>
          <w:szCs w:val="20"/>
        </w:rPr>
      </w:pPr>
      <w:r>
        <w:rPr>
          <w:sz w:val="20"/>
          <w:szCs w:val="20"/>
        </w:rPr>
        <w:t>Tabulated by treatment received. Two participants from each treatment group received the other study treatment; one participant allocated to lactic acid received no study treatment and withdrew before any follow-up; one participant allocated to metronidazole received a non-study treatment but provided no side effect data and hence is not included in this table.</w:t>
      </w:r>
    </w:p>
    <w:p w:rsidR="00535146" w:rsidRDefault="00535146" w:rsidP="00535146">
      <w:pPr>
        <w:spacing w:after="160" w:line="259" w:lineRule="auto"/>
      </w:pPr>
      <w:r>
        <w:br w:type="page"/>
      </w:r>
    </w:p>
    <w:p w:rsidR="00535146" w:rsidRPr="005E2C63" w:rsidRDefault="00535146" w:rsidP="00535146">
      <w:pPr>
        <w:rPr>
          <w:b/>
          <w:bCs/>
          <w:lang w:bidi="en-US"/>
        </w:rPr>
      </w:pPr>
      <w:r w:rsidRPr="005E2C63">
        <w:rPr>
          <w:b/>
          <w:bCs/>
        </w:rPr>
        <w:lastRenderedPageBreak/>
        <w:t xml:space="preserve">Figure </w:t>
      </w:r>
      <w:r>
        <w:rPr>
          <w:b/>
          <w:bCs/>
        </w:rPr>
        <w:t>S1</w:t>
      </w:r>
      <w:r w:rsidRPr="005E2C63">
        <w:rPr>
          <w:b/>
          <w:bCs/>
        </w:rPr>
        <w:t xml:space="preserve">: </w:t>
      </w:r>
      <w:r w:rsidRPr="005E2C63">
        <w:rPr>
          <w:b/>
          <w:bCs/>
          <w:lang w:bidi="en-US"/>
        </w:rPr>
        <w:t>Forest plot for primary outcome and sensitivity analyses</w:t>
      </w:r>
    </w:p>
    <w:p w:rsidR="00535146" w:rsidRDefault="00535146" w:rsidP="00535146">
      <w:pPr>
        <w:rPr>
          <w:lang w:bidi="en-US"/>
        </w:rPr>
      </w:pPr>
      <w:r w:rsidRPr="00964A1B">
        <w:rPr>
          <w:noProof/>
          <w:color w:val="2B579A"/>
          <w:shd w:val="clear" w:color="auto" w:fill="E6E6E6"/>
          <w:lang w:val="en-US"/>
        </w:rPr>
        <w:drawing>
          <wp:inline distT="0" distB="0" distL="0" distR="0" wp14:anchorId="6E5D4D38" wp14:editId="0C685EE6">
            <wp:extent cx="5710238" cy="41529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74" cy="416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146" w:rsidRDefault="00535146" w:rsidP="00535146">
      <w:pPr>
        <w:rPr>
          <w:sz w:val="20"/>
          <w:szCs w:val="20"/>
          <w:lang w:bidi="en-US"/>
        </w:rPr>
      </w:pPr>
      <w:r w:rsidRPr="49ECF22A">
        <w:rPr>
          <w:i/>
          <w:iCs/>
          <w:sz w:val="20"/>
          <w:szCs w:val="20"/>
          <w:lang w:bidi="en-US"/>
        </w:rPr>
        <w:t>CI</w:t>
      </w:r>
      <w:r w:rsidRPr="49ECF22A">
        <w:rPr>
          <w:sz w:val="20"/>
          <w:szCs w:val="20"/>
          <w:lang w:bidi="en-US"/>
        </w:rPr>
        <w:t>, confidence interval</w:t>
      </w:r>
    </w:p>
    <w:p w:rsidR="00535146" w:rsidRPr="007A4532" w:rsidRDefault="00535146" w:rsidP="00535146">
      <w:pPr>
        <w:autoSpaceDE w:val="0"/>
        <w:autoSpaceDN w:val="0"/>
        <w:adjustRightInd w:val="0"/>
        <w:rPr>
          <w:sz w:val="20"/>
          <w:szCs w:val="20"/>
        </w:rPr>
      </w:pPr>
      <w:r w:rsidRPr="007A4532">
        <w:rPr>
          <w:sz w:val="20"/>
          <w:szCs w:val="20"/>
        </w:rPr>
        <w:t>Multiple imputation:  No missing covariate data. Overall resolution is the only imputed variable, using chained equations and augment option owing to prediction problems. Estimation uses a general linear model for binary outcome.</w:t>
      </w:r>
    </w:p>
    <w:p w:rsidR="00535146" w:rsidRPr="007A4532" w:rsidRDefault="00535146" w:rsidP="00535146">
      <w:pPr>
        <w:autoSpaceDE w:val="0"/>
        <w:autoSpaceDN w:val="0"/>
        <w:adjustRightInd w:val="0"/>
        <w:rPr>
          <w:sz w:val="20"/>
          <w:szCs w:val="20"/>
        </w:rPr>
      </w:pPr>
      <w:r w:rsidRPr="007A4532">
        <w:rPr>
          <w:sz w:val="20"/>
          <w:szCs w:val="20"/>
        </w:rPr>
        <w:t>Exclude if not received allocated treatment: Participants excluded from the analysis if they had not received any of their allocated treatment.</w:t>
      </w:r>
    </w:p>
    <w:p w:rsidR="00535146" w:rsidRPr="007A4532" w:rsidRDefault="00535146" w:rsidP="00535146">
      <w:pPr>
        <w:autoSpaceDE w:val="0"/>
        <w:autoSpaceDN w:val="0"/>
        <w:adjustRightInd w:val="0"/>
        <w:rPr>
          <w:sz w:val="20"/>
          <w:szCs w:val="20"/>
        </w:rPr>
      </w:pPr>
      <w:r w:rsidRPr="007A4532">
        <w:rPr>
          <w:sz w:val="20"/>
          <w:szCs w:val="20"/>
        </w:rPr>
        <w:t>Further baseline variable adjustment: Vaginal douching, ethnicity and time with BV added to the original model</w:t>
      </w:r>
    </w:p>
    <w:p w:rsidR="00535146" w:rsidRPr="007A4532" w:rsidRDefault="00535146" w:rsidP="00535146">
      <w:pPr>
        <w:autoSpaceDE w:val="0"/>
        <w:autoSpaceDN w:val="0"/>
        <w:adjustRightInd w:val="0"/>
        <w:rPr>
          <w:sz w:val="20"/>
          <w:szCs w:val="20"/>
        </w:rPr>
      </w:pPr>
      <w:r w:rsidRPr="007A4532">
        <w:rPr>
          <w:sz w:val="20"/>
          <w:szCs w:val="20"/>
        </w:rPr>
        <w:t>Assuming missing data not resolved: All participants who had missing primary outcome data were assumed not to have resolved.</w:t>
      </w:r>
    </w:p>
    <w:p w:rsidR="00535146" w:rsidRPr="007A4532" w:rsidRDefault="00535146" w:rsidP="00535146">
      <w:pPr>
        <w:autoSpaceDE w:val="0"/>
        <w:autoSpaceDN w:val="0"/>
        <w:adjustRightInd w:val="0"/>
        <w:rPr>
          <w:sz w:val="20"/>
          <w:szCs w:val="20"/>
        </w:rPr>
      </w:pPr>
      <w:r w:rsidRPr="007A4532">
        <w:rPr>
          <w:sz w:val="20"/>
          <w:szCs w:val="20"/>
        </w:rPr>
        <w:t>Assuming missing data resolved:  All participants who had missing primary outcome data were assumed to have resolved.</w:t>
      </w:r>
    </w:p>
    <w:p w:rsidR="00535146" w:rsidRPr="007A4532" w:rsidRDefault="00535146" w:rsidP="00535146">
      <w:pPr>
        <w:autoSpaceDE w:val="0"/>
        <w:autoSpaceDN w:val="0"/>
        <w:adjustRightInd w:val="0"/>
        <w:rPr>
          <w:sz w:val="20"/>
          <w:szCs w:val="20"/>
        </w:rPr>
      </w:pPr>
      <w:r w:rsidRPr="007A4532">
        <w:rPr>
          <w:sz w:val="20"/>
          <w:szCs w:val="20"/>
        </w:rPr>
        <w:t>Include as treatment received:  Participants were included in the treatment group for the treatment they actually received irrespective of randomisation.</w:t>
      </w:r>
    </w:p>
    <w:p w:rsidR="00535146" w:rsidRDefault="00535146" w:rsidP="00535146">
      <w:pPr>
        <w:spacing w:after="160" w:line="259" w:lineRule="auto"/>
        <w:rPr>
          <w:lang w:bidi="en-US"/>
        </w:rPr>
      </w:pPr>
      <w:r>
        <w:rPr>
          <w:lang w:bidi="en-US"/>
        </w:rPr>
        <w:br w:type="page"/>
      </w:r>
    </w:p>
    <w:p w:rsidR="00535146" w:rsidRDefault="00535146" w:rsidP="00535146">
      <w:pPr>
        <w:rPr>
          <w:b/>
          <w:bCs/>
          <w:lang w:bidi="en-US"/>
        </w:rPr>
      </w:pPr>
      <w:r>
        <w:rPr>
          <w:b/>
          <w:bCs/>
        </w:rPr>
        <w:lastRenderedPageBreak/>
        <w:t xml:space="preserve">Figure S2: </w:t>
      </w:r>
      <w:r>
        <w:rPr>
          <w:rFonts w:eastAsiaTheme="minorEastAsia"/>
          <w:b/>
          <w:bCs/>
          <w:lang w:val="en-US" w:bidi="en-US"/>
        </w:rPr>
        <w:t xml:space="preserve">Kaplan Meier plot </w:t>
      </w:r>
      <w:bookmarkStart w:id="0" w:name="_Hlk62642066"/>
      <w:r>
        <w:rPr>
          <w:rFonts w:eastAsiaTheme="minorEastAsia"/>
          <w:b/>
          <w:bCs/>
          <w:lang w:val="en-US" w:bidi="en-US"/>
        </w:rPr>
        <w:t>for recurrence of bacterial vaginosis symptoms against time</w:t>
      </w:r>
    </w:p>
    <w:bookmarkEnd w:id="0"/>
    <w:p w:rsidR="00535146" w:rsidRDefault="00535146" w:rsidP="00535146">
      <w:pPr>
        <w:rPr>
          <w:rFonts w:ascii="Verdana" w:hAnsi="Verdana" w:cstheme="minorBidi"/>
          <w:sz w:val="20"/>
          <w:szCs w:val="22"/>
        </w:rPr>
      </w:pPr>
      <w:r>
        <w:rPr>
          <w:noProof/>
          <w:lang w:val="en-US"/>
        </w:rPr>
        <w:drawing>
          <wp:inline distT="0" distB="0" distL="0" distR="0" wp14:anchorId="1B0D5348" wp14:editId="6940ADB2">
            <wp:extent cx="50292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146" w:rsidRDefault="00535146" w:rsidP="00535146">
      <w:pPr>
        <w:rPr>
          <w:lang w:bidi="en-US"/>
        </w:rPr>
      </w:pPr>
    </w:p>
    <w:p w:rsidR="00535146" w:rsidRDefault="00535146" w:rsidP="00535146"/>
    <w:p w:rsidR="00535146" w:rsidRDefault="00535146" w:rsidP="00535146"/>
    <w:p w:rsidR="00535146" w:rsidRDefault="00535146" w:rsidP="00535146">
      <w:pPr>
        <w:rPr>
          <w:sz w:val="20"/>
          <w:szCs w:val="20"/>
        </w:rPr>
      </w:pPr>
    </w:p>
    <w:p w:rsidR="00535146" w:rsidRDefault="00535146" w:rsidP="00535146"/>
    <w:p w:rsidR="00535146" w:rsidRDefault="00535146" w:rsidP="00535146"/>
    <w:p w:rsidR="00535146" w:rsidRDefault="00535146" w:rsidP="00535146"/>
    <w:p w:rsidR="0070595E" w:rsidRDefault="0070595E">
      <w:bookmarkStart w:id="1" w:name="_GoBack"/>
      <w:bookmarkEnd w:id="1"/>
    </w:p>
    <w:sectPr w:rsidR="0070595E" w:rsidSect="007F25D9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46"/>
    <w:rsid w:val="00535146"/>
    <w:rsid w:val="0070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54E9D6-3832-4C16-9231-F926ACB3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146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514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35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788</Words>
  <Characters>4495</Characters>
  <Application>Microsoft Office Word</Application>
  <DocSecurity>0</DocSecurity>
  <Lines>37</Lines>
  <Paragraphs>10</Paragraphs>
  <ScaleCrop>false</ScaleCrop>
  <Company>Springer Nature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2022-06-06T08:47:00Z</dcterms:created>
  <dcterms:modified xsi:type="dcterms:W3CDTF">2022-06-06T08:47:00Z</dcterms:modified>
</cp:coreProperties>
</file>