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3F8B52" w14:textId="39666F68" w:rsidR="00A677DA" w:rsidRPr="00FC0EB7" w:rsidRDefault="00A677DA" w:rsidP="00FC0EB7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eastAsia="Calibri"/>
          <w:b/>
          <w:color w:val="000000"/>
          <w:sz w:val="28"/>
          <w:szCs w:val="28"/>
        </w:rPr>
      </w:pPr>
      <w:r w:rsidRPr="00B47CB1">
        <w:rPr>
          <w:rFonts w:eastAsia="Calibri"/>
          <w:b/>
          <w:color w:val="000000"/>
          <w:sz w:val="28"/>
          <w:szCs w:val="28"/>
        </w:rPr>
        <w:t>SUPPLEMENTARY MATERIALS</w:t>
      </w:r>
    </w:p>
    <w:p w14:paraId="7C4C19CB" w14:textId="57531AFF" w:rsidR="00A677DA" w:rsidRPr="00B47CB1" w:rsidRDefault="00A677DA" w:rsidP="00B47CB1">
      <w:pPr>
        <w:spacing w:line="480" w:lineRule="auto"/>
        <w:jc w:val="both"/>
        <w:rPr>
          <w:b/>
          <w:color w:val="000000" w:themeColor="text1"/>
          <w:sz w:val="22"/>
          <w:szCs w:val="22"/>
          <w:lang w:val="en-GB"/>
        </w:rPr>
      </w:pPr>
      <w:r w:rsidRPr="00B47CB1">
        <w:rPr>
          <w:b/>
          <w:color w:val="000000" w:themeColor="text1"/>
          <w:sz w:val="22"/>
          <w:szCs w:val="22"/>
          <w:lang w:val="en-GB"/>
        </w:rPr>
        <w:t>Radiomics and gene expression profile to characterize the disease and predict outcome in patients with lung cancer</w:t>
      </w:r>
    </w:p>
    <w:p w14:paraId="0E866C6C" w14:textId="77777777" w:rsidR="00A677DA" w:rsidRPr="00B47CB1" w:rsidRDefault="008E0D69" w:rsidP="00B47CB1">
      <w:pPr>
        <w:spacing w:line="480" w:lineRule="auto"/>
        <w:jc w:val="both"/>
        <w:rPr>
          <w:b/>
          <w:color w:val="000000" w:themeColor="text1"/>
          <w:sz w:val="22"/>
          <w:szCs w:val="22"/>
          <w:lang w:val="en-GB"/>
        </w:rPr>
      </w:pPr>
      <w:sdt>
        <w:sdtPr>
          <w:rPr>
            <w:color w:val="000000" w:themeColor="text1"/>
            <w:sz w:val="22"/>
            <w:szCs w:val="22"/>
            <w:lang w:val="en-GB"/>
          </w:rPr>
          <w:tag w:val="goog_rdk_0"/>
          <w:id w:val="-536741164"/>
        </w:sdtPr>
        <w:sdtEndPr/>
        <w:sdtContent/>
      </w:sdt>
    </w:p>
    <w:p w14:paraId="55FA1F75" w14:textId="77777777" w:rsidR="00A677DA" w:rsidRPr="00B47CB1" w:rsidRDefault="00A677DA" w:rsidP="00B47CB1">
      <w:pPr>
        <w:spacing w:line="480" w:lineRule="auto"/>
        <w:jc w:val="both"/>
        <w:rPr>
          <w:color w:val="000000" w:themeColor="text1"/>
          <w:sz w:val="22"/>
          <w:szCs w:val="22"/>
          <w:vertAlign w:val="superscript"/>
          <w:lang w:val="it-IT"/>
        </w:rPr>
      </w:pPr>
      <w:r w:rsidRPr="00B47CB1">
        <w:rPr>
          <w:color w:val="000000" w:themeColor="text1"/>
          <w:sz w:val="22"/>
          <w:szCs w:val="22"/>
          <w:lang w:val="it-IT"/>
        </w:rPr>
        <w:t>Margarita Kirienko</w:t>
      </w:r>
      <w:r w:rsidRPr="00B47CB1">
        <w:rPr>
          <w:color w:val="000000" w:themeColor="text1"/>
          <w:sz w:val="22"/>
          <w:szCs w:val="22"/>
          <w:vertAlign w:val="superscript"/>
          <w:lang w:val="it-IT"/>
        </w:rPr>
        <w:t>1,5</w:t>
      </w:r>
      <w:r w:rsidRPr="00B47CB1">
        <w:rPr>
          <w:color w:val="000000" w:themeColor="text1"/>
          <w:sz w:val="22"/>
          <w:szCs w:val="22"/>
          <w:lang w:val="it-IT"/>
        </w:rPr>
        <w:t>, Martina Sollini</w:t>
      </w:r>
      <w:r w:rsidRPr="00B47CB1">
        <w:rPr>
          <w:color w:val="000000" w:themeColor="text1"/>
          <w:sz w:val="22"/>
          <w:szCs w:val="22"/>
          <w:vertAlign w:val="superscript"/>
          <w:lang w:val="it-IT"/>
        </w:rPr>
        <w:t>1,2</w:t>
      </w:r>
      <w:r w:rsidRPr="00B47CB1">
        <w:rPr>
          <w:color w:val="000000" w:themeColor="text1"/>
          <w:sz w:val="22"/>
          <w:szCs w:val="22"/>
          <w:lang w:val="it-IT"/>
        </w:rPr>
        <w:t>*, Marinella Corbetta</w:t>
      </w:r>
      <w:r w:rsidRPr="00B47CB1">
        <w:rPr>
          <w:color w:val="000000" w:themeColor="text1"/>
          <w:sz w:val="22"/>
          <w:szCs w:val="22"/>
          <w:vertAlign w:val="superscript"/>
          <w:lang w:val="it-IT"/>
        </w:rPr>
        <w:t>1</w:t>
      </w:r>
      <w:r w:rsidRPr="00B47CB1">
        <w:rPr>
          <w:color w:val="000000" w:themeColor="text1"/>
          <w:sz w:val="22"/>
          <w:szCs w:val="22"/>
          <w:lang w:val="it-IT"/>
        </w:rPr>
        <w:t>, Emanuele Voulaz</w:t>
      </w:r>
      <w:r w:rsidRPr="00B47CB1">
        <w:rPr>
          <w:color w:val="000000" w:themeColor="text1"/>
          <w:sz w:val="22"/>
          <w:szCs w:val="22"/>
          <w:vertAlign w:val="superscript"/>
          <w:lang w:val="it-IT"/>
        </w:rPr>
        <w:t>1,2</w:t>
      </w:r>
      <w:r w:rsidRPr="00B47CB1">
        <w:rPr>
          <w:color w:val="000000" w:themeColor="text1"/>
          <w:sz w:val="22"/>
          <w:szCs w:val="22"/>
          <w:lang w:val="it-IT"/>
        </w:rPr>
        <w:t>, Noemi Gozzi</w:t>
      </w:r>
      <w:r w:rsidRPr="00B47CB1">
        <w:rPr>
          <w:color w:val="000000" w:themeColor="text1"/>
          <w:sz w:val="22"/>
          <w:szCs w:val="22"/>
          <w:vertAlign w:val="superscript"/>
          <w:lang w:val="it-IT"/>
        </w:rPr>
        <w:t>2</w:t>
      </w:r>
      <w:r w:rsidRPr="00B47CB1">
        <w:rPr>
          <w:color w:val="000000" w:themeColor="text1"/>
          <w:sz w:val="22"/>
          <w:szCs w:val="22"/>
          <w:lang w:val="it-IT"/>
        </w:rPr>
        <w:t>, Matteo Interlenghi</w:t>
      </w:r>
      <w:r w:rsidRPr="00B47CB1">
        <w:rPr>
          <w:color w:val="000000" w:themeColor="text1"/>
          <w:sz w:val="22"/>
          <w:szCs w:val="22"/>
          <w:vertAlign w:val="superscript"/>
          <w:lang w:val="it-IT"/>
        </w:rPr>
        <w:t>3,4</w:t>
      </w:r>
      <w:r w:rsidRPr="00B47CB1">
        <w:rPr>
          <w:color w:val="000000" w:themeColor="text1"/>
          <w:sz w:val="22"/>
          <w:szCs w:val="22"/>
          <w:lang w:val="it-IT"/>
        </w:rPr>
        <w:t>, Francesca Gallivanone</w:t>
      </w:r>
      <w:r w:rsidRPr="00B47CB1">
        <w:rPr>
          <w:color w:val="000000" w:themeColor="text1"/>
          <w:sz w:val="22"/>
          <w:szCs w:val="22"/>
          <w:vertAlign w:val="superscript"/>
          <w:lang w:val="it-IT"/>
        </w:rPr>
        <w:t>3</w:t>
      </w:r>
      <w:r w:rsidRPr="00B47CB1">
        <w:rPr>
          <w:color w:val="000000" w:themeColor="text1"/>
          <w:sz w:val="22"/>
          <w:szCs w:val="22"/>
          <w:lang w:val="it-IT"/>
        </w:rPr>
        <w:t>, Isabella Castiglioni</w:t>
      </w:r>
      <w:r w:rsidRPr="00B47CB1">
        <w:rPr>
          <w:color w:val="000000" w:themeColor="text1"/>
          <w:sz w:val="22"/>
          <w:szCs w:val="22"/>
          <w:vertAlign w:val="superscript"/>
          <w:lang w:val="it-IT"/>
        </w:rPr>
        <w:t>3,6</w:t>
      </w:r>
      <w:r w:rsidRPr="00B47CB1">
        <w:rPr>
          <w:color w:val="000000" w:themeColor="text1"/>
          <w:sz w:val="22"/>
          <w:szCs w:val="22"/>
          <w:lang w:val="it-IT"/>
        </w:rPr>
        <w:t xml:space="preserve">, </w:t>
      </w:r>
      <w:sdt>
        <w:sdtPr>
          <w:rPr>
            <w:color w:val="000000" w:themeColor="text1"/>
            <w:sz w:val="22"/>
            <w:szCs w:val="22"/>
            <w:lang w:val="en-GB"/>
          </w:rPr>
          <w:tag w:val="goog_rdk_1"/>
          <w:id w:val="1164283607"/>
        </w:sdtPr>
        <w:sdtEndPr/>
        <w:sdtContent>
          <w:r w:rsidRPr="00B47CB1">
            <w:rPr>
              <w:color w:val="000000" w:themeColor="text1"/>
              <w:sz w:val="22"/>
              <w:szCs w:val="22"/>
              <w:lang w:val="it-IT"/>
            </w:rPr>
            <w:t xml:space="preserve"> Rosanna Asselta</w:t>
          </w:r>
          <w:r w:rsidRPr="00B47CB1">
            <w:rPr>
              <w:color w:val="000000" w:themeColor="text1"/>
              <w:sz w:val="22"/>
              <w:szCs w:val="22"/>
              <w:vertAlign w:val="superscript"/>
              <w:lang w:val="it-IT"/>
            </w:rPr>
            <w:t>1,2</w:t>
          </w:r>
          <w:r w:rsidRPr="00B47CB1">
            <w:rPr>
              <w:color w:val="000000" w:themeColor="text1"/>
              <w:sz w:val="22"/>
              <w:szCs w:val="22"/>
              <w:lang w:val="it-IT"/>
            </w:rPr>
            <w:t xml:space="preserve">, </w:t>
          </w:r>
        </w:sdtContent>
      </w:sdt>
      <w:r w:rsidRPr="00B47CB1">
        <w:rPr>
          <w:color w:val="000000" w:themeColor="text1"/>
          <w:sz w:val="22"/>
          <w:szCs w:val="22"/>
          <w:lang w:val="it-IT"/>
        </w:rPr>
        <w:t>Stefano Duga</w:t>
      </w:r>
      <w:r w:rsidRPr="00B47CB1">
        <w:rPr>
          <w:color w:val="000000" w:themeColor="text1"/>
          <w:sz w:val="22"/>
          <w:szCs w:val="22"/>
          <w:vertAlign w:val="superscript"/>
          <w:lang w:val="it-IT"/>
        </w:rPr>
        <w:t>1,3</w:t>
      </w:r>
      <w:r w:rsidRPr="00B47CB1">
        <w:rPr>
          <w:color w:val="000000" w:themeColor="text1"/>
          <w:sz w:val="22"/>
          <w:szCs w:val="22"/>
          <w:lang w:val="it-IT"/>
        </w:rPr>
        <w:t>,</w:t>
      </w:r>
      <w:r w:rsidRPr="00B47CB1">
        <w:rPr>
          <w:color w:val="000000" w:themeColor="text1"/>
          <w:sz w:val="22"/>
          <w:szCs w:val="22"/>
          <w:vertAlign w:val="superscript"/>
          <w:lang w:val="it-IT"/>
        </w:rPr>
        <w:t xml:space="preserve"> </w:t>
      </w:r>
      <w:r w:rsidRPr="00B47CB1">
        <w:rPr>
          <w:color w:val="000000" w:themeColor="text1"/>
          <w:sz w:val="22"/>
          <w:szCs w:val="22"/>
          <w:lang w:val="it-IT"/>
        </w:rPr>
        <w:t>Giulia Soldà</w:t>
      </w:r>
      <w:r w:rsidRPr="00B47CB1">
        <w:rPr>
          <w:color w:val="000000" w:themeColor="text1"/>
          <w:sz w:val="22"/>
          <w:szCs w:val="22"/>
          <w:vertAlign w:val="superscript"/>
          <w:lang w:val="it-IT"/>
        </w:rPr>
        <w:t>1,2</w:t>
      </w:r>
      <w:r w:rsidRPr="00B47CB1">
        <w:rPr>
          <w:color w:val="000000" w:themeColor="text1"/>
          <w:sz w:val="22"/>
          <w:szCs w:val="22"/>
          <w:lang w:val="it-IT"/>
        </w:rPr>
        <w:t>*, Arturo Chiti</w:t>
      </w:r>
      <w:r w:rsidRPr="00B47CB1">
        <w:rPr>
          <w:color w:val="000000" w:themeColor="text1"/>
          <w:sz w:val="22"/>
          <w:szCs w:val="22"/>
          <w:vertAlign w:val="superscript"/>
          <w:lang w:val="it-IT"/>
        </w:rPr>
        <w:t>1,2</w:t>
      </w:r>
    </w:p>
    <w:p w14:paraId="7795BC7E" w14:textId="77777777" w:rsidR="00A677DA" w:rsidRPr="00B47CB1" w:rsidRDefault="00A677DA" w:rsidP="00B47CB1">
      <w:pPr>
        <w:spacing w:line="480" w:lineRule="auto"/>
        <w:jc w:val="both"/>
        <w:rPr>
          <w:color w:val="000000" w:themeColor="text1"/>
          <w:sz w:val="22"/>
          <w:szCs w:val="22"/>
          <w:lang w:val="it-IT"/>
        </w:rPr>
      </w:pPr>
    </w:p>
    <w:p w14:paraId="466D2AAE" w14:textId="77777777" w:rsidR="00A677DA" w:rsidRPr="00B47CB1" w:rsidRDefault="00A677DA" w:rsidP="00B47CB1">
      <w:pPr>
        <w:numPr>
          <w:ilvl w:val="0"/>
          <w:numId w:val="1"/>
        </w:numPr>
        <w:spacing w:line="480" w:lineRule="auto"/>
        <w:ind w:hanging="360"/>
        <w:jc w:val="both"/>
        <w:rPr>
          <w:color w:val="000000" w:themeColor="text1"/>
          <w:sz w:val="22"/>
          <w:szCs w:val="22"/>
          <w:lang w:val="en-GB"/>
        </w:rPr>
      </w:pPr>
      <w:r w:rsidRPr="00B47CB1">
        <w:rPr>
          <w:color w:val="000000" w:themeColor="text1"/>
          <w:sz w:val="22"/>
          <w:szCs w:val="22"/>
          <w:lang w:val="en-GB"/>
        </w:rPr>
        <w:t xml:space="preserve">Department of Biomedical Sciences, </w:t>
      </w:r>
      <w:proofErr w:type="spellStart"/>
      <w:r w:rsidRPr="00B47CB1">
        <w:rPr>
          <w:color w:val="000000" w:themeColor="text1"/>
          <w:sz w:val="22"/>
          <w:szCs w:val="22"/>
          <w:lang w:val="en-GB"/>
        </w:rPr>
        <w:t>Humanitas</w:t>
      </w:r>
      <w:proofErr w:type="spellEnd"/>
      <w:r w:rsidRPr="00B47CB1">
        <w:rPr>
          <w:color w:val="000000" w:themeColor="text1"/>
          <w:sz w:val="22"/>
          <w:szCs w:val="22"/>
          <w:lang w:val="en-GB"/>
        </w:rPr>
        <w:t xml:space="preserve"> University, Via Rita Levi </w:t>
      </w:r>
      <w:proofErr w:type="spellStart"/>
      <w:r w:rsidRPr="00B47CB1">
        <w:rPr>
          <w:color w:val="000000" w:themeColor="text1"/>
          <w:sz w:val="22"/>
          <w:szCs w:val="22"/>
          <w:lang w:val="en-GB"/>
        </w:rPr>
        <w:t>Montalcini</w:t>
      </w:r>
      <w:proofErr w:type="spellEnd"/>
      <w:r w:rsidRPr="00B47CB1">
        <w:rPr>
          <w:color w:val="000000" w:themeColor="text1"/>
          <w:sz w:val="22"/>
          <w:szCs w:val="22"/>
          <w:lang w:val="en-GB"/>
        </w:rPr>
        <w:t xml:space="preserve"> 4, 20090 </w:t>
      </w:r>
      <w:proofErr w:type="spellStart"/>
      <w:r w:rsidRPr="00B47CB1">
        <w:rPr>
          <w:color w:val="000000" w:themeColor="text1"/>
          <w:sz w:val="22"/>
          <w:szCs w:val="22"/>
          <w:lang w:val="en-GB"/>
        </w:rPr>
        <w:t>Pieve</w:t>
      </w:r>
      <w:proofErr w:type="spellEnd"/>
      <w:r w:rsidRPr="00B47CB1">
        <w:rPr>
          <w:color w:val="000000" w:themeColor="text1"/>
          <w:sz w:val="22"/>
          <w:szCs w:val="22"/>
          <w:lang w:val="en-GB"/>
        </w:rPr>
        <w:t xml:space="preserve"> Emanuele, Milan, Italy</w:t>
      </w:r>
    </w:p>
    <w:p w14:paraId="650B2741" w14:textId="77777777" w:rsidR="00A677DA" w:rsidRPr="00B47CB1" w:rsidRDefault="00A677DA" w:rsidP="00B47CB1">
      <w:pPr>
        <w:pStyle w:val="Paragrafoelenco"/>
        <w:numPr>
          <w:ilvl w:val="0"/>
          <w:numId w:val="1"/>
        </w:numPr>
        <w:spacing w:before="100" w:beforeAutospacing="1" w:after="100" w:afterAutospacing="1" w:line="480" w:lineRule="auto"/>
        <w:rPr>
          <w:rFonts w:ascii="Times New Roman" w:hAnsi="Times New Roman" w:cs="Times New Roman"/>
          <w:color w:val="000000" w:themeColor="text1"/>
          <w:sz w:val="22"/>
          <w:lang w:val="en-US"/>
        </w:rPr>
      </w:pPr>
      <w:r w:rsidRPr="00B47CB1">
        <w:rPr>
          <w:rFonts w:ascii="Times New Roman" w:hAnsi="Times New Roman" w:cs="Times New Roman"/>
          <w:color w:val="000000" w:themeColor="text1"/>
          <w:sz w:val="22"/>
          <w:lang w:val="en-US"/>
        </w:rPr>
        <w:t xml:space="preserve">IRCCS </w:t>
      </w:r>
      <w:proofErr w:type="spellStart"/>
      <w:r w:rsidRPr="00B47CB1">
        <w:rPr>
          <w:rFonts w:ascii="Times New Roman" w:hAnsi="Times New Roman" w:cs="Times New Roman"/>
          <w:color w:val="000000" w:themeColor="text1"/>
          <w:sz w:val="22"/>
          <w:lang w:val="en-US"/>
        </w:rPr>
        <w:t>Humanitas</w:t>
      </w:r>
      <w:proofErr w:type="spellEnd"/>
      <w:r w:rsidRPr="00B47CB1">
        <w:rPr>
          <w:rFonts w:ascii="Times New Roman" w:hAnsi="Times New Roman" w:cs="Times New Roman"/>
          <w:color w:val="000000" w:themeColor="text1"/>
          <w:sz w:val="22"/>
          <w:lang w:val="en-US"/>
        </w:rPr>
        <w:t xml:space="preserve"> Research Hospital, Via Manzoni 56, 20089 </w:t>
      </w:r>
      <w:proofErr w:type="spellStart"/>
      <w:r w:rsidRPr="00B47CB1">
        <w:rPr>
          <w:rFonts w:ascii="Times New Roman" w:hAnsi="Times New Roman" w:cs="Times New Roman"/>
          <w:color w:val="000000" w:themeColor="text1"/>
          <w:sz w:val="22"/>
          <w:lang w:val="en-US"/>
        </w:rPr>
        <w:t>Rozzano</w:t>
      </w:r>
      <w:proofErr w:type="spellEnd"/>
      <w:r w:rsidRPr="00B47CB1">
        <w:rPr>
          <w:rFonts w:ascii="Times New Roman" w:hAnsi="Times New Roman" w:cs="Times New Roman"/>
          <w:color w:val="000000" w:themeColor="text1"/>
          <w:sz w:val="22"/>
          <w:lang w:val="en-US"/>
        </w:rPr>
        <w:t xml:space="preserve"> – Milan, Italy </w:t>
      </w:r>
    </w:p>
    <w:p w14:paraId="77EDE4D7" w14:textId="77777777" w:rsidR="00A677DA" w:rsidRPr="00B47CB1" w:rsidRDefault="00A677DA" w:rsidP="00B47CB1">
      <w:pPr>
        <w:numPr>
          <w:ilvl w:val="0"/>
          <w:numId w:val="1"/>
        </w:numPr>
        <w:spacing w:line="480" w:lineRule="auto"/>
        <w:ind w:hanging="360"/>
        <w:jc w:val="both"/>
        <w:rPr>
          <w:color w:val="000000" w:themeColor="text1"/>
          <w:sz w:val="22"/>
          <w:szCs w:val="22"/>
          <w:lang w:val="en-GB"/>
        </w:rPr>
      </w:pPr>
      <w:r w:rsidRPr="00B47CB1">
        <w:rPr>
          <w:color w:val="000000" w:themeColor="text1"/>
          <w:sz w:val="22"/>
          <w:szCs w:val="22"/>
          <w:lang w:val="en-GB"/>
        </w:rPr>
        <w:t>Institute of Molecular Bioimaging and Physiology, National Research Council (IBFM-CNR), Milan, Italy</w:t>
      </w:r>
    </w:p>
    <w:p w14:paraId="7C711273" w14:textId="77777777" w:rsidR="00A677DA" w:rsidRPr="00B47CB1" w:rsidRDefault="00A677DA" w:rsidP="00B47CB1">
      <w:pPr>
        <w:numPr>
          <w:ilvl w:val="0"/>
          <w:numId w:val="1"/>
        </w:numPr>
        <w:spacing w:line="480" w:lineRule="auto"/>
        <w:ind w:hanging="360"/>
        <w:jc w:val="both"/>
        <w:rPr>
          <w:color w:val="000000" w:themeColor="text1"/>
          <w:sz w:val="22"/>
          <w:szCs w:val="22"/>
          <w:lang w:val="en-GB"/>
        </w:rPr>
      </w:pPr>
      <w:proofErr w:type="spellStart"/>
      <w:r w:rsidRPr="00B47CB1">
        <w:rPr>
          <w:color w:val="000000" w:themeColor="text1"/>
          <w:sz w:val="22"/>
          <w:szCs w:val="22"/>
          <w:lang w:val="en-GB"/>
        </w:rPr>
        <w:t>DeepTrace</w:t>
      </w:r>
      <w:proofErr w:type="spellEnd"/>
      <w:r w:rsidRPr="00B47CB1">
        <w:rPr>
          <w:color w:val="000000" w:themeColor="text1"/>
          <w:sz w:val="22"/>
          <w:szCs w:val="22"/>
          <w:lang w:val="en-GB"/>
        </w:rPr>
        <w:t xml:space="preserve"> Technologies </w:t>
      </w:r>
      <w:proofErr w:type="spellStart"/>
      <w:r w:rsidRPr="00B47CB1">
        <w:rPr>
          <w:color w:val="000000" w:themeColor="text1"/>
          <w:sz w:val="22"/>
          <w:szCs w:val="22"/>
          <w:lang w:val="en-GB"/>
        </w:rPr>
        <w:t>s.r.l</w:t>
      </w:r>
      <w:proofErr w:type="spellEnd"/>
      <w:r w:rsidRPr="00B47CB1">
        <w:rPr>
          <w:color w:val="000000" w:themeColor="text1"/>
          <w:sz w:val="22"/>
          <w:szCs w:val="22"/>
          <w:lang w:val="en-GB"/>
        </w:rPr>
        <w:t xml:space="preserve">., via </w:t>
      </w:r>
      <w:proofErr w:type="spellStart"/>
      <w:r w:rsidRPr="00B47CB1">
        <w:rPr>
          <w:color w:val="000000" w:themeColor="text1"/>
          <w:sz w:val="22"/>
          <w:szCs w:val="22"/>
          <w:lang w:val="en-GB"/>
        </w:rPr>
        <w:t>Conservatorio</w:t>
      </w:r>
      <w:proofErr w:type="spellEnd"/>
      <w:r w:rsidRPr="00B47CB1">
        <w:rPr>
          <w:color w:val="000000" w:themeColor="text1"/>
          <w:sz w:val="22"/>
          <w:szCs w:val="22"/>
          <w:lang w:val="en-GB"/>
        </w:rPr>
        <w:t xml:space="preserve"> 17, 20122, Milan, Italy</w:t>
      </w:r>
    </w:p>
    <w:p w14:paraId="18DDB9D8" w14:textId="77777777" w:rsidR="00A677DA" w:rsidRPr="00B47CB1" w:rsidRDefault="00A677DA" w:rsidP="00B47CB1">
      <w:pPr>
        <w:numPr>
          <w:ilvl w:val="0"/>
          <w:numId w:val="1"/>
        </w:numPr>
        <w:spacing w:line="480" w:lineRule="auto"/>
        <w:ind w:hanging="360"/>
        <w:jc w:val="both"/>
        <w:rPr>
          <w:color w:val="000000" w:themeColor="text1"/>
          <w:sz w:val="22"/>
          <w:szCs w:val="22"/>
          <w:lang w:val="it-IT"/>
        </w:rPr>
      </w:pPr>
      <w:r w:rsidRPr="00B47CB1">
        <w:rPr>
          <w:color w:val="000000" w:themeColor="text1"/>
          <w:sz w:val="22"/>
          <w:szCs w:val="22"/>
          <w:lang w:val="it-IT"/>
        </w:rPr>
        <w:t xml:space="preserve">Fondazione IRCCS Istituto Nazionale Tumori, Via G. </w:t>
      </w:r>
      <w:proofErr w:type="spellStart"/>
      <w:r w:rsidRPr="00B47CB1">
        <w:rPr>
          <w:color w:val="000000" w:themeColor="text1"/>
          <w:sz w:val="22"/>
          <w:szCs w:val="22"/>
          <w:lang w:val="it-IT"/>
        </w:rPr>
        <w:t>Venezian</w:t>
      </w:r>
      <w:proofErr w:type="spellEnd"/>
      <w:r w:rsidRPr="00B47CB1">
        <w:rPr>
          <w:color w:val="000000" w:themeColor="text1"/>
          <w:sz w:val="22"/>
          <w:szCs w:val="22"/>
          <w:lang w:val="it-IT"/>
        </w:rPr>
        <w:t xml:space="preserve"> 1, 20133 Milan, </w:t>
      </w:r>
      <w:proofErr w:type="spellStart"/>
      <w:r w:rsidRPr="00B47CB1">
        <w:rPr>
          <w:color w:val="000000" w:themeColor="text1"/>
          <w:sz w:val="22"/>
          <w:szCs w:val="22"/>
          <w:lang w:val="it-IT"/>
        </w:rPr>
        <w:t>Italy</w:t>
      </w:r>
      <w:proofErr w:type="spellEnd"/>
    </w:p>
    <w:p w14:paraId="0D2F54E2" w14:textId="77777777" w:rsidR="00A677DA" w:rsidRPr="00B47CB1" w:rsidRDefault="00A677DA" w:rsidP="00B47CB1">
      <w:pPr>
        <w:numPr>
          <w:ilvl w:val="0"/>
          <w:numId w:val="1"/>
        </w:numPr>
        <w:spacing w:line="480" w:lineRule="auto"/>
        <w:ind w:hanging="360"/>
        <w:jc w:val="both"/>
        <w:rPr>
          <w:color w:val="000000" w:themeColor="text1"/>
          <w:sz w:val="22"/>
          <w:szCs w:val="22"/>
        </w:rPr>
      </w:pPr>
      <w:r w:rsidRPr="00B47CB1">
        <w:rPr>
          <w:color w:val="000000" w:themeColor="text1"/>
          <w:sz w:val="22"/>
          <w:szCs w:val="22"/>
        </w:rPr>
        <w:t xml:space="preserve">University of Milan-Bicocca, Department of Physics “G. </w:t>
      </w:r>
      <w:proofErr w:type="spellStart"/>
      <w:r w:rsidRPr="00B47CB1">
        <w:rPr>
          <w:color w:val="000000" w:themeColor="text1"/>
          <w:sz w:val="22"/>
          <w:szCs w:val="22"/>
        </w:rPr>
        <w:t>Occhialini</w:t>
      </w:r>
      <w:proofErr w:type="spellEnd"/>
      <w:r w:rsidRPr="00B47CB1">
        <w:rPr>
          <w:color w:val="000000" w:themeColor="text1"/>
          <w:sz w:val="22"/>
          <w:szCs w:val="22"/>
        </w:rPr>
        <w:t xml:space="preserve">”, Piazza </w:t>
      </w:r>
      <w:proofErr w:type="spellStart"/>
      <w:r w:rsidRPr="00B47CB1">
        <w:rPr>
          <w:color w:val="000000" w:themeColor="text1"/>
          <w:sz w:val="22"/>
          <w:szCs w:val="22"/>
        </w:rPr>
        <w:t>della</w:t>
      </w:r>
      <w:proofErr w:type="spellEnd"/>
      <w:r w:rsidRPr="00B47CB1">
        <w:rPr>
          <w:color w:val="000000" w:themeColor="text1"/>
          <w:sz w:val="22"/>
          <w:szCs w:val="22"/>
        </w:rPr>
        <w:t xml:space="preserve"> </w:t>
      </w:r>
      <w:proofErr w:type="spellStart"/>
      <w:r w:rsidRPr="00B47CB1">
        <w:rPr>
          <w:color w:val="000000" w:themeColor="text1"/>
          <w:sz w:val="22"/>
          <w:szCs w:val="22"/>
        </w:rPr>
        <w:t>Scienza</w:t>
      </w:r>
      <w:proofErr w:type="spellEnd"/>
      <w:r w:rsidRPr="00B47CB1">
        <w:rPr>
          <w:color w:val="000000" w:themeColor="text1"/>
          <w:sz w:val="22"/>
          <w:szCs w:val="22"/>
        </w:rPr>
        <w:t xml:space="preserve"> 3, 20126, Milan, Italy</w:t>
      </w:r>
    </w:p>
    <w:p w14:paraId="6BD82B87" w14:textId="77777777" w:rsidR="00A677DA" w:rsidRPr="00B47CB1" w:rsidRDefault="00A677DA" w:rsidP="00B47CB1">
      <w:pPr>
        <w:spacing w:line="480" w:lineRule="auto"/>
        <w:jc w:val="both"/>
        <w:rPr>
          <w:color w:val="000000" w:themeColor="text1"/>
          <w:sz w:val="22"/>
          <w:szCs w:val="22"/>
        </w:rPr>
      </w:pPr>
    </w:p>
    <w:p w14:paraId="5F0ADA8B" w14:textId="77777777" w:rsidR="00A677DA" w:rsidRPr="00B47CB1" w:rsidRDefault="00A677DA" w:rsidP="00B47CB1">
      <w:pPr>
        <w:spacing w:line="480" w:lineRule="auto"/>
        <w:jc w:val="both"/>
        <w:rPr>
          <w:rFonts w:eastAsia="Palatino Linotype"/>
          <w:b/>
          <w:color w:val="000000" w:themeColor="text1"/>
          <w:sz w:val="22"/>
          <w:szCs w:val="22"/>
        </w:rPr>
      </w:pPr>
      <w:r w:rsidRPr="00B47CB1">
        <w:rPr>
          <w:rFonts w:eastAsia="Palatino Linotype"/>
          <w:b/>
          <w:color w:val="000000" w:themeColor="text1"/>
          <w:sz w:val="22"/>
          <w:szCs w:val="22"/>
        </w:rPr>
        <w:t>ORCID (alphabetical order)</w:t>
      </w:r>
    </w:p>
    <w:p w14:paraId="3E6EF41E" w14:textId="77777777" w:rsidR="00A677DA" w:rsidRPr="00B47CB1" w:rsidRDefault="00A677DA" w:rsidP="00B47CB1">
      <w:pPr>
        <w:spacing w:line="480" w:lineRule="auto"/>
        <w:jc w:val="both"/>
        <w:rPr>
          <w:color w:val="000000" w:themeColor="text1"/>
          <w:sz w:val="22"/>
          <w:szCs w:val="22"/>
        </w:rPr>
      </w:pPr>
      <w:proofErr w:type="spellStart"/>
      <w:r w:rsidRPr="00B47CB1">
        <w:rPr>
          <w:color w:val="000000" w:themeColor="text1"/>
          <w:sz w:val="22"/>
          <w:szCs w:val="22"/>
        </w:rPr>
        <w:t>Asselta</w:t>
      </w:r>
      <w:proofErr w:type="spellEnd"/>
      <w:r w:rsidRPr="00B47CB1">
        <w:rPr>
          <w:color w:val="000000" w:themeColor="text1"/>
          <w:sz w:val="22"/>
          <w:szCs w:val="22"/>
        </w:rPr>
        <w:t>: 0000-0001-5351-0619</w:t>
      </w:r>
    </w:p>
    <w:p w14:paraId="4197F2C6" w14:textId="77777777" w:rsidR="00A677DA" w:rsidRPr="00B47CB1" w:rsidRDefault="00A677DA" w:rsidP="00B47CB1">
      <w:pPr>
        <w:spacing w:line="480" w:lineRule="auto"/>
        <w:jc w:val="both"/>
        <w:rPr>
          <w:color w:val="000000" w:themeColor="text1"/>
          <w:sz w:val="22"/>
          <w:szCs w:val="22"/>
        </w:rPr>
      </w:pPr>
      <w:r w:rsidRPr="00B47CB1">
        <w:rPr>
          <w:color w:val="000000" w:themeColor="text1"/>
          <w:sz w:val="22"/>
          <w:szCs w:val="22"/>
        </w:rPr>
        <w:t>Castiglioni: 0000-0001-7191-5417</w:t>
      </w:r>
    </w:p>
    <w:p w14:paraId="7D496187" w14:textId="77777777" w:rsidR="00A677DA" w:rsidRPr="00B47CB1" w:rsidRDefault="00A677DA" w:rsidP="00B47CB1">
      <w:pPr>
        <w:spacing w:line="480" w:lineRule="auto"/>
        <w:jc w:val="both"/>
        <w:rPr>
          <w:color w:val="000000" w:themeColor="text1"/>
          <w:sz w:val="22"/>
          <w:szCs w:val="22"/>
        </w:rPr>
      </w:pPr>
      <w:proofErr w:type="spellStart"/>
      <w:r w:rsidRPr="00B47CB1">
        <w:rPr>
          <w:color w:val="000000" w:themeColor="text1"/>
          <w:sz w:val="22"/>
          <w:szCs w:val="22"/>
        </w:rPr>
        <w:t>Chiti</w:t>
      </w:r>
      <w:proofErr w:type="spellEnd"/>
      <w:r w:rsidRPr="00B47CB1">
        <w:rPr>
          <w:color w:val="000000" w:themeColor="text1"/>
          <w:sz w:val="22"/>
          <w:szCs w:val="22"/>
        </w:rPr>
        <w:t>: 0000-0002-5806-1856</w:t>
      </w:r>
    </w:p>
    <w:p w14:paraId="032F82D0" w14:textId="77777777" w:rsidR="00A677DA" w:rsidRPr="00B47CB1" w:rsidRDefault="00A677DA" w:rsidP="00B47CB1">
      <w:pPr>
        <w:spacing w:line="480" w:lineRule="auto"/>
        <w:jc w:val="both"/>
        <w:rPr>
          <w:color w:val="000000" w:themeColor="text1"/>
          <w:sz w:val="22"/>
          <w:szCs w:val="22"/>
        </w:rPr>
      </w:pPr>
      <w:proofErr w:type="spellStart"/>
      <w:r w:rsidRPr="00B47CB1">
        <w:rPr>
          <w:color w:val="000000" w:themeColor="text1"/>
          <w:sz w:val="22"/>
          <w:szCs w:val="22"/>
        </w:rPr>
        <w:t>Corbetta</w:t>
      </w:r>
      <w:proofErr w:type="spellEnd"/>
      <w:r w:rsidRPr="00B47CB1">
        <w:rPr>
          <w:color w:val="000000" w:themeColor="text1"/>
          <w:sz w:val="22"/>
          <w:szCs w:val="22"/>
        </w:rPr>
        <w:t>: 0000-0002-3774-7760</w:t>
      </w:r>
    </w:p>
    <w:p w14:paraId="50BA2853" w14:textId="77777777" w:rsidR="00A677DA" w:rsidRPr="00B47CB1" w:rsidRDefault="00A677DA" w:rsidP="00B47CB1">
      <w:pPr>
        <w:spacing w:line="480" w:lineRule="auto"/>
        <w:jc w:val="both"/>
        <w:rPr>
          <w:color w:val="000000" w:themeColor="text1"/>
          <w:sz w:val="22"/>
          <w:szCs w:val="22"/>
        </w:rPr>
      </w:pPr>
      <w:proofErr w:type="spellStart"/>
      <w:r w:rsidRPr="00B47CB1">
        <w:rPr>
          <w:color w:val="000000" w:themeColor="text1"/>
          <w:sz w:val="22"/>
          <w:szCs w:val="22"/>
        </w:rPr>
        <w:t>Duga</w:t>
      </w:r>
      <w:proofErr w:type="spellEnd"/>
      <w:r w:rsidRPr="00B47CB1">
        <w:rPr>
          <w:color w:val="000000" w:themeColor="text1"/>
          <w:sz w:val="22"/>
          <w:szCs w:val="22"/>
        </w:rPr>
        <w:t xml:space="preserve">: </w:t>
      </w:r>
      <w:r w:rsidRPr="00B47CB1">
        <w:rPr>
          <w:rFonts w:eastAsia="Calibri"/>
          <w:color w:val="000000" w:themeColor="text1"/>
          <w:sz w:val="22"/>
          <w:szCs w:val="22"/>
        </w:rPr>
        <w:t>0000-0003-3457-1410</w:t>
      </w:r>
    </w:p>
    <w:p w14:paraId="10A9CBED" w14:textId="77777777" w:rsidR="00A677DA" w:rsidRPr="00B47CB1" w:rsidRDefault="00A677DA" w:rsidP="00B47CB1">
      <w:pPr>
        <w:spacing w:line="480" w:lineRule="auto"/>
        <w:jc w:val="both"/>
        <w:rPr>
          <w:color w:val="000000" w:themeColor="text1"/>
          <w:sz w:val="22"/>
          <w:szCs w:val="22"/>
        </w:rPr>
      </w:pPr>
      <w:proofErr w:type="spellStart"/>
      <w:r w:rsidRPr="00B47CB1">
        <w:rPr>
          <w:color w:val="000000" w:themeColor="text1"/>
          <w:sz w:val="22"/>
          <w:szCs w:val="22"/>
        </w:rPr>
        <w:t>Gallivanone</w:t>
      </w:r>
      <w:proofErr w:type="spellEnd"/>
      <w:r w:rsidRPr="00B47CB1">
        <w:rPr>
          <w:color w:val="000000" w:themeColor="text1"/>
          <w:sz w:val="22"/>
          <w:szCs w:val="22"/>
        </w:rPr>
        <w:t>: 0000-0001-6559-6157</w:t>
      </w:r>
    </w:p>
    <w:p w14:paraId="0CDFEA76" w14:textId="29CCBC7A" w:rsidR="00A677DA" w:rsidRPr="00B47CB1" w:rsidRDefault="00A677DA" w:rsidP="00B47CB1">
      <w:pPr>
        <w:spacing w:line="480" w:lineRule="auto"/>
        <w:jc w:val="both"/>
        <w:rPr>
          <w:color w:val="000000" w:themeColor="text1"/>
          <w:sz w:val="22"/>
          <w:szCs w:val="22"/>
        </w:rPr>
      </w:pPr>
      <w:proofErr w:type="spellStart"/>
      <w:r w:rsidRPr="00B47CB1">
        <w:rPr>
          <w:color w:val="000000" w:themeColor="text1"/>
          <w:sz w:val="22"/>
          <w:szCs w:val="22"/>
        </w:rPr>
        <w:t>Gozzi</w:t>
      </w:r>
      <w:proofErr w:type="spellEnd"/>
      <w:r w:rsidRPr="00B47CB1">
        <w:rPr>
          <w:color w:val="000000" w:themeColor="text1"/>
          <w:sz w:val="22"/>
          <w:szCs w:val="22"/>
        </w:rPr>
        <w:t xml:space="preserve">: </w:t>
      </w:r>
      <w:r w:rsidRPr="00B47CB1">
        <w:rPr>
          <w:color w:val="000000" w:themeColor="text1"/>
          <w:sz w:val="22"/>
          <w:szCs w:val="22"/>
          <w:shd w:val="clear" w:color="auto" w:fill="FFFFFF"/>
        </w:rPr>
        <w:t>0000-0003-0126-7893</w:t>
      </w:r>
    </w:p>
    <w:p w14:paraId="05326193" w14:textId="77777777" w:rsidR="00A677DA" w:rsidRPr="00B47CB1" w:rsidRDefault="00A677DA" w:rsidP="00B47CB1">
      <w:pPr>
        <w:spacing w:line="480" w:lineRule="auto"/>
        <w:jc w:val="both"/>
        <w:rPr>
          <w:color w:val="000000" w:themeColor="text1"/>
          <w:sz w:val="22"/>
          <w:szCs w:val="22"/>
        </w:rPr>
      </w:pPr>
      <w:proofErr w:type="spellStart"/>
      <w:r w:rsidRPr="00B47CB1">
        <w:rPr>
          <w:color w:val="000000" w:themeColor="text1"/>
          <w:sz w:val="22"/>
          <w:szCs w:val="22"/>
        </w:rPr>
        <w:t>Interlenghi</w:t>
      </w:r>
      <w:proofErr w:type="spellEnd"/>
      <w:r w:rsidRPr="00B47CB1">
        <w:rPr>
          <w:color w:val="000000" w:themeColor="text1"/>
          <w:sz w:val="22"/>
          <w:szCs w:val="22"/>
        </w:rPr>
        <w:t>: 0000-0002-3066-4276</w:t>
      </w:r>
    </w:p>
    <w:p w14:paraId="78D5FA6C" w14:textId="77777777" w:rsidR="00A677DA" w:rsidRPr="00B47CB1" w:rsidRDefault="00A677DA" w:rsidP="00B47CB1">
      <w:pPr>
        <w:spacing w:line="480" w:lineRule="auto"/>
        <w:jc w:val="both"/>
        <w:rPr>
          <w:color w:val="000000" w:themeColor="text1"/>
          <w:sz w:val="22"/>
          <w:szCs w:val="22"/>
          <w:lang w:val="en-GB"/>
        </w:rPr>
      </w:pPr>
      <w:proofErr w:type="spellStart"/>
      <w:r w:rsidRPr="00B47CB1">
        <w:rPr>
          <w:color w:val="000000" w:themeColor="text1"/>
          <w:sz w:val="22"/>
          <w:szCs w:val="22"/>
          <w:lang w:val="en-GB"/>
        </w:rPr>
        <w:t>Kirienko</w:t>
      </w:r>
      <w:proofErr w:type="spellEnd"/>
      <w:r w:rsidRPr="00B47CB1">
        <w:rPr>
          <w:color w:val="000000" w:themeColor="text1"/>
          <w:sz w:val="22"/>
          <w:szCs w:val="22"/>
          <w:lang w:val="en-GB"/>
        </w:rPr>
        <w:t xml:space="preserve">: </w:t>
      </w:r>
      <w:hyperlink r:id="rId9" w:history="1">
        <w:r w:rsidRPr="00B47CB1">
          <w:rPr>
            <w:color w:val="000000" w:themeColor="text1"/>
            <w:sz w:val="22"/>
            <w:szCs w:val="22"/>
            <w:lang w:val="en-GB"/>
          </w:rPr>
          <w:t>0000-0002-3923-1151</w:t>
        </w:r>
      </w:hyperlink>
    </w:p>
    <w:p w14:paraId="43F50003" w14:textId="77777777" w:rsidR="00A677DA" w:rsidRPr="00B47CB1" w:rsidRDefault="00A677DA" w:rsidP="00B47CB1">
      <w:pPr>
        <w:spacing w:line="480" w:lineRule="auto"/>
        <w:jc w:val="both"/>
        <w:rPr>
          <w:color w:val="000000" w:themeColor="text1"/>
          <w:sz w:val="22"/>
          <w:szCs w:val="22"/>
          <w:lang w:val="en-GB"/>
        </w:rPr>
      </w:pPr>
      <w:proofErr w:type="spellStart"/>
      <w:r w:rsidRPr="00B47CB1">
        <w:rPr>
          <w:color w:val="000000" w:themeColor="text1"/>
          <w:sz w:val="22"/>
          <w:szCs w:val="22"/>
          <w:lang w:val="en-GB"/>
        </w:rPr>
        <w:t>Soldà</w:t>
      </w:r>
      <w:proofErr w:type="spellEnd"/>
      <w:r w:rsidRPr="00B47CB1">
        <w:rPr>
          <w:color w:val="000000" w:themeColor="text1"/>
          <w:sz w:val="22"/>
          <w:szCs w:val="22"/>
          <w:lang w:val="en-GB"/>
        </w:rPr>
        <w:t>: 0000-0003-0972-610X</w:t>
      </w:r>
      <w:r w:rsidRPr="00B47CB1">
        <w:rPr>
          <w:color w:val="000000" w:themeColor="text1"/>
          <w:sz w:val="22"/>
          <w:szCs w:val="22"/>
          <w:lang w:val="en-GB"/>
        </w:rPr>
        <w:br w:type="page"/>
      </w:r>
    </w:p>
    <w:p w14:paraId="290E59D1" w14:textId="77777777" w:rsidR="00A677DA" w:rsidRPr="00B47CB1" w:rsidRDefault="00A677DA" w:rsidP="00B47CB1">
      <w:pPr>
        <w:spacing w:line="480" w:lineRule="auto"/>
        <w:jc w:val="both"/>
        <w:rPr>
          <w:b/>
          <w:color w:val="000000" w:themeColor="text1"/>
          <w:sz w:val="22"/>
          <w:szCs w:val="22"/>
          <w:lang w:val="en-GB"/>
        </w:rPr>
      </w:pPr>
      <w:r w:rsidRPr="00B47CB1">
        <w:rPr>
          <w:b/>
          <w:color w:val="000000" w:themeColor="text1"/>
          <w:sz w:val="22"/>
          <w:szCs w:val="22"/>
          <w:lang w:val="en-GB"/>
        </w:rPr>
        <w:lastRenderedPageBreak/>
        <w:t xml:space="preserve">Acknowledgement: </w:t>
      </w:r>
    </w:p>
    <w:p w14:paraId="269881E4" w14:textId="77777777" w:rsidR="00A677DA" w:rsidRPr="00B47CB1" w:rsidRDefault="00A677DA" w:rsidP="00B47CB1">
      <w:pPr>
        <w:autoSpaceDE w:val="0"/>
        <w:autoSpaceDN w:val="0"/>
        <w:adjustRightInd w:val="0"/>
        <w:spacing w:line="480" w:lineRule="auto"/>
        <w:jc w:val="both"/>
        <w:rPr>
          <w:rFonts w:eastAsia="Calibri"/>
          <w:color w:val="131413"/>
          <w:sz w:val="22"/>
          <w:szCs w:val="22"/>
        </w:rPr>
      </w:pPr>
      <w:r w:rsidRPr="00B47CB1">
        <w:rPr>
          <w:bCs/>
          <w:color w:val="000000" w:themeColor="text1"/>
          <w:sz w:val="22"/>
          <w:szCs w:val="22"/>
          <w:lang w:val="en-GB"/>
        </w:rPr>
        <w:t xml:space="preserve">We thank Daniela </w:t>
      </w:r>
      <w:proofErr w:type="spellStart"/>
      <w:r w:rsidRPr="00B47CB1">
        <w:rPr>
          <w:bCs/>
          <w:color w:val="000000" w:themeColor="text1"/>
          <w:sz w:val="22"/>
          <w:szCs w:val="22"/>
          <w:lang w:val="en-GB"/>
        </w:rPr>
        <w:t>Pistillo</w:t>
      </w:r>
      <w:proofErr w:type="spellEnd"/>
      <w:r w:rsidRPr="00B47CB1">
        <w:rPr>
          <w:bCs/>
          <w:color w:val="000000" w:themeColor="text1"/>
          <w:sz w:val="22"/>
          <w:szCs w:val="22"/>
          <w:lang w:val="en-GB"/>
        </w:rPr>
        <w:t>, PhD for her support in</w:t>
      </w:r>
      <w:r w:rsidRPr="00B47CB1">
        <w:rPr>
          <w:b/>
          <w:color w:val="000000" w:themeColor="text1"/>
          <w:sz w:val="22"/>
          <w:szCs w:val="22"/>
          <w:lang w:val="en-GB"/>
        </w:rPr>
        <w:t xml:space="preserve"> </w:t>
      </w:r>
      <w:r w:rsidRPr="00B47CB1">
        <w:rPr>
          <w:bCs/>
          <w:color w:val="000000" w:themeColor="text1"/>
          <w:sz w:val="22"/>
          <w:szCs w:val="22"/>
          <w:lang w:val="en-GB"/>
        </w:rPr>
        <w:t xml:space="preserve">accessing and managing biobank data. </w:t>
      </w:r>
      <w:r w:rsidRPr="00B47CB1">
        <w:rPr>
          <w:rFonts w:eastAsia="Calibri"/>
          <w:color w:val="131413"/>
          <w:sz w:val="22"/>
          <w:szCs w:val="22"/>
        </w:rPr>
        <w:t xml:space="preserve">M. </w:t>
      </w:r>
      <w:proofErr w:type="spellStart"/>
      <w:r w:rsidRPr="00B47CB1">
        <w:rPr>
          <w:rFonts w:eastAsia="Calibri"/>
          <w:color w:val="131413"/>
          <w:sz w:val="22"/>
          <w:szCs w:val="22"/>
        </w:rPr>
        <w:t>Sollini</w:t>
      </w:r>
      <w:proofErr w:type="spellEnd"/>
      <w:r w:rsidRPr="00B47CB1">
        <w:rPr>
          <w:rFonts w:eastAsia="Calibri"/>
          <w:color w:val="131413"/>
          <w:sz w:val="22"/>
          <w:szCs w:val="22"/>
        </w:rPr>
        <w:t xml:space="preserve"> is supported by the Investigator Grant 2019-23959 funded by AIRC (Italian Association for Cancer Research) won by A.C.</w:t>
      </w:r>
    </w:p>
    <w:p w14:paraId="43BBCEEF" w14:textId="77777777" w:rsidR="00A677DA" w:rsidRPr="00B47CB1" w:rsidRDefault="00A677DA" w:rsidP="00B47CB1">
      <w:pPr>
        <w:spacing w:line="480" w:lineRule="auto"/>
        <w:jc w:val="both"/>
        <w:rPr>
          <w:sz w:val="22"/>
          <w:szCs w:val="22"/>
          <w:lang w:val="en-GB"/>
        </w:rPr>
      </w:pPr>
    </w:p>
    <w:p w14:paraId="16FE8F21" w14:textId="77777777" w:rsidR="00A677DA" w:rsidRPr="00B47CB1" w:rsidRDefault="00A677DA" w:rsidP="00B47CB1">
      <w:pPr>
        <w:spacing w:line="480" w:lineRule="auto"/>
        <w:jc w:val="both"/>
        <w:rPr>
          <w:color w:val="000000" w:themeColor="text1"/>
          <w:sz w:val="22"/>
          <w:szCs w:val="22"/>
          <w:lang w:val="en-GB"/>
        </w:rPr>
      </w:pPr>
      <w:r w:rsidRPr="00B47CB1">
        <w:rPr>
          <w:color w:val="000000" w:themeColor="text1"/>
          <w:sz w:val="22"/>
          <w:szCs w:val="22"/>
          <w:lang w:val="en-GB"/>
        </w:rPr>
        <w:t>*Corresponding Authors</w:t>
      </w:r>
    </w:p>
    <w:p w14:paraId="3EC59278" w14:textId="77777777" w:rsidR="00A677DA" w:rsidRPr="00B47CB1" w:rsidRDefault="00A677DA" w:rsidP="00B47CB1">
      <w:pPr>
        <w:spacing w:line="480" w:lineRule="auto"/>
        <w:jc w:val="both"/>
        <w:rPr>
          <w:color w:val="000000" w:themeColor="text1"/>
          <w:sz w:val="22"/>
          <w:szCs w:val="22"/>
          <w:lang w:val="en-GB"/>
        </w:rPr>
      </w:pPr>
    </w:p>
    <w:p w14:paraId="3C90E940" w14:textId="77777777" w:rsidR="00A677DA" w:rsidRPr="00B47CB1" w:rsidRDefault="00A677DA" w:rsidP="00B47CB1">
      <w:pPr>
        <w:spacing w:line="480" w:lineRule="auto"/>
        <w:jc w:val="both"/>
        <w:rPr>
          <w:color w:val="000000" w:themeColor="text1"/>
          <w:sz w:val="22"/>
          <w:szCs w:val="22"/>
          <w:lang w:val="en-GB"/>
        </w:rPr>
      </w:pPr>
      <w:r w:rsidRPr="00B47CB1">
        <w:rPr>
          <w:color w:val="000000" w:themeColor="text1"/>
          <w:sz w:val="22"/>
          <w:szCs w:val="22"/>
          <w:lang w:val="en-GB"/>
        </w:rPr>
        <w:t xml:space="preserve">Martina </w:t>
      </w:r>
      <w:proofErr w:type="spellStart"/>
      <w:r w:rsidRPr="00B47CB1">
        <w:rPr>
          <w:color w:val="000000" w:themeColor="text1"/>
          <w:sz w:val="22"/>
          <w:szCs w:val="22"/>
          <w:lang w:val="en-GB"/>
        </w:rPr>
        <w:t>Sollini</w:t>
      </w:r>
      <w:proofErr w:type="spellEnd"/>
      <w:r w:rsidRPr="00B47CB1">
        <w:rPr>
          <w:color w:val="000000" w:themeColor="text1"/>
          <w:sz w:val="22"/>
          <w:szCs w:val="22"/>
          <w:lang w:val="en-GB"/>
        </w:rPr>
        <w:t>, MD PhD</w:t>
      </w:r>
    </w:p>
    <w:p w14:paraId="1E51060F" w14:textId="77777777" w:rsidR="00A677DA" w:rsidRPr="00B47CB1" w:rsidRDefault="00A677DA" w:rsidP="00B47CB1">
      <w:pPr>
        <w:spacing w:line="480" w:lineRule="auto"/>
        <w:jc w:val="both"/>
        <w:rPr>
          <w:color w:val="000000" w:themeColor="text1"/>
          <w:sz w:val="22"/>
          <w:szCs w:val="22"/>
          <w:lang w:val="en-GB"/>
        </w:rPr>
      </w:pPr>
      <w:r w:rsidRPr="00B47CB1">
        <w:rPr>
          <w:color w:val="000000" w:themeColor="text1"/>
          <w:sz w:val="22"/>
          <w:szCs w:val="22"/>
          <w:lang w:val="en-GB"/>
        </w:rPr>
        <w:t xml:space="preserve">Department of Biomedical Sciences, </w:t>
      </w:r>
      <w:proofErr w:type="spellStart"/>
      <w:r w:rsidRPr="00B47CB1">
        <w:rPr>
          <w:color w:val="000000" w:themeColor="text1"/>
          <w:sz w:val="22"/>
          <w:szCs w:val="22"/>
          <w:lang w:val="en-GB"/>
        </w:rPr>
        <w:t>Humanitas</w:t>
      </w:r>
      <w:proofErr w:type="spellEnd"/>
      <w:r w:rsidRPr="00B47CB1">
        <w:rPr>
          <w:color w:val="000000" w:themeColor="text1"/>
          <w:sz w:val="22"/>
          <w:szCs w:val="22"/>
          <w:lang w:val="en-GB"/>
        </w:rPr>
        <w:t xml:space="preserve"> University, Via Rita Levi </w:t>
      </w:r>
      <w:proofErr w:type="spellStart"/>
      <w:r w:rsidRPr="00B47CB1">
        <w:rPr>
          <w:color w:val="000000" w:themeColor="text1"/>
          <w:sz w:val="22"/>
          <w:szCs w:val="22"/>
          <w:lang w:val="en-GB"/>
        </w:rPr>
        <w:t>Montalcini</w:t>
      </w:r>
      <w:proofErr w:type="spellEnd"/>
      <w:r w:rsidRPr="00B47CB1">
        <w:rPr>
          <w:color w:val="000000" w:themeColor="text1"/>
          <w:sz w:val="22"/>
          <w:szCs w:val="22"/>
          <w:lang w:val="en-GB"/>
        </w:rPr>
        <w:t xml:space="preserve"> 4, 20090 </w:t>
      </w:r>
      <w:proofErr w:type="spellStart"/>
      <w:r w:rsidRPr="00B47CB1">
        <w:rPr>
          <w:color w:val="000000" w:themeColor="text1"/>
          <w:sz w:val="22"/>
          <w:szCs w:val="22"/>
          <w:lang w:val="en-GB"/>
        </w:rPr>
        <w:t>Pieve</w:t>
      </w:r>
      <w:proofErr w:type="spellEnd"/>
      <w:r w:rsidRPr="00B47CB1">
        <w:rPr>
          <w:color w:val="000000" w:themeColor="text1"/>
          <w:sz w:val="22"/>
          <w:szCs w:val="22"/>
          <w:lang w:val="en-GB"/>
        </w:rPr>
        <w:t xml:space="preserve"> Emanuele – Milan, Italy</w:t>
      </w:r>
    </w:p>
    <w:p w14:paraId="25621DB4" w14:textId="77777777" w:rsidR="00A677DA" w:rsidRPr="00B47CB1" w:rsidRDefault="00A677DA" w:rsidP="00B47CB1">
      <w:pPr>
        <w:pStyle w:val="Paragrafoelenco"/>
        <w:spacing w:line="480" w:lineRule="auto"/>
        <w:ind w:left="0"/>
        <w:rPr>
          <w:rFonts w:ascii="Times New Roman" w:hAnsi="Times New Roman" w:cs="Times New Roman"/>
          <w:color w:val="000000" w:themeColor="text1"/>
          <w:sz w:val="22"/>
        </w:rPr>
      </w:pPr>
      <w:r w:rsidRPr="00B47CB1">
        <w:rPr>
          <w:rFonts w:ascii="Times New Roman" w:hAnsi="Times New Roman" w:cs="Times New Roman"/>
          <w:color w:val="000000" w:themeColor="text1"/>
          <w:sz w:val="22"/>
        </w:rPr>
        <w:t xml:space="preserve">IRCCS </w:t>
      </w:r>
      <w:proofErr w:type="spellStart"/>
      <w:r w:rsidRPr="00B47CB1">
        <w:rPr>
          <w:rFonts w:ascii="Times New Roman" w:hAnsi="Times New Roman" w:cs="Times New Roman"/>
          <w:color w:val="000000" w:themeColor="text1"/>
          <w:sz w:val="22"/>
        </w:rPr>
        <w:t>Humanitas</w:t>
      </w:r>
      <w:proofErr w:type="spellEnd"/>
      <w:r w:rsidRPr="00B47CB1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proofErr w:type="spellStart"/>
      <w:r w:rsidRPr="00B47CB1">
        <w:rPr>
          <w:rFonts w:ascii="Times New Roman" w:hAnsi="Times New Roman" w:cs="Times New Roman"/>
          <w:color w:val="000000" w:themeColor="text1"/>
          <w:sz w:val="22"/>
        </w:rPr>
        <w:t>Research</w:t>
      </w:r>
      <w:proofErr w:type="spellEnd"/>
      <w:r w:rsidRPr="00B47CB1">
        <w:rPr>
          <w:rFonts w:ascii="Times New Roman" w:hAnsi="Times New Roman" w:cs="Times New Roman"/>
          <w:color w:val="000000" w:themeColor="text1"/>
          <w:sz w:val="22"/>
        </w:rPr>
        <w:t xml:space="preserve"> Hospital, Via Manzoni 56, 20089 Rozzano – Milan, </w:t>
      </w:r>
      <w:proofErr w:type="spellStart"/>
      <w:r w:rsidRPr="00B47CB1">
        <w:rPr>
          <w:rFonts w:ascii="Times New Roman" w:hAnsi="Times New Roman" w:cs="Times New Roman"/>
          <w:color w:val="000000" w:themeColor="text1"/>
          <w:sz w:val="22"/>
        </w:rPr>
        <w:t>Italy</w:t>
      </w:r>
      <w:proofErr w:type="spellEnd"/>
      <w:r w:rsidRPr="00B47CB1" w:rsidDel="00375C00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B47CB1">
        <w:rPr>
          <w:rFonts w:ascii="Times New Roman" w:hAnsi="Times New Roman" w:cs="Times New Roman"/>
          <w:color w:val="000000" w:themeColor="text1"/>
          <w:sz w:val="22"/>
        </w:rPr>
        <w:t>E-mail: martina.sollini@hunimed.eu</w:t>
      </w:r>
    </w:p>
    <w:p w14:paraId="401A5B55" w14:textId="77777777" w:rsidR="00A677DA" w:rsidRPr="00B47CB1" w:rsidRDefault="00A677DA" w:rsidP="00B47CB1">
      <w:pPr>
        <w:spacing w:line="480" w:lineRule="auto"/>
        <w:jc w:val="both"/>
        <w:rPr>
          <w:color w:val="000000" w:themeColor="text1"/>
          <w:sz w:val="22"/>
          <w:szCs w:val="22"/>
          <w:lang w:val="it-IT"/>
        </w:rPr>
      </w:pPr>
      <w:r w:rsidRPr="00B47CB1">
        <w:rPr>
          <w:color w:val="000000" w:themeColor="text1"/>
          <w:sz w:val="22"/>
          <w:szCs w:val="22"/>
          <w:lang w:val="it-IT"/>
        </w:rPr>
        <w:t>ORCID: 0000-0003-2214-6492</w:t>
      </w:r>
    </w:p>
    <w:p w14:paraId="4E2E96A8" w14:textId="77777777" w:rsidR="00A677DA" w:rsidRPr="00B47CB1" w:rsidRDefault="00A677DA" w:rsidP="00B47CB1">
      <w:pPr>
        <w:spacing w:line="480" w:lineRule="auto"/>
        <w:jc w:val="both"/>
        <w:rPr>
          <w:color w:val="000000" w:themeColor="text1"/>
          <w:sz w:val="22"/>
          <w:szCs w:val="22"/>
          <w:lang w:val="it-IT"/>
        </w:rPr>
      </w:pPr>
    </w:p>
    <w:p w14:paraId="6C568F82" w14:textId="77777777" w:rsidR="00A677DA" w:rsidRPr="00B47CB1" w:rsidRDefault="00A677DA" w:rsidP="00B47CB1">
      <w:pPr>
        <w:spacing w:line="480" w:lineRule="auto"/>
        <w:jc w:val="both"/>
        <w:rPr>
          <w:color w:val="000000" w:themeColor="text1"/>
          <w:sz w:val="22"/>
          <w:szCs w:val="22"/>
          <w:lang w:val="it-IT"/>
        </w:rPr>
      </w:pPr>
      <w:r w:rsidRPr="00B47CB1">
        <w:rPr>
          <w:color w:val="000000" w:themeColor="text1"/>
          <w:sz w:val="22"/>
          <w:szCs w:val="22"/>
          <w:lang w:val="it-IT"/>
        </w:rPr>
        <w:t xml:space="preserve">Giulia </w:t>
      </w:r>
      <w:proofErr w:type="spellStart"/>
      <w:r w:rsidRPr="00B47CB1">
        <w:rPr>
          <w:color w:val="000000" w:themeColor="text1"/>
          <w:sz w:val="22"/>
          <w:szCs w:val="22"/>
          <w:lang w:val="it-IT"/>
        </w:rPr>
        <w:t>Soldà</w:t>
      </w:r>
      <w:proofErr w:type="spellEnd"/>
      <w:r w:rsidRPr="00B47CB1">
        <w:rPr>
          <w:color w:val="000000" w:themeColor="text1"/>
          <w:sz w:val="22"/>
          <w:szCs w:val="22"/>
          <w:lang w:val="it-IT"/>
        </w:rPr>
        <w:t xml:space="preserve">, </w:t>
      </w:r>
      <w:proofErr w:type="spellStart"/>
      <w:r w:rsidRPr="00B47CB1">
        <w:rPr>
          <w:color w:val="000000" w:themeColor="text1"/>
          <w:sz w:val="22"/>
          <w:szCs w:val="22"/>
          <w:lang w:val="it-IT"/>
        </w:rPr>
        <w:t>PhD</w:t>
      </w:r>
      <w:proofErr w:type="spellEnd"/>
    </w:p>
    <w:p w14:paraId="4FCC5E52" w14:textId="77777777" w:rsidR="00A677DA" w:rsidRPr="00B47CB1" w:rsidRDefault="00A677DA" w:rsidP="00B47CB1">
      <w:pPr>
        <w:spacing w:line="480" w:lineRule="auto"/>
        <w:jc w:val="both"/>
        <w:rPr>
          <w:color w:val="000000" w:themeColor="text1"/>
          <w:sz w:val="22"/>
          <w:szCs w:val="22"/>
        </w:rPr>
      </w:pPr>
      <w:r w:rsidRPr="00B47CB1">
        <w:rPr>
          <w:color w:val="000000" w:themeColor="text1"/>
          <w:sz w:val="22"/>
          <w:szCs w:val="22"/>
        </w:rPr>
        <w:t xml:space="preserve">Department of Biomedical Sciences, </w:t>
      </w:r>
      <w:proofErr w:type="spellStart"/>
      <w:r w:rsidRPr="00B47CB1">
        <w:rPr>
          <w:color w:val="000000" w:themeColor="text1"/>
          <w:sz w:val="22"/>
          <w:szCs w:val="22"/>
        </w:rPr>
        <w:t>Humanitas</w:t>
      </w:r>
      <w:proofErr w:type="spellEnd"/>
      <w:r w:rsidRPr="00B47CB1">
        <w:rPr>
          <w:color w:val="000000" w:themeColor="text1"/>
          <w:sz w:val="22"/>
          <w:szCs w:val="22"/>
        </w:rPr>
        <w:t xml:space="preserve"> University, Via Rita Levi </w:t>
      </w:r>
      <w:proofErr w:type="spellStart"/>
      <w:r w:rsidRPr="00B47CB1">
        <w:rPr>
          <w:color w:val="000000" w:themeColor="text1"/>
          <w:sz w:val="22"/>
          <w:szCs w:val="22"/>
        </w:rPr>
        <w:t>Montalcini</w:t>
      </w:r>
      <w:proofErr w:type="spellEnd"/>
      <w:r w:rsidRPr="00B47CB1">
        <w:rPr>
          <w:color w:val="000000" w:themeColor="text1"/>
          <w:sz w:val="22"/>
          <w:szCs w:val="22"/>
        </w:rPr>
        <w:t xml:space="preserve"> 4, 20090 </w:t>
      </w:r>
      <w:proofErr w:type="spellStart"/>
      <w:r w:rsidRPr="00B47CB1">
        <w:rPr>
          <w:color w:val="000000" w:themeColor="text1"/>
          <w:sz w:val="22"/>
          <w:szCs w:val="22"/>
        </w:rPr>
        <w:t>Pieve</w:t>
      </w:r>
      <w:proofErr w:type="spellEnd"/>
      <w:r w:rsidRPr="00B47CB1">
        <w:rPr>
          <w:color w:val="000000" w:themeColor="text1"/>
          <w:sz w:val="22"/>
          <w:szCs w:val="22"/>
        </w:rPr>
        <w:t xml:space="preserve"> Emanuele – Milan, Italy</w:t>
      </w:r>
    </w:p>
    <w:p w14:paraId="6E4B3F6F" w14:textId="77777777" w:rsidR="00A677DA" w:rsidRPr="00B47CB1" w:rsidRDefault="00A677DA" w:rsidP="00B47CB1">
      <w:pPr>
        <w:pStyle w:val="Paragrafoelenco"/>
        <w:spacing w:line="480" w:lineRule="auto"/>
        <w:ind w:left="0"/>
        <w:rPr>
          <w:rFonts w:ascii="Times New Roman" w:eastAsia="Palatino Linotype" w:hAnsi="Times New Roman" w:cs="Times New Roman"/>
          <w:color w:val="000000" w:themeColor="text1"/>
          <w:sz w:val="22"/>
          <w:lang w:val="en-US"/>
        </w:rPr>
      </w:pPr>
      <w:r w:rsidRPr="00B47CB1">
        <w:rPr>
          <w:rFonts w:ascii="Times New Roman" w:hAnsi="Times New Roman" w:cs="Times New Roman"/>
          <w:color w:val="000000" w:themeColor="text1"/>
          <w:sz w:val="22"/>
          <w:lang w:val="en-US"/>
        </w:rPr>
        <w:t xml:space="preserve">IRCCS </w:t>
      </w:r>
      <w:proofErr w:type="spellStart"/>
      <w:r w:rsidRPr="00B47CB1">
        <w:rPr>
          <w:rFonts w:ascii="Times New Roman" w:hAnsi="Times New Roman" w:cs="Times New Roman"/>
          <w:color w:val="000000" w:themeColor="text1"/>
          <w:sz w:val="22"/>
          <w:lang w:val="en-US"/>
        </w:rPr>
        <w:t>Humanitas</w:t>
      </w:r>
      <w:proofErr w:type="spellEnd"/>
      <w:r w:rsidRPr="00B47CB1">
        <w:rPr>
          <w:rFonts w:ascii="Times New Roman" w:hAnsi="Times New Roman" w:cs="Times New Roman"/>
          <w:color w:val="000000" w:themeColor="text1"/>
          <w:sz w:val="22"/>
          <w:lang w:val="en-US"/>
        </w:rPr>
        <w:t xml:space="preserve"> Research Hospital, Via Manzoni 56, 20089 </w:t>
      </w:r>
      <w:proofErr w:type="spellStart"/>
      <w:r w:rsidRPr="00B47CB1">
        <w:rPr>
          <w:rFonts w:ascii="Times New Roman" w:hAnsi="Times New Roman" w:cs="Times New Roman"/>
          <w:color w:val="000000" w:themeColor="text1"/>
          <w:sz w:val="22"/>
          <w:lang w:val="en-US"/>
        </w:rPr>
        <w:t>Rozzano</w:t>
      </w:r>
      <w:proofErr w:type="spellEnd"/>
      <w:r w:rsidRPr="00B47CB1">
        <w:rPr>
          <w:rFonts w:ascii="Times New Roman" w:hAnsi="Times New Roman" w:cs="Times New Roman"/>
          <w:color w:val="000000" w:themeColor="text1"/>
          <w:sz w:val="22"/>
          <w:lang w:val="en-US"/>
        </w:rPr>
        <w:t xml:space="preserve"> – Milan, Italy</w:t>
      </w:r>
    </w:p>
    <w:p w14:paraId="57CD88BF" w14:textId="77777777" w:rsidR="00A677DA" w:rsidRPr="00B47CB1" w:rsidRDefault="00A677DA" w:rsidP="00B47CB1">
      <w:pPr>
        <w:spacing w:line="480" w:lineRule="auto"/>
        <w:jc w:val="both"/>
        <w:rPr>
          <w:rFonts w:eastAsia="Calibri"/>
          <w:color w:val="000000" w:themeColor="text1"/>
          <w:sz w:val="22"/>
          <w:szCs w:val="22"/>
        </w:rPr>
      </w:pPr>
      <w:r w:rsidRPr="00B47CB1">
        <w:rPr>
          <w:color w:val="000000" w:themeColor="text1"/>
          <w:sz w:val="22"/>
          <w:szCs w:val="22"/>
        </w:rPr>
        <w:t>E-mail: giulia.solda@hunimed.eu</w:t>
      </w:r>
    </w:p>
    <w:p w14:paraId="0303F84F" w14:textId="77777777" w:rsidR="00A677DA" w:rsidRPr="00B47CB1" w:rsidRDefault="00A677DA" w:rsidP="00B47CB1">
      <w:pPr>
        <w:spacing w:line="480" w:lineRule="auto"/>
        <w:jc w:val="both"/>
        <w:rPr>
          <w:sz w:val="22"/>
          <w:szCs w:val="22"/>
        </w:rPr>
      </w:pPr>
      <w:r w:rsidRPr="00B47CB1">
        <w:rPr>
          <w:sz w:val="22"/>
          <w:szCs w:val="22"/>
        </w:rPr>
        <w:t>ORCID: 0000-0003-0972-610X</w:t>
      </w:r>
    </w:p>
    <w:p w14:paraId="04B73323" w14:textId="2E676A0A" w:rsidR="00F06568" w:rsidRDefault="00F06568" w:rsidP="00B47CB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eastAsia="Helvetica Neue"/>
          <w:b/>
          <w:color w:val="000000"/>
          <w:sz w:val="21"/>
          <w:szCs w:val="21"/>
        </w:rPr>
      </w:pPr>
    </w:p>
    <w:p w14:paraId="505BD3AE" w14:textId="6DD49014" w:rsidR="00FC0EB7" w:rsidRDefault="00FC0EB7" w:rsidP="00B47CB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eastAsia="Helvetica Neue"/>
          <w:b/>
          <w:color w:val="000000"/>
          <w:sz w:val="21"/>
          <w:szCs w:val="21"/>
        </w:rPr>
      </w:pPr>
    </w:p>
    <w:p w14:paraId="0EA82F41" w14:textId="652977F3" w:rsidR="00FC0EB7" w:rsidRDefault="00FC0EB7" w:rsidP="00B47CB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eastAsia="Helvetica Neue"/>
          <w:b/>
          <w:color w:val="000000"/>
          <w:sz w:val="21"/>
          <w:szCs w:val="21"/>
        </w:rPr>
      </w:pPr>
    </w:p>
    <w:p w14:paraId="02EB8CFB" w14:textId="218C3BA6" w:rsidR="00FC0EB7" w:rsidRDefault="00FC0EB7" w:rsidP="00B47CB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eastAsia="Helvetica Neue"/>
          <w:b/>
          <w:color w:val="000000"/>
          <w:sz w:val="21"/>
          <w:szCs w:val="21"/>
        </w:rPr>
      </w:pPr>
    </w:p>
    <w:p w14:paraId="1BD90735" w14:textId="6FF633B3" w:rsidR="00FC0EB7" w:rsidRDefault="00FC0EB7" w:rsidP="00B47CB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eastAsia="Helvetica Neue"/>
          <w:b/>
          <w:color w:val="000000"/>
          <w:sz w:val="21"/>
          <w:szCs w:val="21"/>
        </w:rPr>
      </w:pPr>
    </w:p>
    <w:p w14:paraId="532A43C0" w14:textId="177601FB" w:rsidR="00FC0EB7" w:rsidRDefault="00FC0EB7" w:rsidP="00B47CB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eastAsia="Helvetica Neue"/>
          <w:b/>
          <w:color w:val="000000"/>
          <w:sz w:val="21"/>
          <w:szCs w:val="21"/>
        </w:rPr>
      </w:pPr>
    </w:p>
    <w:p w14:paraId="2536BCDF" w14:textId="3FF883D0" w:rsidR="00FC0EB7" w:rsidRDefault="00FC0EB7" w:rsidP="00B47CB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eastAsia="Helvetica Neue"/>
          <w:b/>
          <w:color w:val="000000"/>
          <w:sz w:val="21"/>
          <w:szCs w:val="21"/>
        </w:rPr>
      </w:pPr>
    </w:p>
    <w:p w14:paraId="3BE5A35F" w14:textId="73B9410F" w:rsidR="00FC0EB7" w:rsidRDefault="00FC0EB7" w:rsidP="00B47CB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eastAsia="Helvetica Neue"/>
          <w:b/>
          <w:color w:val="000000"/>
          <w:sz w:val="21"/>
          <w:szCs w:val="21"/>
        </w:rPr>
      </w:pPr>
    </w:p>
    <w:p w14:paraId="2501DC94" w14:textId="5377E49E" w:rsidR="00FC0EB7" w:rsidRDefault="00FC0EB7" w:rsidP="00B47CB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eastAsia="Helvetica Neue"/>
          <w:b/>
          <w:color w:val="000000"/>
          <w:sz w:val="21"/>
          <w:szCs w:val="21"/>
        </w:rPr>
      </w:pPr>
    </w:p>
    <w:p w14:paraId="398A6CD9" w14:textId="77777777" w:rsidR="00FC0EB7" w:rsidRPr="00B47CB1" w:rsidRDefault="00FC0EB7" w:rsidP="00B47CB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eastAsia="Helvetica Neue"/>
          <w:b/>
          <w:color w:val="000000"/>
          <w:sz w:val="21"/>
          <w:szCs w:val="21"/>
        </w:rPr>
      </w:pPr>
    </w:p>
    <w:p w14:paraId="03318A94" w14:textId="77777777" w:rsidR="00F06568" w:rsidRPr="00B47CB1" w:rsidRDefault="001A1CFA" w:rsidP="00B47CB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eastAsia="Calibri"/>
          <w:b/>
          <w:color w:val="000000"/>
          <w:sz w:val="22"/>
          <w:szCs w:val="22"/>
        </w:rPr>
      </w:pPr>
      <w:r w:rsidRPr="00B47CB1">
        <w:rPr>
          <w:rFonts w:eastAsia="Calibri"/>
          <w:b/>
          <w:color w:val="000000"/>
          <w:sz w:val="22"/>
          <w:szCs w:val="22"/>
        </w:rPr>
        <w:lastRenderedPageBreak/>
        <w:t>List of contents</w:t>
      </w:r>
    </w:p>
    <w:p w14:paraId="1E9E0079" w14:textId="77777777" w:rsidR="00F06568" w:rsidRPr="00B47CB1" w:rsidRDefault="001A1CFA" w:rsidP="00B47CB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eastAsia="Calibri"/>
          <w:sz w:val="22"/>
          <w:szCs w:val="22"/>
        </w:rPr>
      </w:pPr>
      <w:r w:rsidRPr="00B47CB1">
        <w:rPr>
          <w:rFonts w:eastAsia="Calibri"/>
          <w:b/>
          <w:sz w:val="22"/>
          <w:szCs w:val="22"/>
        </w:rPr>
        <w:t xml:space="preserve">Supplementary Table 1: </w:t>
      </w:r>
      <w:r w:rsidRPr="00B47CB1">
        <w:rPr>
          <w:rFonts w:eastAsia="Calibri"/>
          <w:sz w:val="22"/>
          <w:szCs w:val="22"/>
        </w:rPr>
        <w:t>Image acquisition and processing parameters.</w:t>
      </w:r>
    </w:p>
    <w:p w14:paraId="2E84D7FC" w14:textId="77777777" w:rsidR="00F06568" w:rsidRPr="00B47CB1" w:rsidRDefault="001A1CFA" w:rsidP="00B47CB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eastAsia="Calibri"/>
          <w:color w:val="000000"/>
          <w:sz w:val="22"/>
          <w:szCs w:val="22"/>
        </w:rPr>
      </w:pPr>
      <w:r w:rsidRPr="00B47CB1">
        <w:rPr>
          <w:rFonts w:eastAsia="Calibri"/>
          <w:b/>
          <w:color w:val="000000"/>
          <w:sz w:val="22"/>
          <w:szCs w:val="22"/>
        </w:rPr>
        <w:t xml:space="preserve">Supplementary Figure 1: </w:t>
      </w:r>
      <w:r w:rsidRPr="00B47CB1">
        <w:rPr>
          <w:rFonts w:eastAsia="Calibri"/>
          <w:color w:val="000000"/>
          <w:sz w:val="22"/>
          <w:szCs w:val="22"/>
        </w:rPr>
        <w:t>Patients with ADK tumors seem to be more prone to relapse.</w:t>
      </w:r>
    </w:p>
    <w:p w14:paraId="395EA79A" w14:textId="77777777" w:rsidR="00F06568" w:rsidRPr="00B47CB1" w:rsidRDefault="001A1CFA" w:rsidP="00B47CB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eastAsia="Calibri"/>
          <w:b/>
          <w:color w:val="000000"/>
          <w:sz w:val="22"/>
          <w:szCs w:val="22"/>
        </w:rPr>
      </w:pPr>
      <w:r w:rsidRPr="00B47CB1">
        <w:rPr>
          <w:rFonts w:eastAsia="Calibri"/>
          <w:b/>
          <w:color w:val="000000"/>
          <w:sz w:val="22"/>
          <w:szCs w:val="22"/>
        </w:rPr>
        <w:t xml:space="preserve">Supplementary Figure 2. </w:t>
      </w:r>
      <w:r w:rsidRPr="00B47CB1">
        <w:rPr>
          <w:rFonts w:eastAsia="Calibri"/>
          <w:color w:val="000000"/>
          <w:sz w:val="22"/>
          <w:szCs w:val="22"/>
        </w:rPr>
        <w:t>Overall survival and time-to-relapse analyses.</w:t>
      </w:r>
    </w:p>
    <w:p w14:paraId="7F509C9A" w14:textId="7A88C9C5" w:rsidR="00F06568" w:rsidRPr="00B47CB1" w:rsidRDefault="001A1CFA" w:rsidP="00B47CB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eastAsia="Calibri"/>
          <w:sz w:val="22"/>
          <w:szCs w:val="22"/>
        </w:rPr>
      </w:pPr>
      <w:r w:rsidRPr="00B47CB1">
        <w:rPr>
          <w:rFonts w:eastAsia="Calibri"/>
          <w:b/>
          <w:sz w:val="22"/>
          <w:szCs w:val="22"/>
        </w:rPr>
        <w:t xml:space="preserve">Supplementary Figure 3: </w:t>
      </w:r>
      <w:r w:rsidRPr="00B47CB1">
        <w:rPr>
          <w:rFonts w:eastAsia="Calibri"/>
          <w:sz w:val="22"/>
          <w:szCs w:val="22"/>
        </w:rPr>
        <w:t>Top known-driver or likely-pathogenic mutations detected in the analyzed lung cancer samples</w:t>
      </w:r>
    </w:p>
    <w:p w14:paraId="5294C218" w14:textId="77777777" w:rsidR="00F06568" w:rsidRPr="00B47CB1" w:rsidRDefault="001A1CFA" w:rsidP="00B47CB1">
      <w:pPr>
        <w:spacing w:line="480" w:lineRule="auto"/>
        <w:jc w:val="both"/>
        <w:rPr>
          <w:rFonts w:eastAsia="Calibri"/>
          <w:sz w:val="22"/>
          <w:szCs w:val="22"/>
        </w:rPr>
      </w:pPr>
      <w:r w:rsidRPr="00B47CB1">
        <w:rPr>
          <w:rFonts w:eastAsia="Calibri"/>
          <w:b/>
          <w:sz w:val="22"/>
          <w:szCs w:val="22"/>
        </w:rPr>
        <w:t xml:space="preserve">Supplementary Figure 4. </w:t>
      </w:r>
      <w:r w:rsidRPr="00B47CB1">
        <w:rPr>
          <w:rFonts w:eastAsia="Calibri"/>
          <w:sz w:val="22"/>
          <w:szCs w:val="22"/>
        </w:rPr>
        <w:t xml:space="preserve">Principal Component Analysis (PCA) plot on </w:t>
      </w:r>
      <w:proofErr w:type="spellStart"/>
      <w:r w:rsidRPr="00B47CB1">
        <w:rPr>
          <w:rFonts w:eastAsia="Calibri"/>
          <w:sz w:val="22"/>
          <w:szCs w:val="22"/>
        </w:rPr>
        <w:t>RNAseq</w:t>
      </w:r>
      <w:proofErr w:type="spellEnd"/>
      <w:r w:rsidRPr="00B47CB1">
        <w:rPr>
          <w:rFonts w:eastAsia="Calibri"/>
          <w:sz w:val="22"/>
          <w:szCs w:val="22"/>
        </w:rPr>
        <w:t xml:space="preserve"> data.</w:t>
      </w:r>
    </w:p>
    <w:p w14:paraId="2FE70031" w14:textId="77777777" w:rsidR="00F06568" w:rsidRPr="00B47CB1" w:rsidRDefault="001A1CFA" w:rsidP="00B47CB1">
      <w:pPr>
        <w:spacing w:line="480" w:lineRule="auto"/>
        <w:jc w:val="both"/>
        <w:rPr>
          <w:rFonts w:eastAsia="Calibri"/>
          <w:color w:val="000000"/>
          <w:sz w:val="22"/>
          <w:szCs w:val="22"/>
        </w:rPr>
      </w:pPr>
      <w:r w:rsidRPr="00B47CB1">
        <w:rPr>
          <w:rFonts w:eastAsia="Calibri"/>
          <w:b/>
          <w:sz w:val="22"/>
          <w:szCs w:val="22"/>
        </w:rPr>
        <w:t xml:space="preserve">Supplementary Figure 5: </w:t>
      </w:r>
      <w:r w:rsidRPr="00B47CB1">
        <w:rPr>
          <w:rFonts w:eastAsia="Calibri"/>
          <w:sz w:val="22"/>
          <w:szCs w:val="22"/>
        </w:rPr>
        <w:t>Unsupervised clustering of lung cancer patients based on radiomics features.</w:t>
      </w:r>
    </w:p>
    <w:p w14:paraId="2F05631F" w14:textId="07EF51E5" w:rsidR="00F06568" w:rsidRPr="00FC0EB7" w:rsidRDefault="001A1CFA" w:rsidP="00FC0EB7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eastAsia="Helvetica Neue"/>
          <w:color w:val="000000"/>
        </w:rPr>
      </w:pPr>
      <w:r w:rsidRPr="00B47CB1">
        <w:br w:type="page"/>
      </w:r>
    </w:p>
    <w:tbl>
      <w:tblPr>
        <w:tblStyle w:val="a"/>
        <w:tblW w:w="1018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400" w:firstRow="0" w:lastRow="0" w:firstColumn="0" w:lastColumn="0" w:noHBand="0" w:noVBand="1"/>
      </w:tblPr>
      <w:tblGrid>
        <w:gridCol w:w="2738"/>
        <w:gridCol w:w="7450"/>
      </w:tblGrid>
      <w:tr w:rsidR="00FC0EB7" w:rsidRPr="00B47CB1" w14:paraId="0F553958" w14:textId="77777777" w:rsidTr="00586D59">
        <w:trPr>
          <w:trHeight w:val="226"/>
        </w:trPr>
        <w:tc>
          <w:tcPr>
            <w:tcW w:w="101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34E580" w14:textId="357FEE8C" w:rsidR="00FC0EB7" w:rsidRPr="00B47CB1" w:rsidRDefault="00FC0EB7" w:rsidP="00B47CB1">
            <w:pPr>
              <w:spacing w:line="480" w:lineRule="auto"/>
              <w:jc w:val="both"/>
              <w:rPr>
                <w:rFonts w:eastAsia="Calibri"/>
                <w:sz w:val="20"/>
                <w:szCs w:val="20"/>
              </w:rPr>
            </w:pPr>
            <w:r w:rsidRPr="00B47CB1">
              <w:rPr>
                <w:rFonts w:eastAsia="Calibri"/>
                <w:b/>
                <w:sz w:val="22"/>
                <w:szCs w:val="22"/>
              </w:rPr>
              <w:lastRenderedPageBreak/>
              <w:t>Supplementary Table 1: Image acquisition and processing parameters.</w:t>
            </w:r>
          </w:p>
        </w:tc>
      </w:tr>
      <w:tr w:rsidR="00F06568" w:rsidRPr="00B47CB1" w14:paraId="0B6CB011" w14:textId="77777777">
        <w:trPr>
          <w:trHeight w:val="226"/>
        </w:trPr>
        <w:tc>
          <w:tcPr>
            <w:tcW w:w="27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B872E0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t xml:space="preserve">Imaging </w:t>
            </w:r>
          </w:p>
        </w:tc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1BFAAE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t>PET, CT</w:t>
            </w:r>
          </w:p>
        </w:tc>
      </w:tr>
      <w:tr w:rsidR="00F06568" w:rsidRPr="00B47CB1" w14:paraId="04A7764E" w14:textId="77777777">
        <w:trPr>
          <w:trHeight w:val="226"/>
        </w:trPr>
        <w:tc>
          <w:tcPr>
            <w:tcW w:w="27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AB4142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t>Region of interest</w:t>
            </w:r>
          </w:p>
        </w:tc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F36CF3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t>Whole body (from the skull base to the mid-thigh); standard protocol</w:t>
            </w:r>
          </w:p>
        </w:tc>
      </w:tr>
      <w:tr w:rsidR="00F06568" w:rsidRPr="00B47CB1" w14:paraId="1A3721A0" w14:textId="77777777">
        <w:trPr>
          <w:trHeight w:val="486"/>
        </w:trPr>
        <w:tc>
          <w:tcPr>
            <w:tcW w:w="27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724184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t>Patient preparation</w:t>
            </w:r>
          </w:p>
        </w:tc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481AC0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t>Fasting for at least 4 hours before injection; Blood glucose levels below 200 mg/dl were requested</w:t>
            </w:r>
          </w:p>
        </w:tc>
      </w:tr>
      <w:tr w:rsidR="00F06568" w:rsidRPr="00B47CB1" w14:paraId="64600FC6" w14:textId="77777777">
        <w:trPr>
          <w:trHeight w:val="746"/>
        </w:trPr>
        <w:tc>
          <w:tcPr>
            <w:tcW w:w="27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11C3DA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t>Radioactive tracer</w:t>
            </w:r>
          </w:p>
        </w:tc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935C09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0"/>
                <w:szCs w:val="20"/>
              </w:rPr>
            </w:pPr>
            <w:r w:rsidRPr="00B47CB1">
              <w:rPr>
                <w:rFonts w:eastAsia="Calibri"/>
                <w:sz w:val="20"/>
                <w:szCs w:val="20"/>
              </w:rPr>
              <w:t>18F-fluorodeoxyglucose (18F-FDG); Intravenous administration</w:t>
            </w:r>
          </w:p>
          <w:p w14:paraId="343E96F1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0"/>
                <w:szCs w:val="20"/>
              </w:rPr>
            </w:pPr>
            <w:r w:rsidRPr="00B47CB1">
              <w:rPr>
                <w:rFonts w:eastAsia="Calibri"/>
                <w:sz w:val="20"/>
                <w:szCs w:val="20"/>
              </w:rPr>
              <w:t>Injected activity range (350-550 MBq)</w:t>
            </w:r>
          </w:p>
          <w:p w14:paraId="603174F0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t>Uptake time range 55-65 minutes</w:t>
            </w:r>
          </w:p>
        </w:tc>
      </w:tr>
      <w:tr w:rsidR="00F06568" w:rsidRPr="00B47CB1" w14:paraId="25AB5520" w14:textId="77777777">
        <w:trPr>
          <w:trHeight w:val="226"/>
        </w:trPr>
        <w:tc>
          <w:tcPr>
            <w:tcW w:w="27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4A110B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t>Contrast agent</w:t>
            </w:r>
          </w:p>
        </w:tc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7CC556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t>None</w:t>
            </w:r>
          </w:p>
        </w:tc>
      </w:tr>
      <w:tr w:rsidR="00F06568" w:rsidRPr="00B47CB1" w14:paraId="635A781C" w14:textId="77777777">
        <w:trPr>
          <w:trHeight w:val="3606"/>
        </w:trPr>
        <w:tc>
          <w:tcPr>
            <w:tcW w:w="27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ED8125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t>Acquisition and reconstruction &amp; Scanners</w:t>
            </w:r>
          </w:p>
        </w:tc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803E17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b/>
                <w:sz w:val="20"/>
                <w:szCs w:val="20"/>
              </w:rPr>
            </w:pPr>
            <w:r w:rsidRPr="00B47CB1">
              <w:rPr>
                <w:rFonts w:eastAsia="Calibri"/>
                <w:b/>
                <w:sz w:val="20"/>
                <w:szCs w:val="20"/>
              </w:rPr>
              <w:t>Acquisition parameters</w:t>
            </w:r>
            <w:r w:rsidRPr="00B47CB1">
              <w:rPr>
                <w:rFonts w:eastAsia="Calibri"/>
                <w:b/>
                <w:sz w:val="20"/>
                <w:szCs w:val="20"/>
              </w:rPr>
              <w:tab/>
              <w:t>Biograph – Siemens</w:t>
            </w:r>
            <w:r w:rsidRPr="00B47CB1">
              <w:rPr>
                <w:rFonts w:eastAsia="Calibri"/>
                <w:b/>
                <w:sz w:val="20"/>
                <w:szCs w:val="20"/>
              </w:rPr>
              <w:tab/>
              <w:t>Discovery 690 – GE</w:t>
            </w:r>
          </w:p>
          <w:p w14:paraId="74DA9D11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0"/>
                <w:szCs w:val="20"/>
              </w:rPr>
            </w:pPr>
            <w:r w:rsidRPr="00B47CB1">
              <w:rPr>
                <w:rFonts w:eastAsia="Calibri"/>
                <w:b/>
                <w:sz w:val="20"/>
                <w:szCs w:val="20"/>
              </w:rPr>
              <w:tab/>
            </w:r>
            <w:r w:rsidRPr="00B47CB1">
              <w:rPr>
                <w:rFonts w:eastAsia="Calibri"/>
                <w:sz w:val="20"/>
                <w:szCs w:val="20"/>
              </w:rPr>
              <w:t>PET</w:t>
            </w:r>
            <w:r w:rsidRPr="00B47CB1">
              <w:rPr>
                <w:rFonts w:eastAsia="Calibri"/>
                <w:sz w:val="20"/>
                <w:szCs w:val="20"/>
              </w:rPr>
              <w:tab/>
              <w:t>CT</w:t>
            </w:r>
            <w:r w:rsidRPr="00B47CB1">
              <w:rPr>
                <w:rFonts w:eastAsia="Calibri"/>
                <w:sz w:val="20"/>
                <w:szCs w:val="20"/>
              </w:rPr>
              <w:tab/>
              <w:t>PET</w:t>
            </w:r>
            <w:r w:rsidRPr="00B47CB1">
              <w:rPr>
                <w:rFonts w:eastAsia="Calibri"/>
                <w:sz w:val="20"/>
                <w:szCs w:val="20"/>
              </w:rPr>
              <w:tab/>
              <w:t>CT</w:t>
            </w:r>
          </w:p>
          <w:p w14:paraId="01C89588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b/>
                <w:sz w:val="20"/>
                <w:szCs w:val="20"/>
              </w:rPr>
            </w:pPr>
            <w:r w:rsidRPr="00B47CB1">
              <w:rPr>
                <w:rFonts w:eastAsia="Calibri"/>
                <w:b/>
                <w:sz w:val="20"/>
                <w:szCs w:val="20"/>
              </w:rPr>
              <w:t>Min/bed position</w:t>
            </w:r>
          </w:p>
          <w:p w14:paraId="071D3BBB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0"/>
                <w:szCs w:val="20"/>
              </w:rPr>
            </w:pPr>
            <w:r w:rsidRPr="00B47CB1">
              <w:rPr>
                <w:rFonts w:eastAsia="Calibri"/>
                <w:b/>
                <w:sz w:val="20"/>
                <w:szCs w:val="20"/>
              </w:rPr>
              <w:t>(static/dynamic)</w:t>
            </w:r>
            <w:r w:rsidRPr="00B47CB1">
              <w:rPr>
                <w:rFonts w:eastAsia="Calibri"/>
                <w:b/>
                <w:sz w:val="20"/>
                <w:szCs w:val="20"/>
              </w:rPr>
              <w:tab/>
            </w:r>
            <w:r w:rsidRPr="00B47CB1">
              <w:rPr>
                <w:rFonts w:eastAsia="Calibri"/>
                <w:sz w:val="20"/>
                <w:szCs w:val="20"/>
              </w:rPr>
              <w:t>2.5 (static)</w:t>
            </w:r>
            <w:r w:rsidRPr="00B47CB1">
              <w:rPr>
                <w:rFonts w:eastAsia="Calibri"/>
                <w:sz w:val="20"/>
                <w:szCs w:val="20"/>
              </w:rPr>
              <w:tab/>
              <w:t>–</w:t>
            </w:r>
            <w:r w:rsidRPr="00B47CB1">
              <w:rPr>
                <w:rFonts w:eastAsia="Calibri"/>
                <w:sz w:val="20"/>
                <w:szCs w:val="20"/>
              </w:rPr>
              <w:tab/>
              <w:t>2 (static)</w:t>
            </w:r>
            <w:r w:rsidRPr="00B47CB1">
              <w:rPr>
                <w:rFonts w:eastAsia="Calibri"/>
                <w:sz w:val="20"/>
                <w:szCs w:val="20"/>
              </w:rPr>
              <w:tab/>
              <w:t>–</w:t>
            </w:r>
          </w:p>
          <w:p w14:paraId="078926B1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0"/>
                <w:szCs w:val="20"/>
              </w:rPr>
            </w:pPr>
            <w:r w:rsidRPr="00B47CB1">
              <w:rPr>
                <w:rFonts w:eastAsia="Calibri"/>
                <w:b/>
                <w:sz w:val="20"/>
                <w:szCs w:val="20"/>
              </w:rPr>
              <w:t>Crystal</w:t>
            </w:r>
            <w:r w:rsidRPr="00B47CB1">
              <w:rPr>
                <w:rFonts w:eastAsia="Calibri"/>
                <w:b/>
                <w:sz w:val="20"/>
                <w:szCs w:val="20"/>
              </w:rPr>
              <w:tab/>
            </w:r>
            <w:r w:rsidRPr="00B47CB1">
              <w:rPr>
                <w:rFonts w:eastAsia="Calibri"/>
                <w:sz w:val="20"/>
                <w:szCs w:val="20"/>
              </w:rPr>
              <w:t>LSO</w:t>
            </w:r>
            <w:r w:rsidRPr="00B47CB1">
              <w:rPr>
                <w:rFonts w:eastAsia="Calibri"/>
                <w:sz w:val="20"/>
                <w:szCs w:val="20"/>
              </w:rPr>
              <w:tab/>
              <w:t>–</w:t>
            </w:r>
            <w:r w:rsidRPr="00B47CB1">
              <w:rPr>
                <w:rFonts w:eastAsia="Calibri"/>
                <w:sz w:val="20"/>
                <w:szCs w:val="20"/>
              </w:rPr>
              <w:tab/>
              <w:t>LYSO</w:t>
            </w:r>
            <w:r w:rsidRPr="00B47CB1">
              <w:rPr>
                <w:rFonts w:eastAsia="Calibri"/>
                <w:sz w:val="20"/>
                <w:szCs w:val="20"/>
              </w:rPr>
              <w:tab/>
              <w:t>–</w:t>
            </w:r>
          </w:p>
          <w:p w14:paraId="339E0FC9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0"/>
                <w:szCs w:val="20"/>
              </w:rPr>
            </w:pPr>
            <w:r w:rsidRPr="00B47CB1">
              <w:rPr>
                <w:rFonts w:eastAsia="Calibri"/>
                <w:b/>
                <w:sz w:val="20"/>
                <w:szCs w:val="20"/>
              </w:rPr>
              <w:t>Reconstruction</w:t>
            </w:r>
            <w:r w:rsidRPr="00B47CB1">
              <w:rPr>
                <w:rFonts w:eastAsia="Calibri"/>
                <w:b/>
                <w:sz w:val="20"/>
                <w:szCs w:val="20"/>
              </w:rPr>
              <w:tab/>
            </w:r>
            <w:r w:rsidRPr="00B47CB1">
              <w:rPr>
                <w:rFonts w:eastAsia="Calibri"/>
                <w:sz w:val="20"/>
                <w:szCs w:val="20"/>
              </w:rPr>
              <w:t>Iterative</w:t>
            </w:r>
            <w:r w:rsidRPr="00B47CB1">
              <w:rPr>
                <w:rFonts w:eastAsia="Calibri"/>
                <w:sz w:val="20"/>
                <w:szCs w:val="20"/>
              </w:rPr>
              <w:tab/>
              <w:t>–</w:t>
            </w:r>
            <w:r w:rsidRPr="00B47CB1">
              <w:rPr>
                <w:rFonts w:eastAsia="Calibri"/>
                <w:sz w:val="20"/>
                <w:szCs w:val="20"/>
              </w:rPr>
              <w:tab/>
              <w:t>Iterative, TOF Sharp IR</w:t>
            </w:r>
            <w:r w:rsidRPr="00B47CB1">
              <w:rPr>
                <w:rFonts w:eastAsia="Calibri"/>
                <w:sz w:val="20"/>
                <w:szCs w:val="20"/>
              </w:rPr>
              <w:tab/>
              <w:t>–</w:t>
            </w:r>
          </w:p>
          <w:p w14:paraId="51D06524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0"/>
                <w:szCs w:val="20"/>
              </w:rPr>
            </w:pPr>
            <w:r w:rsidRPr="00B47CB1">
              <w:rPr>
                <w:rFonts w:eastAsia="Calibri"/>
                <w:b/>
                <w:sz w:val="20"/>
                <w:szCs w:val="20"/>
              </w:rPr>
              <w:t>Attenuation correction</w:t>
            </w:r>
            <w:r w:rsidRPr="00B47CB1">
              <w:rPr>
                <w:rFonts w:eastAsia="Calibri"/>
                <w:b/>
                <w:sz w:val="20"/>
                <w:szCs w:val="20"/>
              </w:rPr>
              <w:tab/>
            </w:r>
            <w:r w:rsidRPr="00B47CB1">
              <w:rPr>
                <w:rFonts w:eastAsia="Calibri"/>
                <w:sz w:val="20"/>
                <w:szCs w:val="20"/>
              </w:rPr>
              <w:t>On CT data</w:t>
            </w:r>
            <w:r w:rsidRPr="00B47CB1">
              <w:rPr>
                <w:rFonts w:eastAsia="Calibri"/>
                <w:sz w:val="20"/>
                <w:szCs w:val="20"/>
              </w:rPr>
              <w:tab/>
            </w:r>
            <w:r w:rsidRPr="00B47CB1">
              <w:rPr>
                <w:rFonts w:eastAsia="Calibri"/>
                <w:sz w:val="20"/>
                <w:szCs w:val="20"/>
              </w:rPr>
              <w:tab/>
              <w:t>On CT data</w:t>
            </w:r>
            <w:r w:rsidRPr="00B47CB1">
              <w:rPr>
                <w:rFonts w:eastAsia="Calibri"/>
                <w:sz w:val="20"/>
                <w:szCs w:val="20"/>
              </w:rPr>
              <w:tab/>
            </w:r>
          </w:p>
          <w:p w14:paraId="42C50832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0"/>
                <w:szCs w:val="20"/>
              </w:rPr>
            </w:pPr>
            <w:r w:rsidRPr="00B47CB1">
              <w:rPr>
                <w:rFonts w:eastAsia="Calibri"/>
                <w:b/>
                <w:sz w:val="20"/>
                <w:szCs w:val="20"/>
              </w:rPr>
              <w:t>Matrix (pixels)</w:t>
            </w:r>
            <w:r w:rsidRPr="00B47CB1">
              <w:rPr>
                <w:rFonts w:eastAsia="Calibri"/>
                <w:b/>
                <w:sz w:val="20"/>
                <w:szCs w:val="20"/>
              </w:rPr>
              <w:tab/>
            </w:r>
            <w:r w:rsidRPr="00B47CB1">
              <w:rPr>
                <w:rFonts w:eastAsia="Calibri"/>
                <w:sz w:val="20"/>
                <w:szCs w:val="20"/>
              </w:rPr>
              <w:t>128×128</w:t>
            </w:r>
            <w:r w:rsidRPr="00B47CB1">
              <w:rPr>
                <w:rFonts w:eastAsia="Calibri"/>
                <w:sz w:val="20"/>
                <w:szCs w:val="20"/>
              </w:rPr>
              <w:tab/>
              <w:t>512×512</w:t>
            </w:r>
            <w:r w:rsidRPr="00B47CB1">
              <w:rPr>
                <w:rFonts w:eastAsia="Calibri"/>
                <w:sz w:val="20"/>
                <w:szCs w:val="20"/>
              </w:rPr>
              <w:tab/>
              <w:t>256×256</w:t>
            </w:r>
            <w:r w:rsidRPr="00B47CB1">
              <w:rPr>
                <w:rFonts w:eastAsia="Calibri"/>
                <w:sz w:val="20"/>
                <w:szCs w:val="20"/>
              </w:rPr>
              <w:tab/>
              <w:t>512×512</w:t>
            </w:r>
          </w:p>
          <w:p w14:paraId="1BD83225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0"/>
                <w:szCs w:val="20"/>
              </w:rPr>
            </w:pPr>
            <w:r w:rsidRPr="00B47CB1">
              <w:rPr>
                <w:rFonts w:eastAsia="Calibri"/>
                <w:b/>
                <w:sz w:val="20"/>
                <w:szCs w:val="20"/>
              </w:rPr>
              <w:t>Resolution (mm)</w:t>
            </w:r>
            <w:r w:rsidRPr="00B47CB1">
              <w:rPr>
                <w:rFonts w:eastAsia="Calibri"/>
                <w:b/>
                <w:sz w:val="20"/>
                <w:szCs w:val="20"/>
              </w:rPr>
              <w:tab/>
            </w:r>
            <w:r w:rsidRPr="00B47CB1">
              <w:rPr>
                <w:rFonts w:eastAsia="Calibri"/>
                <w:sz w:val="20"/>
                <w:szCs w:val="20"/>
              </w:rPr>
              <w:t>5.3×5.3</w:t>
            </w:r>
            <w:r w:rsidRPr="00B47CB1">
              <w:rPr>
                <w:rFonts w:eastAsia="Calibri"/>
                <w:sz w:val="20"/>
                <w:szCs w:val="20"/>
              </w:rPr>
              <w:tab/>
              <w:t>0.98×0.98</w:t>
            </w:r>
            <w:r w:rsidRPr="00B47CB1">
              <w:rPr>
                <w:rFonts w:eastAsia="Calibri"/>
                <w:sz w:val="20"/>
                <w:szCs w:val="20"/>
              </w:rPr>
              <w:tab/>
              <w:t>2.73×2.73</w:t>
            </w:r>
            <w:r w:rsidRPr="00B47CB1">
              <w:rPr>
                <w:rFonts w:eastAsia="Calibri"/>
                <w:sz w:val="20"/>
                <w:szCs w:val="20"/>
              </w:rPr>
              <w:tab/>
              <w:t>1.37×1.37</w:t>
            </w:r>
          </w:p>
          <w:p w14:paraId="50086FF6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0"/>
                <w:szCs w:val="20"/>
              </w:rPr>
            </w:pPr>
            <w:r w:rsidRPr="00B47CB1">
              <w:rPr>
                <w:rFonts w:eastAsia="Calibri"/>
                <w:b/>
                <w:sz w:val="20"/>
                <w:szCs w:val="20"/>
              </w:rPr>
              <w:t>Slice thickness (mm)</w:t>
            </w:r>
            <w:r w:rsidRPr="00B47CB1">
              <w:rPr>
                <w:rFonts w:eastAsia="Calibri"/>
                <w:b/>
                <w:sz w:val="20"/>
                <w:szCs w:val="20"/>
              </w:rPr>
              <w:tab/>
            </w:r>
            <w:r w:rsidRPr="00B47CB1">
              <w:rPr>
                <w:rFonts w:eastAsia="Calibri"/>
                <w:sz w:val="20"/>
                <w:szCs w:val="20"/>
              </w:rPr>
              <w:t>2.0</w:t>
            </w:r>
            <w:r w:rsidRPr="00B47CB1">
              <w:rPr>
                <w:rFonts w:eastAsia="Calibri"/>
                <w:sz w:val="20"/>
                <w:szCs w:val="20"/>
              </w:rPr>
              <w:tab/>
              <w:t>4.0</w:t>
            </w:r>
            <w:r w:rsidRPr="00B47CB1">
              <w:rPr>
                <w:rFonts w:eastAsia="Calibri"/>
                <w:sz w:val="20"/>
                <w:szCs w:val="20"/>
              </w:rPr>
              <w:tab/>
              <w:t>3.27</w:t>
            </w:r>
            <w:r w:rsidRPr="00B47CB1">
              <w:rPr>
                <w:rFonts w:eastAsia="Calibri"/>
                <w:sz w:val="20"/>
                <w:szCs w:val="20"/>
              </w:rPr>
              <w:tab/>
              <w:t>3.27</w:t>
            </w:r>
          </w:p>
          <w:p w14:paraId="6EBC04E2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0"/>
                <w:szCs w:val="20"/>
              </w:rPr>
            </w:pPr>
            <w:r w:rsidRPr="00B47CB1">
              <w:rPr>
                <w:rFonts w:eastAsia="Calibri"/>
                <w:b/>
                <w:sz w:val="20"/>
                <w:szCs w:val="20"/>
              </w:rPr>
              <w:t>Slices</w:t>
            </w:r>
            <w:r w:rsidRPr="00B47CB1">
              <w:rPr>
                <w:rFonts w:eastAsia="Calibri"/>
                <w:b/>
                <w:sz w:val="20"/>
                <w:szCs w:val="20"/>
              </w:rPr>
              <w:tab/>
            </w:r>
            <w:r w:rsidRPr="00B47CB1">
              <w:rPr>
                <w:rFonts w:eastAsia="Calibri"/>
                <w:sz w:val="20"/>
                <w:szCs w:val="20"/>
              </w:rPr>
              <w:t>–</w:t>
            </w:r>
            <w:r w:rsidRPr="00B47CB1">
              <w:rPr>
                <w:rFonts w:eastAsia="Calibri"/>
                <w:sz w:val="20"/>
                <w:szCs w:val="20"/>
              </w:rPr>
              <w:tab/>
              <w:t>6</w:t>
            </w:r>
            <w:r w:rsidRPr="00B47CB1">
              <w:rPr>
                <w:rFonts w:eastAsia="Calibri"/>
                <w:sz w:val="20"/>
                <w:szCs w:val="20"/>
              </w:rPr>
              <w:tab/>
              <w:t>–</w:t>
            </w:r>
            <w:r w:rsidRPr="00B47CB1">
              <w:rPr>
                <w:rFonts w:eastAsia="Calibri"/>
                <w:sz w:val="20"/>
                <w:szCs w:val="20"/>
              </w:rPr>
              <w:tab/>
              <w:t>64</w:t>
            </w:r>
          </w:p>
          <w:p w14:paraId="3E144E1C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0"/>
                <w:szCs w:val="20"/>
              </w:rPr>
            </w:pPr>
            <w:r w:rsidRPr="00B47CB1">
              <w:rPr>
                <w:rFonts w:eastAsia="Calibri"/>
                <w:b/>
                <w:sz w:val="20"/>
                <w:szCs w:val="20"/>
              </w:rPr>
              <w:t>Voltage (kV)</w:t>
            </w:r>
            <w:r w:rsidRPr="00B47CB1">
              <w:rPr>
                <w:rFonts w:eastAsia="Calibri"/>
                <w:b/>
                <w:sz w:val="20"/>
                <w:szCs w:val="20"/>
              </w:rPr>
              <w:tab/>
            </w:r>
            <w:r w:rsidRPr="00B47CB1">
              <w:rPr>
                <w:rFonts w:eastAsia="Calibri"/>
                <w:sz w:val="20"/>
                <w:szCs w:val="20"/>
              </w:rPr>
              <w:t>–</w:t>
            </w:r>
            <w:r w:rsidRPr="00B47CB1">
              <w:rPr>
                <w:rFonts w:eastAsia="Calibri"/>
                <w:sz w:val="20"/>
                <w:szCs w:val="20"/>
              </w:rPr>
              <w:tab/>
              <w:t>130</w:t>
            </w:r>
            <w:r w:rsidRPr="00B47CB1">
              <w:rPr>
                <w:rFonts w:eastAsia="Calibri"/>
                <w:sz w:val="20"/>
                <w:szCs w:val="20"/>
              </w:rPr>
              <w:tab/>
              <w:t>–</w:t>
            </w:r>
            <w:r w:rsidRPr="00B47CB1">
              <w:rPr>
                <w:rFonts w:eastAsia="Calibri"/>
                <w:sz w:val="20"/>
                <w:szCs w:val="20"/>
              </w:rPr>
              <w:tab/>
              <w:t>140</w:t>
            </w:r>
          </w:p>
          <w:p w14:paraId="2C055354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b/>
                <w:sz w:val="20"/>
                <w:szCs w:val="20"/>
              </w:rPr>
              <w:t>Tube current (mA)</w:t>
            </w:r>
            <w:r w:rsidRPr="00B47CB1">
              <w:rPr>
                <w:rFonts w:eastAsia="Calibri"/>
                <w:b/>
                <w:sz w:val="20"/>
                <w:szCs w:val="20"/>
              </w:rPr>
              <w:tab/>
            </w:r>
            <w:r w:rsidRPr="00B47CB1">
              <w:rPr>
                <w:rFonts w:eastAsia="Calibri"/>
                <w:sz w:val="20"/>
                <w:szCs w:val="20"/>
              </w:rPr>
              <w:t>–</w:t>
            </w:r>
            <w:r w:rsidRPr="00B47CB1">
              <w:rPr>
                <w:rFonts w:eastAsia="Calibri"/>
                <w:sz w:val="20"/>
                <w:szCs w:val="20"/>
              </w:rPr>
              <w:tab/>
              <w:t xml:space="preserve">95 </w:t>
            </w:r>
            <w:r w:rsidRPr="00B47CB1">
              <w:rPr>
                <w:rFonts w:eastAsia="Calibri"/>
                <w:sz w:val="20"/>
                <w:szCs w:val="20"/>
              </w:rPr>
              <w:tab/>
              <w:t>–</w:t>
            </w:r>
            <w:r w:rsidRPr="00B47CB1">
              <w:rPr>
                <w:rFonts w:eastAsia="Calibri"/>
                <w:sz w:val="20"/>
                <w:szCs w:val="20"/>
              </w:rPr>
              <w:tab/>
              <w:t>140</w:t>
            </w:r>
          </w:p>
        </w:tc>
      </w:tr>
      <w:tr w:rsidR="00F06568" w:rsidRPr="00B47CB1" w14:paraId="31E3A3D3" w14:textId="77777777">
        <w:trPr>
          <w:trHeight w:val="226"/>
        </w:trPr>
        <w:tc>
          <w:tcPr>
            <w:tcW w:w="27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BEA5A9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b/>
                <w:sz w:val="20"/>
                <w:szCs w:val="20"/>
              </w:rPr>
              <w:t>Analysis</w:t>
            </w:r>
          </w:p>
        </w:tc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E615EB" w14:textId="77777777" w:rsidR="00F06568" w:rsidRPr="00B47CB1" w:rsidRDefault="00F06568" w:rsidP="00B47CB1">
            <w:pPr>
              <w:spacing w:after="200" w:line="480" w:lineRule="auto"/>
              <w:jc w:val="both"/>
              <w:rPr>
                <w:rFonts w:eastAsia="Calibri"/>
                <w:sz w:val="22"/>
                <w:szCs w:val="22"/>
              </w:rPr>
            </w:pPr>
          </w:p>
        </w:tc>
      </w:tr>
      <w:tr w:rsidR="00F06568" w:rsidRPr="00B47CB1" w14:paraId="241FBFBA" w14:textId="77777777">
        <w:trPr>
          <w:trHeight w:val="226"/>
        </w:trPr>
        <w:tc>
          <w:tcPr>
            <w:tcW w:w="27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10AC20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t>Approach</w:t>
            </w:r>
          </w:p>
        </w:tc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A7EC43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t xml:space="preserve">The images were </w:t>
            </w:r>
            <w:proofErr w:type="spellStart"/>
            <w:r w:rsidRPr="00B47CB1">
              <w:rPr>
                <w:rFonts w:eastAsia="Calibri"/>
                <w:sz w:val="20"/>
                <w:szCs w:val="20"/>
              </w:rPr>
              <w:t>analysed</w:t>
            </w:r>
            <w:proofErr w:type="spellEnd"/>
            <w:r w:rsidRPr="00B47CB1">
              <w:rPr>
                <w:rFonts w:eastAsia="Calibri"/>
                <w:sz w:val="20"/>
                <w:szCs w:val="20"/>
              </w:rPr>
              <w:t xml:space="preserve"> as a volume (3D).</w:t>
            </w:r>
          </w:p>
        </w:tc>
      </w:tr>
      <w:tr w:rsidR="00F06568" w:rsidRPr="00B47CB1" w14:paraId="5A593203" w14:textId="77777777">
        <w:trPr>
          <w:trHeight w:val="486"/>
        </w:trPr>
        <w:tc>
          <w:tcPr>
            <w:tcW w:w="27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0AFFEF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t>Process structure</w:t>
            </w:r>
          </w:p>
        </w:tc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096AF6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t xml:space="preserve">Image acquisition -&gt; reconstruction -&gt; </w:t>
            </w:r>
            <w:proofErr w:type="spellStart"/>
            <w:r w:rsidRPr="00B47CB1">
              <w:rPr>
                <w:rFonts w:eastAsia="Calibri"/>
                <w:sz w:val="20"/>
                <w:szCs w:val="20"/>
              </w:rPr>
              <w:t>anonymisation</w:t>
            </w:r>
            <w:proofErr w:type="spellEnd"/>
            <w:r w:rsidRPr="00B47CB1">
              <w:rPr>
                <w:rFonts w:eastAsia="Calibri"/>
                <w:sz w:val="20"/>
                <w:szCs w:val="20"/>
              </w:rPr>
              <w:t xml:space="preserve"> -&gt; export -&gt; segmentation -&gt; texture analysis -&gt; feature calculation -&gt; report</w:t>
            </w:r>
          </w:p>
        </w:tc>
      </w:tr>
      <w:tr w:rsidR="00F06568" w:rsidRPr="00B47CB1" w14:paraId="34ADAE2C" w14:textId="77777777">
        <w:trPr>
          <w:trHeight w:val="746"/>
        </w:trPr>
        <w:tc>
          <w:tcPr>
            <w:tcW w:w="27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E08458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lastRenderedPageBreak/>
              <w:t>Software</w:t>
            </w:r>
          </w:p>
        </w:tc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41E2FD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t xml:space="preserve">Calculation of PET parameters was performed using an in-house image processing tool, running on MATLAB [16]. CT radiomic features extraction was performed using </w:t>
            </w:r>
            <w:proofErr w:type="spellStart"/>
            <w:r w:rsidRPr="00B47CB1">
              <w:rPr>
                <w:rFonts w:eastAsia="Calibri"/>
                <w:sz w:val="20"/>
                <w:szCs w:val="20"/>
              </w:rPr>
              <w:t>HeterogeneityCAD</w:t>
            </w:r>
            <w:proofErr w:type="spellEnd"/>
            <w:r w:rsidRPr="00B47CB1">
              <w:rPr>
                <w:rFonts w:eastAsia="Calibri"/>
                <w:sz w:val="20"/>
                <w:szCs w:val="20"/>
              </w:rPr>
              <w:t xml:space="preserve"> tool implemented in 3-D slicer, according to [17].</w:t>
            </w:r>
          </w:p>
        </w:tc>
      </w:tr>
      <w:tr w:rsidR="00F06568" w:rsidRPr="00B47CB1" w14:paraId="4D3817E4" w14:textId="77777777">
        <w:trPr>
          <w:trHeight w:val="746"/>
        </w:trPr>
        <w:tc>
          <w:tcPr>
            <w:tcW w:w="27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FF928D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t>Data availability</w:t>
            </w:r>
          </w:p>
        </w:tc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A5D70E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t xml:space="preserve">All the original patient DICOM files are stored in the institutional PACS. </w:t>
            </w:r>
            <w:proofErr w:type="spellStart"/>
            <w:r w:rsidRPr="00B47CB1">
              <w:rPr>
                <w:rFonts w:eastAsia="Calibri"/>
                <w:sz w:val="20"/>
                <w:szCs w:val="20"/>
              </w:rPr>
              <w:t>Anonymised</w:t>
            </w:r>
            <w:proofErr w:type="spellEnd"/>
            <w:r w:rsidRPr="00B47CB1">
              <w:rPr>
                <w:rFonts w:eastAsia="Calibri"/>
                <w:sz w:val="20"/>
                <w:szCs w:val="20"/>
              </w:rPr>
              <w:t xml:space="preserve"> DICOM files and the results of the feature calculations are stored on the department hard disk. </w:t>
            </w:r>
          </w:p>
        </w:tc>
      </w:tr>
      <w:tr w:rsidR="00F06568" w:rsidRPr="00B47CB1" w14:paraId="2887786A" w14:textId="77777777">
        <w:trPr>
          <w:trHeight w:val="226"/>
        </w:trPr>
        <w:tc>
          <w:tcPr>
            <w:tcW w:w="101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F95D91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b/>
                <w:sz w:val="20"/>
                <w:szCs w:val="20"/>
              </w:rPr>
              <w:t xml:space="preserve">Data conversion </w:t>
            </w:r>
          </w:p>
        </w:tc>
      </w:tr>
      <w:tr w:rsidR="00F06568" w:rsidRPr="00B47CB1" w14:paraId="223E7BE8" w14:textId="77777777">
        <w:trPr>
          <w:trHeight w:val="226"/>
        </w:trPr>
        <w:tc>
          <w:tcPr>
            <w:tcW w:w="27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235458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t xml:space="preserve">Procedure </w:t>
            </w:r>
          </w:p>
        </w:tc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67AC02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t>No SUV normalization was applied to PET images.</w:t>
            </w:r>
          </w:p>
        </w:tc>
      </w:tr>
      <w:tr w:rsidR="00F06568" w:rsidRPr="00B47CB1" w14:paraId="5048CE23" w14:textId="77777777">
        <w:trPr>
          <w:trHeight w:val="226"/>
        </w:trPr>
        <w:tc>
          <w:tcPr>
            <w:tcW w:w="101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242914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b/>
                <w:sz w:val="20"/>
                <w:szCs w:val="20"/>
              </w:rPr>
              <w:t xml:space="preserve">Image post-acquisition processing </w:t>
            </w:r>
          </w:p>
        </w:tc>
      </w:tr>
      <w:tr w:rsidR="00F06568" w:rsidRPr="00B47CB1" w14:paraId="722A1584" w14:textId="77777777">
        <w:trPr>
          <w:trHeight w:val="226"/>
        </w:trPr>
        <w:tc>
          <w:tcPr>
            <w:tcW w:w="27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1907CF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t xml:space="preserve">Procedure </w:t>
            </w:r>
          </w:p>
        </w:tc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4D43AD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t>width of the Gaussian filter (FWHM) to spatially smooth intensities</w:t>
            </w:r>
          </w:p>
        </w:tc>
      </w:tr>
      <w:tr w:rsidR="00F06568" w:rsidRPr="00B47CB1" w14:paraId="3325B60E" w14:textId="77777777">
        <w:trPr>
          <w:trHeight w:val="226"/>
        </w:trPr>
        <w:tc>
          <w:tcPr>
            <w:tcW w:w="101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8868B4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b/>
                <w:sz w:val="20"/>
                <w:szCs w:val="20"/>
              </w:rPr>
              <w:t xml:space="preserve">Segmentation </w:t>
            </w:r>
          </w:p>
        </w:tc>
      </w:tr>
      <w:tr w:rsidR="00F06568" w:rsidRPr="00B47CB1" w14:paraId="09888459" w14:textId="77777777">
        <w:trPr>
          <w:trHeight w:val="486"/>
        </w:trPr>
        <w:tc>
          <w:tcPr>
            <w:tcW w:w="27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C609CE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t xml:space="preserve">ROI </w:t>
            </w:r>
          </w:p>
        </w:tc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73120E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t xml:space="preserve">The volume of interest (VOI) included the primary </w:t>
            </w:r>
            <w:proofErr w:type="spellStart"/>
            <w:r w:rsidRPr="00B47CB1">
              <w:rPr>
                <w:rFonts w:eastAsia="Calibri"/>
                <w:sz w:val="20"/>
                <w:szCs w:val="20"/>
              </w:rPr>
              <w:t>tumour</w:t>
            </w:r>
            <w:proofErr w:type="spellEnd"/>
            <w:r w:rsidRPr="00B47CB1">
              <w:rPr>
                <w:rFonts w:eastAsia="Calibri"/>
                <w:sz w:val="20"/>
                <w:szCs w:val="20"/>
              </w:rPr>
              <w:t xml:space="preserve"> lesion. Textural features were calculated on both CT and PET images.</w:t>
            </w:r>
          </w:p>
        </w:tc>
      </w:tr>
      <w:tr w:rsidR="00F06568" w:rsidRPr="00B47CB1" w14:paraId="5DD7AC15" w14:textId="77777777">
        <w:trPr>
          <w:trHeight w:val="1526"/>
        </w:trPr>
        <w:tc>
          <w:tcPr>
            <w:tcW w:w="27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49F51D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t xml:space="preserve">Procedure </w:t>
            </w:r>
          </w:p>
        </w:tc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4D4EE0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t xml:space="preserve">The primary lung cancer lesions were delineated on PET images applying a fully automatic segmentation method, combining an automatic threshold-based algorithm for the definition of the tumor volume and a k-means clustering algorithm for estimation of the background [13]. CT target lesion was delineated using 3-D Slicer application </w:t>
            </w:r>
            <w:proofErr w:type="spellStart"/>
            <w:r w:rsidRPr="00B47CB1">
              <w:rPr>
                <w:rFonts w:eastAsia="Calibri"/>
                <w:sz w:val="20"/>
                <w:szCs w:val="20"/>
              </w:rPr>
              <w:t>FastGrowCut</w:t>
            </w:r>
            <w:proofErr w:type="spellEnd"/>
            <w:r w:rsidRPr="00B47CB1">
              <w:rPr>
                <w:rFonts w:eastAsia="Calibri"/>
                <w:sz w:val="20"/>
                <w:szCs w:val="20"/>
              </w:rPr>
              <w:t xml:space="preserve"> implementing a competitive region growing algorithm using cellular automata [14].</w:t>
            </w:r>
          </w:p>
        </w:tc>
      </w:tr>
      <w:tr w:rsidR="00F06568" w:rsidRPr="00B47CB1" w14:paraId="6C9BA07E" w14:textId="77777777">
        <w:trPr>
          <w:trHeight w:val="226"/>
        </w:trPr>
        <w:tc>
          <w:tcPr>
            <w:tcW w:w="27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F19120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b/>
                <w:sz w:val="20"/>
                <w:szCs w:val="20"/>
              </w:rPr>
              <w:t xml:space="preserve">Resampling </w:t>
            </w:r>
          </w:p>
        </w:tc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5936E5" w14:textId="77777777" w:rsidR="00F06568" w:rsidRPr="00B47CB1" w:rsidRDefault="00F06568" w:rsidP="00B47CB1">
            <w:pPr>
              <w:spacing w:after="200" w:line="480" w:lineRule="auto"/>
              <w:jc w:val="both"/>
              <w:rPr>
                <w:rFonts w:eastAsia="Calibri"/>
                <w:sz w:val="22"/>
                <w:szCs w:val="22"/>
              </w:rPr>
            </w:pPr>
          </w:p>
        </w:tc>
      </w:tr>
      <w:tr w:rsidR="00F06568" w:rsidRPr="00B47CB1" w14:paraId="439BCAEE" w14:textId="77777777">
        <w:trPr>
          <w:trHeight w:val="226"/>
        </w:trPr>
        <w:tc>
          <w:tcPr>
            <w:tcW w:w="27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68EF8C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t>Voxel dimensions</w:t>
            </w:r>
          </w:p>
        </w:tc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BA8562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t>2*2*2 mm; PET: cubic interpolation, CT: trilinear interpolation</w:t>
            </w:r>
          </w:p>
        </w:tc>
      </w:tr>
      <w:tr w:rsidR="00F06568" w:rsidRPr="00B47CB1" w14:paraId="174EEDD6" w14:textId="77777777">
        <w:trPr>
          <w:trHeight w:val="226"/>
        </w:trPr>
        <w:tc>
          <w:tcPr>
            <w:tcW w:w="27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C4ED7E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proofErr w:type="spellStart"/>
            <w:r w:rsidRPr="00B47CB1">
              <w:rPr>
                <w:rFonts w:eastAsia="Calibri"/>
                <w:b/>
                <w:sz w:val="20"/>
                <w:szCs w:val="20"/>
              </w:rPr>
              <w:t>Discretisation</w:t>
            </w:r>
            <w:proofErr w:type="spellEnd"/>
            <w:r w:rsidRPr="00B47CB1">
              <w:rPr>
                <w:rFonts w:eastAsia="Calibr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D7DD3A" w14:textId="77777777" w:rsidR="00F06568" w:rsidRPr="00B47CB1" w:rsidRDefault="00F06568" w:rsidP="00B47CB1">
            <w:pPr>
              <w:spacing w:after="200" w:line="480" w:lineRule="auto"/>
              <w:jc w:val="both"/>
              <w:rPr>
                <w:rFonts w:eastAsia="Calibri"/>
                <w:sz w:val="22"/>
                <w:szCs w:val="22"/>
              </w:rPr>
            </w:pPr>
          </w:p>
        </w:tc>
      </w:tr>
      <w:tr w:rsidR="00F06568" w:rsidRPr="00B47CB1" w14:paraId="58BB3733" w14:textId="77777777">
        <w:trPr>
          <w:trHeight w:val="226"/>
        </w:trPr>
        <w:tc>
          <w:tcPr>
            <w:tcW w:w="27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06F6A5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proofErr w:type="spellStart"/>
            <w:r w:rsidRPr="00B47CB1">
              <w:rPr>
                <w:rFonts w:eastAsia="Calibri"/>
                <w:sz w:val="20"/>
                <w:szCs w:val="20"/>
              </w:rPr>
              <w:t>Discretisation</w:t>
            </w:r>
            <w:proofErr w:type="spellEnd"/>
            <w:r w:rsidRPr="00B47CB1">
              <w:rPr>
                <w:rFonts w:eastAsia="Calibri"/>
                <w:sz w:val="20"/>
                <w:szCs w:val="20"/>
              </w:rPr>
              <w:t xml:space="preserve"> method </w:t>
            </w:r>
          </w:p>
        </w:tc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30F1DC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t>PET: 64 bins; CT: 25 HU per bin</w:t>
            </w:r>
          </w:p>
        </w:tc>
      </w:tr>
      <w:tr w:rsidR="00F06568" w:rsidRPr="00B47CB1" w14:paraId="65320259" w14:textId="77777777">
        <w:trPr>
          <w:trHeight w:val="226"/>
        </w:trPr>
        <w:tc>
          <w:tcPr>
            <w:tcW w:w="27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4174CC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b/>
                <w:sz w:val="20"/>
                <w:szCs w:val="20"/>
              </w:rPr>
              <w:t xml:space="preserve">Feature calculation </w:t>
            </w:r>
          </w:p>
        </w:tc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2A84B5" w14:textId="77777777" w:rsidR="00F06568" w:rsidRPr="00B47CB1" w:rsidRDefault="00F06568" w:rsidP="00B47CB1">
            <w:pPr>
              <w:spacing w:after="200" w:line="480" w:lineRule="auto"/>
              <w:jc w:val="both"/>
              <w:rPr>
                <w:rFonts w:eastAsia="Calibri"/>
                <w:sz w:val="22"/>
                <w:szCs w:val="22"/>
              </w:rPr>
            </w:pPr>
          </w:p>
        </w:tc>
      </w:tr>
      <w:tr w:rsidR="00F06568" w:rsidRPr="00B47CB1" w14:paraId="013527AB" w14:textId="77777777">
        <w:trPr>
          <w:trHeight w:val="13129"/>
        </w:trPr>
        <w:tc>
          <w:tcPr>
            <w:tcW w:w="27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90EE11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lastRenderedPageBreak/>
              <w:t>Feature set</w:t>
            </w:r>
            <w:r w:rsidRPr="00B47CB1">
              <w:rPr>
                <w:rFonts w:eastAsia="MS Gothic"/>
                <w:sz w:val="20"/>
                <w:szCs w:val="20"/>
              </w:rPr>
              <w:br/>
            </w:r>
          </w:p>
        </w:tc>
        <w:tc>
          <w:tcPr>
            <w:tcW w:w="7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09E4EF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b/>
                <w:sz w:val="18"/>
                <w:szCs w:val="18"/>
              </w:rPr>
            </w:pPr>
            <w:r w:rsidRPr="00B47CB1">
              <w:rPr>
                <w:rFonts w:eastAsia="Calibri"/>
                <w:b/>
                <w:sz w:val="18"/>
                <w:szCs w:val="18"/>
              </w:rPr>
              <w:t>Geometry-based and histogram-based PET features</w:t>
            </w:r>
          </w:p>
          <w:p w14:paraId="57A067BC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Partial Volume Corrected - Standardized Uptake Value (PVC-SUV) [g/cc]</w:t>
            </w:r>
          </w:p>
          <w:p w14:paraId="3FB87901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maximum Standardized Uptake Value (SUV max) [g/cc]</w:t>
            </w:r>
          </w:p>
          <w:p w14:paraId="2306EFCF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Metabolic Tumor Volume (MTV) [cc]</w:t>
            </w:r>
          </w:p>
          <w:p w14:paraId="5C2AA6DF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Surface [cm^2]</w:t>
            </w:r>
          </w:p>
          <w:p w14:paraId="6B50AE92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Spherical Disproportion</w:t>
            </w:r>
          </w:p>
          <w:p w14:paraId="11461705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Sphericity</w:t>
            </w:r>
          </w:p>
          <w:p w14:paraId="48EDD795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Surface-to-Volume ratio (S/V) [cm^-1]</w:t>
            </w:r>
          </w:p>
          <w:p w14:paraId="677454E1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Maximum [g/cc]</w:t>
            </w:r>
          </w:p>
          <w:p w14:paraId="74E92F33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Minimum [g/cc]</w:t>
            </w:r>
          </w:p>
          <w:p w14:paraId="30C4B436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Mean [g/cc]</w:t>
            </w:r>
          </w:p>
          <w:p w14:paraId="054238B0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Median [g/cc]</w:t>
            </w:r>
          </w:p>
          <w:p w14:paraId="58856CD6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Mean Absolute Deviation (MAD) [g/cc]</w:t>
            </w:r>
          </w:p>
          <w:p w14:paraId="11AD30BA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Root Mean Square (RMS) [g/cc]</w:t>
            </w:r>
          </w:p>
          <w:p w14:paraId="3C330106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Energy [(g/cc)^2]</w:t>
            </w:r>
          </w:p>
          <w:p w14:paraId="0BBB1887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Entropy (</w:t>
            </w:r>
            <w:proofErr w:type="spellStart"/>
            <w:r w:rsidRPr="00B47CB1">
              <w:rPr>
                <w:rFonts w:eastAsia="Calibri"/>
                <w:sz w:val="18"/>
                <w:szCs w:val="18"/>
              </w:rPr>
              <w:t>En</w:t>
            </w:r>
            <w:proofErr w:type="spellEnd"/>
            <w:r w:rsidRPr="00B47CB1">
              <w:rPr>
                <w:rFonts w:eastAsia="Calibri"/>
                <w:sz w:val="18"/>
                <w:szCs w:val="18"/>
              </w:rPr>
              <w:t>)</w:t>
            </w:r>
          </w:p>
          <w:p w14:paraId="23A8A240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Kurtosis</w:t>
            </w:r>
          </w:p>
          <w:p w14:paraId="1765355D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Skewness</w:t>
            </w:r>
          </w:p>
          <w:p w14:paraId="20BCE889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Standard Deviation [g/cc]</w:t>
            </w:r>
          </w:p>
          <w:p w14:paraId="0A3188A5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Uniformity</w:t>
            </w:r>
          </w:p>
          <w:p w14:paraId="2953D040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Variance [(g/cc)^2]</w:t>
            </w:r>
          </w:p>
          <w:p w14:paraId="0F68E478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b/>
                <w:sz w:val="18"/>
                <w:szCs w:val="18"/>
              </w:rPr>
            </w:pPr>
            <w:r w:rsidRPr="00B47CB1">
              <w:rPr>
                <w:rFonts w:eastAsia="Calibri"/>
                <w:b/>
                <w:sz w:val="18"/>
                <w:szCs w:val="18"/>
              </w:rPr>
              <w:t>Grey level co-occurrence</w:t>
            </w:r>
          </w:p>
          <w:p w14:paraId="4611926E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Energy</w:t>
            </w:r>
          </w:p>
          <w:p w14:paraId="2B2B60B3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Contrast</w:t>
            </w:r>
          </w:p>
          <w:p w14:paraId="3A298B98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Entropy</w:t>
            </w:r>
          </w:p>
          <w:p w14:paraId="66DD1484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Homogeneity</w:t>
            </w:r>
          </w:p>
          <w:p w14:paraId="4A690509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Correlation</w:t>
            </w:r>
          </w:p>
          <w:p w14:paraId="39F3187D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proofErr w:type="spellStart"/>
            <w:r w:rsidRPr="00B47CB1">
              <w:rPr>
                <w:rFonts w:eastAsia="Calibri"/>
                <w:sz w:val="18"/>
                <w:szCs w:val="18"/>
              </w:rPr>
              <w:t>SumAverage</w:t>
            </w:r>
            <w:proofErr w:type="spellEnd"/>
          </w:p>
          <w:p w14:paraId="3DFF54AB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Variance</w:t>
            </w:r>
          </w:p>
          <w:p w14:paraId="075FF51F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Dissimilarity</w:t>
            </w:r>
          </w:p>
          <w:p w14:paraId="074B674E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proofErr w:type="spellStart"/>
            <w:r w:rsidRPr="00B47CB1">
              <w:rPr>
                <w:rFonts w:eastAsia="Calibri"/>
                <w:sz w:val="18"/>
                <w:szCs w:val="18"/>
              </w:rPr>
              <w:t>AutoCorrelation</w:t>
            </w:r>
            <w:proofErr w:type="spellEnd"/>
          </w:p>
          <w:p w14:paraId="72C6C1EC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b/>
                <w:sz w:val="18"/>
                <w:szCs w:val="18"/>
              </w:rPr>
            </w:pPr>
            <w:proofErr w:type="spellStart"/>
            <w:r w:rsidRPr="00B47CB1">
              <w:rPr>
                <w:rFonts w:eastAsia="Calibri"/>
                <w:b/>
                <w:sz w:val="18"/>
                <w:szCs w:val="18"/>
              </w:rPr>
              <w:t>Neighbourhood</w:t>
            </w:r>
            <w:proofErr w:type="spellEnd"/>
            <w:r w:rsidRPr="00B47CB1">
              <w:rPr>
                <w:rFonts w:eastAsia="Calibri"/>
                <w:b/>
                <w:sz w:val="18"/>
                <w:szCs w:val="18"/>
              </w:rPr>
              <w:t xml:space="preserve"> grey level difference matrix</w:t>
            </w:r>
          </w:p>
          <w:p w14:paraId="4E0A697A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Coarseness</w:t>
            </w:r>
          </w:p>
          <w:p w14:paraId="007D5925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Contrast</w:t>
            </w:r>
          </w:p>
          <w:p w14:paraId="63D1A287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lastRenderedPageBreak/>
              <w:t>Busyness</w:t>
            </w:r>
          </w:p>
          <w:p w14:paraId="7C54F6D2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Complexity</w:t>
            </w:r>
          </w:p>
          <w:p w14:paraId="628DE387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Strength</w:t>
            </w:r>
          </w:p>
          <w:p w14:paraId="785E9B04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b/>
                <w:sz w:val="18"/>
                <w:szCs w:val="18"/>
              </w:rPr>
            </w:pPr>
            <w:r w:rsidRPr="00B47CB1">
              <w:rPr>
                <w:rFonts w:eastAsia="Calibri"/>
                <w:b/>
                <w:sz w:val="18"/>
                <w:szCs w:val="18"/>
              </w:rPr>
              <w:t>Grey level run length matrix</w:t>
            </w:r>
          </w:p>
          <w:p w14:paraId="606DD4A6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 xml:space="preserve">Short-run emphasis </w:t>
            </w:r>
          </w:p>
          <w:p w14:paraId="7083C93B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 xml:space="preserve">Long-run emphasis </w:t>
            </w:r>
          </w:p>
          <w:p w14:paraId="0ACBCFFA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Low grey level run emphasis</w:t>
            </w:r>
          </w:p>
          <w:p w14:paraId="47F660E4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 xml:space="preserve">High grey level run emphasis </w:t>
            </w:r>
          </w:p>
          <w:p w14:paraId="51EFF813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 xml:space="preserve">Short-run low grey level emphasis </w:t>
            </w:r>
          </w:p>
          <w:p w14:paraId="7E0CC44B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 xml:space="preserve">Short-run high grey level emphasis </w:t>
            </w:r>
          </w:p>
          <w:p w14:paraId="4AD377D1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 xml:space="preserve">Long-run low grey level emphasis </w:t>
            </w:r>
          </w:p>
          <w:p w14:paraId="2DA86F75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 xml:space="preserve">Long-run high grey level emphasis </w:t>
            </w:r>
          </w:p>
          <w:p w14:paraId="31C8AFE0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Grey level non-uniformity for run</w:t>
            </w:r>
          </w:p>
          <w:p w14:paraId="7B0FEC14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 xml:space="preserve">Run length non-uniformity </w:t>
            </w:r>
          </w:p>
          <w:p w14:paraId="2CE0B4F3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Run percentage</w:t>
            </w:r>
          </w:p>
          <w:p w14:paraId="438AA784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GLV</w:t>
            </w:r>
          </w:p>
          <w:p w14:paraId="3949599B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RLV</w:t>
            </w:r>
          </w:p>
          <w:p w14:paraId="4DFF634D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b/>
                <w:sz w:val="18"/>
                <w:szCs w:val="18"/>
              </w:rPr>
            </w:pPr>
            <w:r w:rsidRPr="00B47CB1">
              <w:rPr>
                <w:rFonts w:eastAsia="Calibri"/>
                <w:b/>
                <w:sz w:val="18"/>
                <w:szCs w:val="18"/>
              </w:rPr>
              <w:t>Grey level zone length matrix</w:t>
            </w:r>
          </w:p>
          <w:p w14:paraId="59917290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 xml:space="preserve">Short-zone emphasis </w:t>
            </w:r>
          </w:p>
          <w:p w14:paraId="3BE4E63D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 xml:space="preserve">Long-zone emphasis </w:t>
            </w:r>
          </w:p>
          <w:p w14:paraId="57618987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 xml:space="preserve">Low grey level zone emphasis </w:t>
            </w:r>
          </w:p>
          <w:p w14:paraId="53E5D1F0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 xml:space="preserve">High grey level zone emphasis </w:t>
            </w:r>
          </w:p>
          <w:p w14:paraId="32B3D27C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 xml:space="preserve">Short-zone low grey level emphasis </w:t>
            </w:r>
          </w:p>
          <w:p w14:paraId="379EA0E9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 xml:space="preserve">Short-zone high grey level emphasis </w:t>
            </w:r>
          </w:p>
          <w:p w14:paraId="5B8FD785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Long-zone low grey level emphasis</w:t>
            </w:r>
          </w:p>
          <w:p w14:paraId="384BF118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Long-zone high grey level emphasis</w:t>
            </w:r>
          </w:p>
          <w:p w14:paraId="546CEF26" w14:textId="77777777" w:rsidR="00F06568" w:rsidRPr="00B47CB1" w:rsidRDefault="001A1CFA" w:rsidP="00B47CB1">
            <w:pPr>
              <w:spacing w:line="480" w:lineRule="auto"/>
              <w:jc w:val="both"/>
              <w:rPr>
                <w:rFonts w:eastAsia="Calibri"/>
                <w:sz w:val="18"/>
                <w:szCs w:val="18"/>
              </w:rPr>
            </w:pPr>
            <w:r w:rsidRPr="00B47CB1">
              <w:rPr>
                <w:rFonts w:eastAsia="Calibri"/>
                <w:sz w:val="18"/>
                <w:szCs w:val="18"/>
              </w:rPr>
              <w:t>Grey level non-uniformity for zone</w:t>
            </w:r>
          </w:p>
          <w:p w14:paraId="721F5EF1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  <w:lang w:val="it-IT"/>
              </w:rPr>
            </w:pPr>
            <w:r w:rsidRPr="00B47CB1">
              <w:rPr>
                <w:rFonts w:eastAsia="Calibri"/>
                <w:sz w:val="18"/>
                <w:szCs w:val="18"/>
                <w:lang w:val="it-IT"/>
              </w:rPr>
              <w:t xml:space="preserve">Zone </w:t>
            </w:r>
            <w:proofErr w:type="spellStart"/>
            <w:r w:rsidRPr="00B47CB1">
              <w:rPr>
                <w:rFonts w:eastAsia="Calibri"/>
                <w:sz w:val="18"/>
                <w:szCs w:val="18"/>
                <w:lang w:val="it-IT"/>
              </w:rPr>
              <w:t>length</w:t>
            </w:r>
            <w:proofErr w:type="spellEnd"/>
            <w:r w:rsidRPr="00B47CB1">
              <w:rPr>
                <w:rFonts w:eastAsia="Calibri"/>
                <w:sz w:val="18"/>
                <w:szCs w:val="18"/>
                <w:lang w:val="it-IT"/>
              </w:rPr>
              <w:t xml:space="preserve"> non-</w:t>
            </w:r>
            <w:proofErr w:type="spellStart"/>
            <w:r w:rsidRPr="00B47CB1">
              <w:rPr>
                <w:rFonts w:eastAsia="Calibri"/>
                <w:sz w:val="18"/>
                <w:szCs w:val="18"/>
                <w:lang w:val="it-IT"/>
              </w:rPr>
              <w:t>uniformity</w:t>
            </w:r>
            <w:proofErr w:type="spellEnd"/>
            <w:r w:rsidRPr="00B47CB1">
              <w:rPr>
                <w:rFonts w:eastAsia="Calibri"/>
                <w:sz w:val="18"/>
                <w:szCs w:val="18"/>
                <w:lang w:val="it-IT"/>
              </w:rPr>
              <w:t xml:space="preserve"> </w:t>
            </w:r>
          </w:p>
          <w:p w14:paraId="388A3119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18"/>
                <w:szCs w:val="18"/>
                <w:lang w:val="it-IT"/>
              </w:rPr>
            </w:pPr>
            <w:r w:rsidRPr="00B47CB1">
              <w:rPr>
                <w:rFonts w:eastAsia="Calibri"/>
                <w:sz w:val="18"/>
                <w:szCs w:val="18"/>
                <w:lang w:val="it-IT"/>
              </w:rPr>
              <w:t xml:space="preserve">Zone </w:t>
            </w:r>
            <w:proofErr w:type="spellStart"/>
            <w:r w:rsidRPr="00B47CB1">
              <w:rPr>
                <w:rFonts w:eastAsia="Calibri"/>
                <w:sz w:val="18"/>
                <w:szCs w:val="18"/>
                <w:lang w:val="it-IT"/>
              </w:rPr>
              <w:t>percentage</w:t>
            </w:r>
            <w:proofErr w:type="spellEnd"/>
          </w:p>
          <w:p w14:paraId="288A5524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20"/>
                <w:szCs w:val="20"/>
              </w:rPr>
            </w:pPr>
            <w:r w:rsidRPr="00B47CB1">
              <w:rPr>
                <w:rFonts w:eastAsia="Calibri"/>
                <w:sz w:val="20"/>
                <w:szCs w:val="20"/>
              </w:rPr>
              <w:t>GLV</w:t>
            </w:r>
          </w:p>
          <w:p w14:paraId="5DF0FD60" w14:textId="77777777" w:rsidR="00F06568" w:rsidRPr="00B47CB1" w:rsidRDefault="001A1CFA" w:rsidP="00B47CB1">
            <w:pPr>
              <w:widowControl w:val="0"/>
              <w:spacing w:line="480" w:lineRule="auto"/>
              <w:jc w:val="both"/>
              <w:rPr>
                <w:rFonts w:eastAsia="Calibri"/>
                <w:sz w:val="22"/>
                <w:szCs w:val="22"/>
              </w:rPr>
            </w:pPr>
            <w:r w:rsidRPr="00B47CB1">
              <w:rPr>
                <w:rFonts w:eastAsia="Calibri"/>
                <w:sz w:val="20"/>
                <w:szCs w:val="20"/>
              </w:rPr>
              <w:t>ZSV</w:t>
            </w:r>
          </w:p>
        </w:tc>
      </w:tr>
    </w:tbl>
    <w:p w14:paraId="6F3F6BCA" w14:textId="77777777" w:rsidR="00F06568" w:rsidRPr="00B47CB1" w:rsidRDefault="00F06568" w:rsidP="00B47CB1">
      <w:pPr>
        <w:widowControl w:val="0"/>
        <w:spacing w:after="200" w:line="480" w:lineRule="auto"/>
        <w:jc w:val="both"/>
        <w:rPr>
          <w:rFonts w:eastAsia="Calibri"/>
          <w:sz w:val="22"/>
          <w:szCs w:val="22"/>
        </w:rPr>
      </w:pPr>
    </w:p>
    <w:p w14:paraId="225C9C91" w14:textId="77777777" w:rsidR="00FC0EB7" w:rsidRDefault="00FC0EB7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sz w:val="22"/>
          <w:szCs w:val="22"/>
        </w:rPr>
      </w:pPr>
    </w:p>
    <w:p w14:paraId="6F1705B7" w14:textId="6CF9FC63" w:rsidR="00F06568" w:rsidRPr="00FC0EB7" w:rsidRDefault="001A1CFA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b/>
          <w:color w:val="808080"/>
          <w:sz w:val="20"/>
          <w:szCs w:val="20"/>
        </w:rPr>
      </w:pPr>
      <w:r w:rsidRPr="00FC0EB7">
        <w:rPr>
          <w:rFonts w:eastAsia="Calibri"/>
          <w:b/>
          <w:color w:val="000000"/>
          <w:sz w:val="22"/>
          <w:szCs w:val="22"/>
        </w:rPr>
        <w:lastRenderedPageBreak/>
        <w:t xml:space="preserve">Supplementary Figure 1: Patients with </w:t>
      </w:r>
      <w:r w:rsidR="00FC0EB7" w:rsidRPr="00FC0EB7">
        <w:rPr>
          <w:b/>
          <w:lang w:val="en-GB"/>
        </w:rPr>
        <w:t>adenocarcinoma</w:t>
      </w:r>
      <w:r w:rsidRPr="00FC0EB7">
        <w:rPr>
          <w:rFonts w:eastAsia="Calibri"/>
          <w:b/>
          <w:sz w:val="22"/>
          <w:szCs w:val="22"/>
        </w:rPr>
        <w:t xml:space="preserve"> </w:t>
      </w:r>
      <w:r w:rsidRPr="00FC0EB7">
        <w:rPr>
          <w:rFonts w:eastAsia="Calibri"/>
          <w:b/>
          <w:color w:val="000000"/>
          <w:sz w:val="22"/>
          <w:szCs w:val="22"/>
        </w:rPr>
        <w:t>tumors seem to be more prone to relapse</w:t>
      </w:r>
      <w:r w:rsidRPr="00FC0EB7">
        <w:rPr>
          <w:rFonts w:eastAsia="Calibri"/>
          <w:b/>
          <w:color w:val="000000" w:themeColor="text1"/>
          <w:sz w:val="20"/>
          <w:szCs w:val="20"/>
        </w:rPr>
        <w:t>.</w:t>
      </w:r>
    </w:p>
    <w:p w14:paraId="6143210F" w14:textId="7E5DBBC9" w:rsidR="00F06568" w:rsidRPr="00B47CB1" w:rsidRDefault="001A1CFA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color w:val="000000"/>
          <w:sz w:val="22"/>
          <w:szCs w:val="22"/>
        </w:rPr>
      </w:pPr>
      <w:r w:rsidRPr="00B47CB1">
        <w:rPr>
          <w:rFonts w:eastAsia="Calibri"/>
          <w:color w:val="000000"/>
          <w:sz w:val="22"/>
          <w:szCs w:val="22"/>
        </w:rPr>
        <w:t xml:space="preserve">On the y axis, counts of </w:t>
      </w:r>
      <w:r w:rsidR="00FC0EB7" w:rsidRPr="000E019C">
        <w:rPr>
          <w:lang w:val="en-GB"/>
        </w:rPr>
        <w:t>adenocarcinoma (</w:t>
      </w:r>
      <w:sdt>
        <w:sdtPr>
          <w:rPr>
            <w:lang w:val="en-GB"/>
          </w:rPr>
          <w:tag w:val="goog_rdk_3"/>
          <w:id w:val="1449046266"/>
        </w:sdtPr>
        <w:sdtEndPr/>
        <w:sdtContent/>
      </w:sdt>
      <w:sdt>
        <w:sdtPr>
          <w:rPr>
            <w:lang w:val="en-GB"/>
          </w:rPr>
          <w:tag w:val="goog_rdk_4"/>
          <w:id w:val="-608586920"/>
        </w:sdtPr>
        <w:sdtEndPr/>
        <w:sdtContent/>
      </w:sdt>
      <w:r w:rsidR="00FC0EB7" w:rsidRPr="000E019C">
        <w:rPr>
          <w:lang w:val="en-GB"/>
        </w:rPr>
        <w:t>AC)</w:t>
      </w:r>
      <w:r w:rsidRPr="00B47CB1">
        <w:rPr>
          <w:rFonts w:eastAsia="Calibri"/>
          <w:color w:val="000000"/>
          <w:sz w:val="22"/>
          <w:szCs w:val="22"/>
        </w:rPr>
        <w:t xml:space="preserve"> or </w:t>
      </w:r>
      <w:r w:rsidR="00FC0EB7" w:rsidRPr="000E019C">
        <w:rPr>
          <w:lang w:val="en-GB"/>
        </w:rPr>
        <w:t xml:space="preserve">squamous cell carcinoma (SQC) </w:t>
      </w:r>
      <w:r w:rsidRPr="00B47CB1">
        <w:rPr>
          <w:rFonts w:eastAsia="Calibri"/>
          <w:color w:val="000000"/>
          <w:sz w:val="22"/>
          <w:szCs w:val="22"/>
        </w:rPr>
        <w:t>tumors are reported, subdivided between relapsing and non-relapsing patients (P= 0.032; if corrected for age, sex, and smoking status, P=0.026).</w:t>
      </w:r>
    </w:p>
    <w:p w14:paraId="675825B9" w14:textId="77777777" w:rsidR="00F06568" w:rsidRPr="00B47CB1" w:rsidRDefault="001A1CFA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color w:val="000000"/>
          <w:sz w:val="22"/>
          <w:szCs w:val="22"/>
        </w:rPr>
      </w:pPr>
      <w:r w:rsidRPr="00B47CB1">
        <w:rPr>
          <w:noProof/>
        </w:rPr>
        <w:drawing>
          <wp:anchor distT="152400" distB="152400" distL="152400" distR="152400" simplePos="0" relativeHeight="251658240" behindDoc="0" locked="0" layoutInCell="1" hidden="0" allowOverlap="1" wp14:anchorId="2F478127" wp14:editId="65328C15">
            <wp:simplePos x="0" y="0"/>
            <wp:positionH relativeFrom="column">
              <wp:posOffset>718280</wp:posOffset>
            </wp:positionH>
            <wp:positionV relativeFrom="paragraph">
              <wp:posOffset>199914</wp:posOffset>
            </wp:positionV>
            <wp:extent cx="2335398" cy="2387425"/>
            <wp:effectExtent l="0" t="0" r="0" b="0"/>
            <wp:wrapSquare wrapText="bothSides" distT="152400" distB="152400" distL="152400" distR="152400"/>
            <wp:docPr id="107374183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35398" cy="23874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BAC0BEA" w14:textId="77777777" w:rsidR="00F06568" w:rsidRPr="00B47CB1" w:rsidRDefault="00F06568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color w:val="000000"/>
          <w:sz w:val="22"/>
          <w:szCs w:val="22"/>
        </w:rPr>
      </w:pPr>
    </w:p>
    <w:p w14:paraId="5251E474" w14:textId="77777777" w:rsidR="00F06568" w:rsidRPr="00B47CB1" w:rsidRDefault="00F06568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color w:val="000000"/>
          <w:sz w:val="22"/>
          <w:szCs w:val="22"/>
        </w:rPr>
      </w:pPr>
    </w:p>
    <w:p w14:paraId="2AB604D1" w14:textId="77777777" w:rsidR="00F06568" w:rsidRPr="00B47CB1" w:rsidRDefault="00F06568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color w:val="000000"/>
          <w:sz w:val="22"/>
          <w:szCs w:val="22"/>
        </w:rPr>
      </w:pPr>
    </w:p>
    <w:p w14:paraId="23E39521" w14:textId="77777777" w:rsidR="00F06568" w:rsidRPr="00B47CB1" w:rsidRDefault="00F06568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color w:val="000000"/>
          <w:sz w:val="22"/>
          <w:szCs w:val="22"/>
        </w:rPr>
      </w:pPr>
    </w:p>
    <w:p w14:paraId="6CDCC63D" w14:textId="77777777" w:rsidR="00F06568" w:rsidRPr="00B47CB1" w:rsidRDefault="00F06568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color w:val="000000"/>
          <w:sz w:val="22"/>
          <w:szCs w:val="22"/>
        </w:rPr>
      </w:pPr>
    </w:p>
    <w:p w14:paraId="6CADF54A" w14:textId="77777777" w:rsidR="00F06568" w:rsidRPr="00B47CB1" w:rsidRDefault="00F06568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color w:val="000000"/>
          <w:sz w:val="22"/>
          <w:szCs w:val="22"/>
        </w:rPr>
      </w:pPr>
    </w:p>
    <w:p w14:paraId="68A7FDB5" w14:textId="77777777" w:rsidR="00F06568" w:rsidRPr="00B47CB1" w:rsidRDefault="00F06568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color w:val="000000"/>
          <w:sz w:val="22"/>
          <w:szCs w:val="22"/>
        </w:rPr>
      </w:pPr>
    </w:p>
    <w:p w14:paraId="0FBD0344" w14:textId="77777777" w:rsidR="00F06568" w:rsidRPr="00B47CB1" w:rsidRDefault="00F06568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color w:val="000000"/>
          <w:sz w:val="22"/>
          <w:szCs w:val="22"/>
        </w:rPr>
      </w:pPr>
    </w:p>
    <w:p w14:paraId="6132FA81" w14:textId="77777777" w:rsidR="00F06568" w:rsidRPr="00B47CB1" w:rsidRDefault="00F06568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color w:val="000000"/>
          <w:sz w:val="22"/>
          <w:szCs w:val="22"/>
        </w:rPr>
      </w:pPr>
    </w:p>
    <w:p w14:paraId="7BC1068B" w14:textId="77777777" w:rsidR="00F06568" w:rsidRPr="00B47CB1" w:rsidRDefault="00F06568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color w:val="000000"/>
          <w:sz w:val="22"/>
          <w:szCs w:val="22"/>
        </w:rPr>
      </w:pPr>
    </w:p>
    <w:p w14:paraId="372500FA" w14:textId="77777777" w:rsidR="00F06568" w:rsidRPr="00B47CB1" w:rsidRDefault="00F06568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color w:val="000000"/>
          <w:sz w:val="22"/>
          <w:szCs w:val="22"/>
        </w:rPr>
      </w:pPr>
    </w:p>
    <w:p w14:paraId="21A341AD" w14:textId="77777777" w:rsidR="00F06568" w:rsidRPr="00B47CB1" w:rsidRDefault="00F06568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color w:val="000000"/>
          <w:sz w:val="22"/>
          <w:szCs w:val="22"/>
        </w:rPr>
      </w:pPr>
    </w:p>
    <w:p w14:paraId="0F1B4EEF" w14:textId="77777777" w:rsidR="00F06568" w:rsidRPr="00B47CB1" w:rsidRDefault="001A1CFA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Helvetica Neue"/>
          <w:color w:val="000000"/>
          <w:sz w:val="22"/>
          <w:szCs w:val="22"/>
        </w:rPr>
      </w:pPr>
      <w:r w:rsidRPr="00B47CB1">
        <w:br w:type="page"/>
      </w:r>
    </w:p>
    <w:p w14:paraId="25AFEC6F" w14:textId="77777777" w:rsidR="00F06568" w:rsidRPr="00B47CB1" w:rsidRDefault="001A1CFA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b/>
          <w:color w:val="000000"/>
          <w:sz w:val="22"/>
          <w:szCs w:val="22"/>
        </w:rPr>
      </w:pPr>
      <w:r w:rsidRPr="00B47CB1">
        <w:rPr>
          <w:rFonts w:eastAsia="Calibri"/>
          <w:b/>
          <w:color w:val="000000"/>
          <w:sz w:val="22"/>
          <w:szCs w:val="22"/>
        </w:rPr>
        <w:lastRenderedPageBreak/>
        <w:t>Supplementary figure 2. Overall survival and time-to-relapse analyses.</w:t>
      </w:r>
    </w:p>
    <w:p w14:paraId="690E2E58" w14:textId="20CCEFF0" w:rsidR="00F06568" w:rsidRPr="00B47CB1" w:rsidRDefault="001A1CFA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color w:val="000000"/>
          <w:sz w:val="22"/>
          <w:szCs w:val="22"/>
        </w:rPr>
      </w:pPr>
      <w:r w:rsidRPr="00B47CB1">
        <w:rPr>
          <w:rFonts w:eastAsia="Calibri"/>
          <w:color w:val="000000"/>
          <w:sz w:val="22"/>
          <w:szCs w:val="22"/>
        </w:rPr>
        <w:t xml:space="preserve">Kaplan–Meier curves for overall survival (left) or time-to-relapse (right) of 151 lung-cancer patients, classified according to their </w:t>
      </w:r>
      <w:proofErr w:type="spellStart"/>
      <w:r w:rsidRPr="00B47CB1">
        <w:rPr>
          <w:rFonts w:eastAsia="Calibri"/>
          <w:color w:val="000000"/>
          <w:sz w:val="22"/>
          <w:szCs w:val="22"/>
        </w:rPr>
        <w:t>histotype</w:t>
      </w:r>
      <w:proofErr w:type="spellEnd"/>
      <w:r w:rsidRPr="00B47CB1">
        <w:rPr>
          <w:rFonts w:eastAsia="Calibri"/>
          <w:color w:val="000000"/>
          <w:sz w:val="22"/>
          <w:szCs w:val="22"/>
        </w:rPr>
        <w:t xml:space="preserve"> (</w:t>
      </w:r>
      <w:r w:rsidR="00E30B0D">
        <w:rPr>
          <w:rFonts w:eastAsia="Calibri"/>
          <w:color w:val="000000"/>
          <w:sz w:val="22"/>
          <w:szCs w:val="22"/>
        </w:rPr>
        <w:t xml:space="preserve">AC: </w:t>
      </w:r>
      <w:r w:rsidR="00E30B0D" w:rsidRPr="000E019C">
        <w:rPr>
          <w:lang w:val="en-GB"/>
        </w:rPr>
        <w:t>adenocarcinoma</w:t>
      </w:r>
      <w:r w:rsidR="00E30B0D">
        <w:rPr>
          <w:rFonts w:eastAsia="Calibri"/>
          <w:color w:val="000000"/>
          <w:sz w:val="22"/>
          <w:szCs w:val="22"/>
          <w:lang w:val="en-GB"/>
        </w:rPr>
        <w:t>; SQC:</w:t>
      </w:r>
      <w:r w:rsidR="00E30B0D">
        <w:rPr>
          <w:rFonts w:eastAsia="Calibri"/>
          <w:color w:val="000000"/>
          <w:sz w:val="22"/>
          <w:szCs w:val="22"/>
        </w:rPr>
        <w:t xml:space="preserve"> </w:t>
      </w:r>
      <w:r w:rsidR="00E30B0D" w:rsidRPr="000E019C">
        <w:rPr>
          <w:lang w:val="en-GB"/>
        </w:rPr>
        <w:t>squamous cell carcinoma</w:t>
      </w:r>
      <w:r w:rsidRPr="00B47CB1">
        <w:rPr>
          <w:rFonts w:eastAsia="Calibri"/>
          <w:color w:val="000000"/>
          <w:sz w:val="22"/>
          <w:szCs w:val="22"/>
        </w:rPr>
        <w:t>). Log-rank test P value is indicated.</w:t>
      </w:r>
    </w:p>
    <w:p w14:paraId="6014E5DF" w14:textId="77777777" w:rsidR="00F06568" w:rsidRPr="00B47CB1" w:rsidRDefault="00F06568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color w:val="000000"/>
          <w:sz w:val="22"/>
          <w:szCs w:val="22"/>
        </w:rPr>
      </w:pPr>
    </w:p>
    <w:p w14:paraId="1CC3782D" w14:textId="77777777" w:rsidR="00F06568" w:rsidRPr="00B47CB1" w:rsidRDefault="001A1CFA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color w:val="000000"/>
          <w:sz w:val="22"/>
          <w:szCs w:val="22"/>
        </w:rPr>
      </w:pPr>
      <w:r w:rsidRPr="00B47CB1">
        <w:rPr>
          <w:noProof/>
        </w:rPr>
        <w:drawing>
          <wp:anchor distT="152400" distB="152400" distL="152400" distR="152400" simplePos="0" relativeHeight="251659264" behindDoc="0" locked="0" layoutInCell="1" hidden="0" allowOverlap="1" wp14:anchorId="5F34F671" wp14:editId="0DDF2DB6">
            <wp:simplePos x="0" y="0"/>
            <wp:positionH relativeFrom="column">
              <wp:posOffset>-6349</wp:posOffset>
            </wp:positionH>
            <wp:positionV relativeFrom="paragraph">
              <wp:posOffset>312240</wp:posOffset>
            </wp:positionV>
            <wp:extent cx="6332221" cy="3543028"/>
            <wp:effectExtent l="0" t="0" r="0" b="0"/>
            <wp:wrapSquare wrapText="bothSides" distT="152400" distB="152400" distL="152400" distR="152400"/>
            <wp:docPr id="1073741835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32221" cy="354302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1E619DC" w14:textId="77777777" w:rsidR="00F06568" w:rsidRPr="00B47CB1" w:rsidRDefault="00F06568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color w:val="000000"/>
          <w:sz w:val="22"/>
          <w:szCs w:val="22"/>
        </w:rPr>
      </w:pPr>
    </w:p>
    <w:p w14:paraId="437AD9A6" w14:textId="77777777" w:rsidR="00F06568" w:rsidRPr="00B47CB1" w:rsidRDefault="00F06568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color w:val="000000"/>
          <w:sz w:val="22"/>
          <w:szCs w:val="22"/>
        </w:rPr>
      </w:pPr>
    </w:p>
    <w:p w14:paraId="5AFC8F24" w14:textId="77777777" w:rsidR="00F06568" w:rsidRPr="00B47CB1" w:rsidRDefault="00F06568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Helvetica Neue"/>
          <w:color w:val="000000"/>
          <w:sz w:val="22"/>
          <w:szCs w:val="22"/>
        </w:rPr>
      </w:pPr>
    </w:p>
    <w:p w14:paraId="260C501D" w14:textId="77777777" w:rsidR="00F06568" w:rsidRPr="00B47CB1" w:rsidRDefault="001A1CFA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Helvetica Neue"/>
          <w:color w:val="000000"/>
          <w:sz w:val="22"/>
          <w:szCs w:val="22"/>
        </w:rPr>
      </w:pPr>
      <w:r w:rsidRPr="00B47CB1">
        <w:br w:type="page"/>
      </w:r>
    </w:p>
    <w:p w14:paraId="416A41ED" w14:textId="70FB202E" w:rsidR="00F06568" w:rsidRPr="00B47CB1" w:rsidRDefault="001A1CFA" w:rsidP="00B47CB1">
      <w:pPr>
        <w:spacing w:after="200" w:line="480" w:lineRule="auto"/>
        <w:jc w:val="both"/>
        <w:rPr>
          <w:rFonts w:eastAsia="Calibri"/>
          <w:sz w:val="22"/>
          <w:szCs w:val="22"/>
          <w:highlight w:val="yellow"/>
        </w:rPr>
      </w:pPr>
      <w:r w:rsidRPr="00B47CB1">
        <w:rPr>
          <w:rFonts w:eastAsia="Calibri"/>
          <w:b/>
          <w:sz w:val="22"/>
          <w:szCs w:val="22"/>
        </w:rPr>
        <w:lastRenderedPageBreak/>
        <w:t>Supplementary Figure 3: Waterfall plot representing the top 142 known-driver or likely-pathogenic mutations detected in the 74 analyzed lung cancer samples.</w:t>
      </w:r>
      <w:r w:rsidRPr="00B47CB1">
        <w:rPr>
          <w:rFonts w:eastAsia="Calibri"/>
          <w:sz w:val="22"/>
          <w:szCs w:val="22"/>
        </w:rPr>
        <w:t xml:space="preserve"> Each column represents a sample and each row a gene. Mutations are colored according to the predicted functional consequence. The plot was generated using the </w:t>
      </w:r>
      <w:proofErr w:type="spellStart"/>
      <w:r w:rsidRPr="00B47CB1">
        <w:rPr>
          <w:rFonts w:eastAsia="Calibri"/>
          <w:sz w:val="22"/>
          <w:szCs w:val="22"/>
        </w:rPr>
        <w:t>GenVisR</w:t>
      </w:r>
      <w:proofErr w:type="spellEnd"/>
      <w:r w:rsidRPr="00B47CB1">
        <w:rPr>
          <w:rFonts w:eastAsia="Calibri"/>
          <w:sz w:val="22"/>
          <w:szCs w:val="22"/>
        </w:rPr>
        <w:t xml:space="preserve"> Bioconductor package</w:t>
      </w:r>
      <w:r w:rsidR="00DA7261">
        <w:rPr>
          <w:rFonts w:eastAsia="Calibri"/>
          <w:sz w:val="22"/>
          <w:szCs w:val="22"/>
        </w:rPr>
        <w:t xml:space="preserve"> </w:t>
      </w:r>
      <w:r w:rsidR="00DA7261">
        <w:rPr>
          <w:rFonts w:eastAsia="Calibri"/>
          <w:sz w:val="22"/>
          <w:szCs w:val="22"/>
        </w:rPr>
        <w:fldChar w:fldCharType="begin" w:fldLock="1"/>
      </w:r>
      <w:r w:rsidR="003F4BC1">
        <w:rPr>
          <w:rFonts w:eastAsia="Calibri"/>
          <w:sz w:val="22"/>
          <w:szCs w:val="22"/>
        </w:rPr>
        <w:instrText>ADDIN CSL_CITATION {"citationItems":[{"id":"ITEM-1","itemData":{"DOI":"10.1093/bioinformatics/btw325","ISSN":"1367-4811","PMID":"27288499","abstract":"UNLABELLED Visualizing and summarizing data from genomic studies continues to be a challenge. Here, we introduce the GenVisR package to addresses this challenge by providing highly customizable, publication-quality graphics focused on cohort level genome analyses. GenVisR provides a rapid and easy-to-use suite of genomic visualization tools, while maintaining a high degree of flexibility by leveraging the abilities of ggplot2 and Bioconductor. AVAILABILITY AND IMPLEMENTATION GenVisR is an R package available via Bioconductor (https://bioconductor.org/packages/GenVisR) under GPLv3. Support is available via GitHub (https://github.com/griffithlab/GenVisR/issues) and the Bioconductor support website. CONTACTS obigriffith@wustl.edu or mgriffit@wustl.edu SUPPLEMENTARY INFORMATION Supplementary data are available at Bioinformatics online.","author":[{"dropping-particle":"","family":"Skidmore","given":"Zachary L","non-dropping-particle":"","parse-names":false,"suffix":""},{"dropping-particle":"","family":"Wagner","given":"Alex H","non-dropping-particle":"","parse-names":false,"suffix":""},{"dropping-particle":"","family":"Lesurf","given":"Robert","non-dropping-particle":"","parse-names":false,"suffix":""},{"dropping-particle":"","family":"Campbell","given":"Katie M","non-dropping-particle":"","parse-names":false,"suffix":""},{"dropping-particle":"","family":"Kunisaki","given":"Jason","non-dropping-particle":"","parse-names":false,"suffix":""},{"dropping-particle":"","family":"Griffith","given":"Obi L","non-dropping-particle":"","parse-names":false,"suffix":""},{"dropping-particle":"","family":"Griffith","given":"Malachi","non-dropping-particle":"","parse-names":false,"suffix":""}],"container-title":"Bioinformatics (Oxford, England)","id":"ITEM-1","issue":"19","issued":{"date-parts":[["2016"]]},"page":"3012-4","publisher":"Bioinformatics","title":"GenVisR: Genomic Visualizations in R.","type":"article-journal","volume":"32"},"uris":["http://www.mendeley.com/documents/?uuid=af8b2528-3d7b-3b50-bcbc-067a150dc5c2"]}],"mendeley":{"formattedCitation":"[1]","plainTextFormattedCitation":"[1]","previouslyFormattedCitation":"[1]"},"properties":{"noteIndex":0},"schema":"https://github.com/citation-style-language/schema/raw/master/csl-citation.json"}</w:instrText>
      </w:r>
      <w:r w:rsidR="00DA7261">
        <w:rPr>
          <w:rFonts w:eastAsia="Calibri"/>
          <w:sz w:val="22"/>
          <w:szCs w:val="22"/>
        </w:rPr>
        <w:fldChar w:fldCharType="separate"/>
      </w:r>
      <w:r w:rsidR="00DA7261" w:rsidRPr="00DA7261">
        <w:rPr>
          <w:rFonts w:eastAsia="Calibri"/>
          <w:noProof/>
          <w:sz w:val="22"/>
          <w:szCs w:val="22"/>
        </w:rPr>
        <w:t>[1]</w:t>
      </w:r>
      <w:r w:rsidR="00DA7261">
        <w:rPr>
          <w:rFonts w:eastAsia="Calibri"/>
          <w:sz w:val="22"/>
          <w:szCs w:val="22"/>
        </w:rPr>
        <w:fldChar w:fldCharType="end"/>
      </w:r>
      <w:r w:rsidR="00DA7261">
        <w:rPr>
          <w:rFonts w:eastAsia="Calibri"/>
          <w:sz w:val="22"/>
          <w:szCs w:val="22"/>
        </w:rPr>
        <w:t>.</w:t>
      </w:r>
      <w:r w:rsidRPr="00B47CB1">
        <w:rPr>
          <w:rFonts w:eastAsia="Calibri"/>
          <w:sz w:val="22"/>
          <w:szCs w:val="22"/>
        </w:rPr>
        <w:t xml:space="preserve"> </w:t>
      </w:r>
    </w:p>
    <w:p w14:paraId="246FEF53" w14:textId="77777777" w:rsidR="00F06568" w:rsidRPr="00B47CB1" w:rsidRDefault="00F06568" w:rsidP="00B47CB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eastAsia="Helvetica Neue"/>
          <w:color w:val="808080"/>
          <w:sz w:val="20"/>
          <w:szCs w:val="20"/>
        </w:rPr>
      </w:pPr>
    </w:p>
    <w:p w14:paraId="753D0EE7" w14:textId="77777777" w:rsidR="00F06568" w:rsidRPr="00B47CB1" w:rsidRDefault="00F06568" w:rsidP="00B47CB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eastAsia="Helvetica Neue"/>
          <w:color w:val="808080"/>
          <w:sz w:val="20"/>
          <w:szCs w:val="20"/>
        </w:rPr>
      </w:pPr>
    </w:p>
    <w:p w14:paraId="4271A642" w14:textId="77777777" w:rsidR="00F06568" w:rsidRPr="00B47CB1" w:rsidRDefault="001A1CFA" w:rsidP="00B47CB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eastAsia="Helvetica Neue"/>
          <w:color w:val="808080"/>
          <w:sz w:val="20"/>
          <w:szCs w:val="20"/>
        </w:rPr>
      </w:pPr>
      <w:r w:rsidRPr="00B47CB1">
        <w:rPr>
          <w:noProof/>
        </w:rPr>
        <w:drawing>
          <wp:anchor distT="152400" distB="152400" distL="152400" distR="152400" simplePos="0" relativeHeight="251661312" behindDoc="0" locked="0" layoutInCell="1" hidden="0" allowOverlap="1" wp14:anchorId="45E95EBB" wp14:editId="24E40DF1">
            <wp:simplePos x="0" y="0"/>
            <wp:positionH relativeFrom="column">
              <wp:posOffset>152400</wp:posOffset>
            </wp:positionH>
            <wp:positionV relativeFrom="paragraph">
              <wp:posOffset>309938</wp:posOffset>
            </wp:positionV>
            <wp:extent cx="5517677" cy="4138258"/>
            <wp:effectExtent l="0" t="0" r="0" b="0"/>
            <wp:wrapSquare wrapText="bothSides" distT="152400" distB="152400" distL="152400" distR="152400"/>
            <wp:docPr id="107374183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17677" cy="413825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D041303" w14:textId="77777777" w:rsidR="00F06568" w:rsidRPr="00B47CB1" w:rsidRDefault="00F06568" w:rsidP="00B47CB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eastAsia="Helvetica Neue"/>
          <w:color w:val="808080"/>
          <w:sz w:val="20"/>
          <w:szCs w:val="20"/>
        </w:rPr>
      </w:pPr>
    </w:p>
    <w:p w14:paraId="405A162F" w14:textId="77777777" w:rsidR="00F06568" w:rsidRPr="00B47CB1" w:rsidRDefault="00F06568" w:rsidP="00B47CB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eastAsia="Helvetica Neue"/>
          <w:color w:val="808080"/>
          <w:sz w:val="20"/>
          <w:szCs w:val="20"/>
        </w:rPr>
      </w:pPr>
    </w:p>
    <w:p w14:paraId="5B11D679" w14:textId="77777777" w:rsidR="00F06568" w:rsidRPr="00B47CB1" w:rsidRDefault="00F06568" w:rsidP="00B47CB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eastAsia="Helvetica Neue"/>
          <w:color w:val="000000"/>
          <w:sz w:val="21"/>
          <w:szCs w:val="21"/>
        </w:rPr>
      </w:pPr>
    </w:p>
    <w:p w14:paraId="565DD226" w14:textId="77777777" w:rsidR="00F06568" w:rsidRPr="00B47CB1" w:rsidRDefault="00F06568" w:rsidP="00B47CB1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eastAsia="Helvetica Neue"/>
          <w:color w:val="808080"/>
          <w:sz w:val="21"/>
          <w:szCs w:val="21"/>
        </w:rPr>
      </w:pPr>
    </w:p>
    <w:p w14:paraId="79418F40" w14:textId="77777777" w:rsidR="00DA7261" w:rsidRDefault="00DA7261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</w:pPr>
    </w:p>
    <w:p w14:paraId="1514C091" w14:textId="77777777" w:rsidR="00DA7261" w:rsidRDefault="00DA7261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b/>
          <w:color w:val="000000"/>
          <w:sz w:val="22"/>
          <w:szCs w:val="22"/>
        </w:rPr>
      </w:pPr>
    </w:p>
    <w:p w14:paraId="06BCEAA5" w14:textId="77777777" w:rsidR="00DA7261" w:rsidRDefault="00DA7261" w:rsidP="00DA726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b/>
          <w:color w:val="000000"/>
          <w:sz w:val="22"/>
          <w:szCs w:val="22"/>
        </w:rPr>
      </w:pPr>
    </w:p>
    <w:p w14:paraId="5C4D0C52" w14:textId="77777777" w:rsidR="00DA7261" w:rsidRDefault="00DA7261" w:rsidP="00DA726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b/>
          <w:color w:val="000000"/>
          <w:sz w:val="22"/>
          <w:szCs w:val="22"/>
        </w:rPr>
      </w:pPr>
    </w:p>
    <w:p w14:paraId="00037070" w14:textId="77777777" w:rsidR="00DA7261" w:rsidRDefault="00DA7261" w:rsidP="00DA726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b/>
          <w:color w:val="000000"/>
          <w:sz w:val="22"/>
          <w:szCs w:val="22"/>
        </w:rPr>
      </w:pPr>
    </w:p>
    <w:p w14:paraId="6E977B54" w14:textId="77777777" w:rsidR="00DA7261" w:rsidRDefault="00DA7261" w:rsidP="00DA726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b/>
          <w:color w:val="000000"/>
          <w:sz w:val="22"/>
          <w:szCs w:val="22"/>
        </w:rPr>
      </w:pPr>
    </w:p>
    <w:p w14:paraId="2F04EAAA" w14:textId="77777777" w:rsidR="00DA7261" w:rsidRDefault="00DA7261" w:rsidP="00DA726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b/>
          <w:color w:val="000000"/>
          <w:sz w:val="22"/>
          <w:szCs w:val="22"/>
        </w:rPr>
      </w:pPr>
    </w:p>
    <w:p w14:paraId="461A2D21" w14:textId="77777777" w:rsidR="00DA7261" w:rsidRDefault="00DA7261" w:rsidP="00DA726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b/>
          <w:color w:val="000000"/>
          <w:sz w:val="22"/>
          <w:szCs w:val="22"/>
        </w:rPr>
      </w:pPr>
    </w:p>
    <w:p w14:paraId="070FB93B" w14:textId="77777777" w:rsidR="00DA7261" w:rsidRDefault="00DA7261" w:rsidP="00DA726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b/>
          <w:color w:val="000000"/>
          <w:sz w:val="22"/>
          <w:szCs w:val="22"/>
        </w:rPr>
      </w:pPr>
    </w:p>
    <w:p w14:paraId="553ABEFC" w14:textId="77777777" w:rsidR="00DA7261" w:rsidRDefault="00DA7261" w:rsidP="00DA726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b/>
          <w:color w:val="000000"/>
          <w:sz w:val="22"/>
          <w:szCs w:val="22"/>
        </w:rPr>
      </w:pPr>
    </w:p>
    <w:p w14:paraId="0BF5614F" w14:textId="77777777" w:rsidR="00DA7261" w:rsidRDefault="00DA7261" w:rsidP="00DA726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b/>
          <w:color w:val="000000"/>
          <w:sz w:val="22"/>
          <w:szCs w:val="22"/>
        </w:rPr>
      </w:pPr>
    </w:p>
    <w:p w14:paraId="057A5B99" w14:textId="77777777" w:rsidR="00DA7261" w:rsidRDefault="00DA7261" w:rsidP="00DA726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b/>
          <w:color w:val="000000"/>
          <w:sz w:val="22"/>
          <w:szCs w:val="22"/>
        </w:rPr>
      </w:pPr>
    </w:p>
    <w:p w14:paraId="582C45E7" w14:textId="5E388F6A" w:rsidR="00DA7261" w:rsidRPr="00B47CB1" w:rsidRDefault="00DA7261" w:rsidP="00DA726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b/>
          <w:color w:val="000000"/>
          <w:sz w:val="22"/>
          <w:szCs w:val="22"/>
        </w:rPr>
      </w:pPr>
      <w:r>
        <w:rPr>
          <w:rFonts w:eastAsia="Calibri"/>
          <w:b/>
          <w:color w:val="000000"/>
          <w:sz w:val="22"/>
          <w:szCs w:val="22"/>
        </w:rPr>
        <w:lastRenderedPageBreak/>
        <w:t>S</w:t>
      </w:r>
      <w:r w:rsidRPr="00B47CB1">
        <w:rPr>
          <w:rFonts w:eastAsia="Calibri"/>
          <w:b/>
          <w:color w:val="000000"/>
          <w:sz w:val="22"/>
          <w:szCs w:val="22"/>
        </w:rPr>
        <w:t xml:space="preserve">upplementary Figure </w:t>
      </w:r>
      <w:r w:rsidRPr="00B47CB1">
        <w:rPr>
          <w:rFonts w:eastAsia="Calibri"/>
          <w:b/>
          <w:sz w:val="22"/>
          <w:szCs w:val="22"/>
        </w:rPr>
        <w:t>4</w:t>
      </w:r>
      <w:r w:rsidRPr="00B47CB1">
        <w:rPr>
          <w:rFonts w:eastAsia="Calibri"/>
          <w:b/>
          <w:color w:val="000000"/>
          <w:sz w:val="22"/>
          <w:szCs w:val="22"/>
        </w:rPr>
        <w:t xml:space="preserve">. Principal Component Analysis (PCA) plot on </w:t>
      </w:r>
      <w:proofErr w:type="spellStart"/>
      <w:r w:rsidRPr="00B47CB1">
        <w:rPr>
          <w:rFonts w:eastAsia="Calibri"/>
          <w:b/>
          <w:color w:val="000000"/>
          <w:sz w:val="22"/>
          <w:szCs w:val="22"/>
        </w:rPr>
        <w:t>RNAseq</w:t>
      </w:r>
      <w:proofErr w:type="spellEnd"/>
      <w:r w:rsidRPr="00B47CB1">
        <w:rPr>
          <w:rFonts w:eastAsia="Calibri"/>
          <w:b/>
          <w:color w:val="000000"/>
          <w:sz w:val="22"/>
          <w:szCs w:val="22"/>
        </w:rPr>
        <w:t xml:space="preserve"> data. </w:t>
      </w:r>
      <w:r w:rsidRPr="00B47CB1">
        <w:rPr>
          <w:rFonts w:eastAsia="Calibri"/>
          <w:color w:val="000000"/>
          <w:sz w:val="22"/>
          <w:szCs w:val="22"/>
        </w:rPr>
        <w:t xml:space="preserve">PCA was calculated with DESeq2 Bioconductor package, using the </w:t>
      </w:r>
      <w:proofErr w:type="spellStart"/>
      <w:r w:rsidRPr="00B47CB1">
        <w:rPr>
          <w:rFonts w:eastAsia="Calibri"/>
          <w:color w:val="000000"/>
          <w:sz w:val="22"/>
          <w:szCs w:val="22"/>
        </w:rPr>
        <w:t>plotPCA</w:t>
      </w:r>
      <w:proofErr w:type="spellEnd"/>
      <w:r w:rsidRPr="00B47CB1">
        <w:rPr>
          <w:rFonts w:eastAsia="Calibri"/>
          <w:color w:val="000000"/>
          <w:sz w:val="22"/>
          <w:szCs w:val="22"/>
        </w:rPr>
        <w:t xml:space="preserve"> function on the variance-stabilized transformed data. The plot was generated with </w:t>
      </w:r>
      <w:proofErr w:type="spellStart"/>
      <w:r w:rsidRPr="00B47CB1">
        <w:rPr>
          <w:rFonts w:eastAsia="Calibri"/>
          <w:color w:val="000000"/>
          <w:sz w:val="22"/>
          <w:szCs w:val="22"/>
        </w:rPr>
        <w:t>ggplot</w:t>
      </w:r>
      <w:proofErr w:type="spellEnd"/>
      <w:r w:rsidRPr="00B47CB1">
        <w:rPr>
          <w:rFonts w:eastAsia="Calibri"/>
          <w:color w:val="000000"/>
          <w:sz w:val="22"/>
          <w:szCs w:val="22"/>
        </w:rPr>
        <w:t xml:space="preserve"> and shows the distribution of the 80 samples based on the their first two principal components. The </w:t>
      </w:r>
      <w:proofErr w:type="spellStart"/>
      <w:r w:rsidRPr="00B47CB1">
        <w:rPr>
          <w:rFonts w:eastAsia="Calibri"/>
          <w:color w:val="000000"/>
          <w:sz w:val="22"/>
          <w:szCs w:val="22"/>
        </w:rPr>
        <w:t>histotypes</w:t>
      </w:r>
      <w:proofErr w:type="spellEnd"/>
      <w:r w:rsidRPr="00B47CB1">
        <w:rPr>
          <w:rFonts w:eastAsia="Calibri"/>
          <w:color w:val="000000"/>
          <w:sz w:val="22"/>
          <w:szCs w:val="22"/>
        </w:rPr>
        <w:t xml:space="preserve"> (normal</w:t>
      </w:r>
      <w:r>
        <w:rPr>
          <w:rFonts w:eastAsia="Calibri"/>
          <w:color w:val="000000"/>
          <w:sz w:val="22"/>
          <w:szCs w:val="22"/>
        </w:rPr>
        <w:t>;</w:t>
      </w:r>
      <w:r w:rsidRPr="00B47CB1">
        <w:rPr>
          <w:rFonts w:eastAsia="Calibri"/>
          <w:color w:val="000000"/>
          <w:sz w:val="22"/>
          <w:szCs w:val="22"/>
        </w:rPr>
        <w:t xml:space="preserve"> </w:t>
      </w:r>
      <w:r w:rsidRPr="000E019C">
        <w:rPr>
          <w:lang w:val="en-GB"/>
        </w:rPr>
        <w:t>squamous cell carcinoma</w:t>
      </w:r>
      <w:r>
        <w:rPr>
          <w:lang w:val="en-GB"/>
        </w:rPr>
        <w:t xml:space="preserve">, </w:t>
      </w:r>
      <w:r w:rsidRPr="000E019C">
        <w:rPr>
          <w:lang w:val="en-GB"/>
        </w:rPr>
        <w:t>SQC</w:t>
      </w:r>
      <w:r>
        <w:rPr>
          <w:lang w:val="en-GB"/>
        </w:rPr>
        <w:t>;</w:t>
      </w:r>
      <w:r w:rsidRPr="000E019C">
        <w:rPr>
          <w:lang w:val="en-GB"/>
        </w:rPr>
        <w:t xml:space="preserve"> and adenocarcinoma</w:t>
      </w:r>
      <w:r>
        <w:rPr>
          <w:lang w:val="en-GB"/>
        </w:rPr>
        <w:t>,</w:t>
      </w:r>
      <w:r w:rsidRPr="000E019C">
        <w:rPr>
          <w:lang w:val="en-GB"/>
        </w:rPr>
        <w:t xml:space="preserve"> AC</w:t>
      </w:r>
      <w:r w:rsidRPr="00B47CB1">
        <w:rPr>
          <w:rFonts w:eastAsia="Calibri"/>
          <w:color w:val="000000"/>
          <w:sz w:val="22"/>
          <w:szCs w:val="22"/>
        </w:rPr>
        <w:t>) are indicated with different colors and shapes.</w:t>
      </w:r>
    </w:p>
    <w:p w14:paraId="722F7882" w14:textId="632171B9" w:rsidR="00F06568" w:rsidRPr="00B47CB1" w:rsidRDefault="00807AFF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b/>
          <w:color w:val="000000"/>
          <w:sz w:val="22"/>
          <w:szCs w:val="22"/>
        </w:rPr>
      </w:pPr>
      <w:r w:rsidRPr="00B47CB1">
        <w:rPr>
          <w:noProof/>
        </w:rPr>
        <w:drawing>
          <wp:anchor distT="152400" distB="152400" distL="152400" distR="152400" simplePos="0" relativeHeight="251662336" behindDoc="0" locked="0" layoutInCell="1" hidden="0" allowOverlap="1" wp14:anchorId="5BF7A081" wp14:editId="45D5596B">
            <wp:simplePos x="0" y="0"/>
            <wp:positionH relativeFrom="column">
              <wp:posOffset>-133350</wp:posOffset>
            </wp:positionH>
            <wp:positionV relativeFrom="paragraph">
              <wp:posOffset>8655</wp:posOffset>
            </wp:positionV>
            <wp:extent cx="6120057" cy="4590043"/>
            <wp:effectExtent l="0" t="0" r="0" b="0"/>
            <wp:wrapTopAndBottom distT="152400" distB="152400"/>
            <wp:docPr id="1073741832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0057" cy="459004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22F0E7C" w14:textId="77777777" w:rsidR="00F06568" w:rsidRPr="00B47CB1" w:rsidRDefault="00F06568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color w:val="808080"/>
          <w:sz w:val="22"/>
          <w:szCs w:val="22"/>
        </w:rPr>
      </w:pPr>
    </w:p>
    <w:p w14:paraId="024B7D3F" w14:textId="77777777" w:rsidR="00F06568" w:rsidRPr="00B47CB1" w:rsidRDefault="00F06568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color w:val="808080"/>
          <w:sz w:val="22"/>
          <w:szCs w:val="22"/>
        </w:rPr>
      </w:pPr>
    </w:p>
    <w:p w14:paraId="25109754" w14:textId="77777777" w:rsidR="00F06568" w:rsidRPr="00B47CB1" w:rsidRDefault="001A1CFA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Helvetica Neue"/>
          <w:color w:val="000000"/>
          <w:sz w:val="22"/>
          <w:szCs w:val="22"/>
        </w:rPr>
      </w:pPr>
      <w:r w:rsidRPr="00B47CB1">
        <w:br w:type="page"/>
      </w:r>
    </w:p>
    <w:p w14:paraId="3C294E5B" w14:textId="668A45BD" w:rsidR="00807AFF" w:rsidRPr="00DA7261" w:rsidRDefault="00807AFF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b/>
          <w:color w:val="808080"/>
          <w:sz w:val="22"/>
          <w:szCs w:val="22"/>
        </w:rPr>
      </w:pPr>
      <w:r w:rsidRPr="00DA7261">
        <w:rPr>
          <w:rFonts w:eastAsia="Calibri"/>
          <w:b/>
          <w:color w:val="000000"/>
          <w:sz w:val="22"/>
          <w:szCs w:val="22"/>
        </w:rPr>
        <w:lastRenderedPageBreak/>
        <w:t xml:space="preserve">Supplementary Figure </w:t>
      </w:r>
      <w:r w:rsidRPr="00DA7261">
        <w:rPr>
          <w:rFonts w:eastAsia="Calibri"/>
          <w:b/>
          <w:sz w:val="22"/>
          <w:szCs w:val="22"/>
        </w:rPr>
        <w:t>5</w:t>
      </w:r>
      <w:r w:rsidRPr="00DA7261">
        <w:rPr>
          <w:rFonts w:eastAsia="Calibri"/>
          <w:b/>
          <w:color w:val="000000"/>
          <w:sz w:val="22"/>
          <w:szCs w:val="22"/>
        </w:rPr>
        <w:t>: Unsupervised clustering of lung cancer patients based on radiomics features.</w:t>
      </w:r>
      <w:r w:rsidR="00DA7261">
        <w:rPr>
          <w:rFonts w:eastAsia="Calibri"/>
          <w:b/>
          <w:color w:val="808080"/>
          <w:sz w:val="22"/>
          <w:szCs w:val="22"/>
        </w:rPr>
        <w:t xml:space="preserve"> </w:t>
      </w:r>
      <w:r w:rsidRPr="00DA7261">
        <w:rPr>
          <w:rFonts w:eastAsia="Calibri"/>
          <w:color w:val="000000"/>
          <w:sz w:val="22"/>
          <w:szCs w:val="22"/>
        </w:rPr>
        <w:t xml:space="preserve">On the y axis 56 radiomic features are reported, whereas on the x axis the 149 </w:t>
      </w:r>
      <w:r w:rsidR="00DA7261" w:rsidRPr="00DA7261">
        <w:rPr>
          <w:sz w:val="22"/>
          <w:szCs w:val="22"/>
          <w:lang w:val="en-GB"/>
        </w:rPr>
        <w:t>squamous cell carcinoma (SQC) and adenocarcinoma (</w:t>
      </w:r>
      <w:sdt>
        <w:sdtPr>
          <w:rPr>
            <w:sz w:val="22"/>
            <w:szCs w:val="22"/>
            <w:lang w:val="en-GB"/>
          </w:rPr>
          <w:tag w:val="goog_rdk_3"/>
          <w:id w:val="1975798991"/>
        </w:sdtPr>
        <w:sdtEndPr/>
        <w:sdtContent/>
      </w:sdt>
      <w:sdt>
        <w:sdtPr>
          <w:rPr>
            <w:sz w:val="22"/>
            <w:szCs w:val="22"/>
            <w:lang w:val="en-GB"/>
          </w:rPr>
          <w:tag w:val="goog_rdk_4"/>
          <w:id w:val="-281883196"/>
        </w:sdtPr>
        <w:sdtEndPr/>
        <w:sdtContent/>
      </w:sdt>
      <w:r w:rsidR="00DA7261" w:rsidRPr="00DA7261">
        <w:rPr>
          <w:sz w:val="22"/>
          <w:szCs w:val="22"/>
          <w:lang w:val="en-GB"/>
        </w:rPr>
        <w:t xml:space="preserve">AC) </w:t>
      </w:r>
      <w:r w:rsidRPr="00DA7261">
        <w:rPr>
          <w:rFonts w:eastAsia="Calibri"/>
          <w:color w:val="000000"/>
          <w:sz w:val="22"/>
          <w:szCs w:val="22"/>
        </w:rPr>
        <w:t>patients, for whom all radiomics features were available, are displayed. Only those features showing a correlation at P&lt;0.05 with the histotype were included in the plot.</w:t>
      </w:r>
    </w:p>
    <w:p w14:paraId="17AFC9AF" w14:textId="77777777" w:rsidR="00F06568" w:rsidRPr="00B47CB1" w:rsidRDefault="00F06568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b/>
          <w:color w:val="000000"/>
          <w:sz w:val="22"/>
          <w:szCs w:val="22"/>
          <w:highlight w:val="yellow"/>
        </w:rPr>
      </w:pPr>
    </w:p>
    <w:p w14:paraId="4DD90322" w14:textId="77777777" w:rsidR="00F06568" w:rsidRPr="00B47CB1" w:rsidRDefault="00807AFF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Calibri"/>
          <w:color w:val="808080"/>
          <w:sz w:val="22"/>
          <w:szCs w:val="22"/>
        </w:rPr>
      </w:pPr>
      <w:r w:rsidRPr="00B47CB1">
        <w:rPr>
          <w:noProof/>
        </w:rPr>
        <w:drawing>
          <wp:anchor distT="152400" distB="152400" distL="152400" distR="152400" simplePos="0" relativeHeight="251664384" behindDoc="0" locked="0" layoutInCell="1" hidden="0" allowOverlap="1" wp14:anchorId="24D42E92" wp14:editId="7B0B6290">
            <wp:simplePos x="0" y="0"/>
            <wp:positionH relativeFrom="column">
              <wp:posOffset>0</wp:posOffset>
            </wp:positionH>
            <wp:positionV relativeFrom="paragraph">
              <wp:posOffset>480695</wp:posOffset>
            </wp:positionV>
            <wp:extent cx="6332221" cy="4051212"/>
            <wp:effectExtent l="0" t="0" r="0" b="0"/>
            <wp:wrapSquare wrapText="bothSides" distT="152400" distB="152400" distL="152400" distR="152400"/>
            <wp:docPr id="1073741833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32221" cy="405121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7D60885" w14:textId="77777777" w:rsidR="003F4BC1" w:rsidRDefault="003F4BC1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Helvetica Neue"/>
          <w:b/>
          <w:color w:val="000000"/>
          <w:sz w:val="22"/>
          <w:szCs w:val="22"/>
        </w:rPr>
      </w:pPr>
    </w:p>
    <w:p w14:paraId="24DBC0D9" w14:textId="715BBFB2" w:rsidR="002D4B72" w:rsidRPr="003F4BC1" w:rsidRDefault="003F4BC1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Helvetica Neue"/>
          <w:b/>
          <w:color w:val="000000"/>
          <w:sz w:val="22"/>
          <w:szCs w:val="22"/>
        </w:rPr>
      </w:pPr>
      <w:r w:rsidRPr="003F4BC1">
        <w:rPr>
          <w:rFonts w:eastAsia="Helvetica Neue"/>
          <w:b/>
          <w:color w:val="000000"/>
          <w:sz w:val="22"/>
          <w:szCs w:val="22"/>
        </w:rPr>
        <w:t>Reference</w:t>
      </w:r>
    </w:p>
    <w:p w14:paraId="0E782DEB" w14:textId="3F4D7FDE" w:rsidR="003F4BC1" w:rsidRPr="003F4BC1" w:rsidRDefault="003F4BC1" w:rsidP="003F4BC1">
      <w:pPr>
        <w:widowControl w:val="0"/>
        <w:autoSpaceDE w:val="0"/>
        <w:autoSpaceDN w:val="0"/>
        <w:adjustRightInd w:val="0"/>
        <w:spacing w:after="200" w:line="480" w:lineRule="auto"/>
        <w:rPr>
          <w:noProof/>
          <w:sz w:val="22"/>
        </w:rPr>
      </w:pPr>
      <w:r>
        <w:rPr>
          <w:rFonts w:eastAsia="Helvetica Neue"/>
          <w:color w:val="000000"/>
          <w:sz w:val="22"/>
          <w:szCs w:val="22"/>
        </w:rPr>
        <w:fldChar w:fldCharType="begin" w:fldLock="1"/>
      </w:r>
      <w:r>
        <w:rPr>
          <w:rFonts w:eastAsia="Helvetica Neue"/>
          <w:color w:val="000000"/>
          <w:sz w:val="22"/>
          <w:szCs w:val="22"/>
        </w:rPr>
        <w:instrText xml:space="preserve">ADDIN Mendeley Bibliography CSL_BIBLIOGRAPHY </w:instrText>
      </w:r>
      <w:r>
        <w:rPr>
          <w:rFonts w:eastAsia="Helvetica Neue"/>
          <w:color w:val="000000"/>
          <w:sz w:val="22"/>
          <w:szCs w:val="22"/>
        </w:rPr>
        <w:fldChar w:fldCharType="separate"/>
      </w:r>
      <w:r w:rsidRPr="003F4BC1">
        <w:rPr>
          <w:noProof/>
          <w:sz w:val="22"/>
        </w:rPr>
        <w:t xml:space="preserve">1. Skidmore ZL, Wagner AH, Lesurf R, Campbell KM, Kunisaki J, Griffith OL, et al. GenVisR: Genomic Visualizations in R. Bioinformatics. Bioinformatics; 2016;32:3012–4. </w:t>
      </w:r>
    </w:p>
    <w:p w14:paraId="5FFFD771" w14:textId="6D0E7540" w:rsidR="003F4BC1" w:rsidRDefault="003F4BC1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Helvetica Neue"/>
          <w:color w:val="000000"/>
          <w:sz w:val="22"/>
          <w:szCs w:val="22"/>
        </w:rPr>
      </w:pPr>
      <w:r>
        <w:rPr>
          <w:rFonts w:eastAsia="Helvetica Neue"/>
          <w:color w:val="000000"/>
          <w:sz w:val="22"/>
          <w:szCs w:val="22"/>
        </w:rPr>
        <w:fldChar w:fldCharType="end"/>
      </w:r>
    </w:p>
    <w:p w14:paraId="20B57677" w14:textId="77777777" w:rsidR="002D4B72" w:rsidRPr="00B47CB1" w:rsidRDefault="002D4B72" w:rsidP="00B47CB1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eastAsia="Helvetica Neue"/>
          <w:color w:val="000000"/>
          <w:sz w:val="22"/>
          <w:szCs w:val="22"/>
        </w:rPr>
      </w:pPr>
      <w:bookmarkStart w:id="0" w:name="_GoBack"/>
      <w:bookmarkEnd w:id="0"/>
    </w:p>
    <w:sectPr w:rsidR="002D4B72" w:rsidRPr="00B47CB1">
      <w:pgSz w:w="11906" w:h="16838"/>
      <w:pgMar w:top="1134" w:right="1134" w:bottom="1134" w:left="1134" w:header="709" w:footer="85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58705A" w14:textId="77777777" w:rsidR="008E0D69" w:rsidRDefault="008E0D69">
      <w:r>
        <w:separator/>
      </w:r>
    </w:p>
  </w:endnote>
  <w:endnote w:type="continuationSeparator" w:id="0">
    <w:p w14:paraId="64F5BA31" w14:textId="77777777" w:rsidR="008E0D69" w:rsidRDefault="008E0D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798A4F" w14:textId="77777777" w:rsidR="008E0D69" w:rsidRDefault="008E0D69">
      <w:r>
        <w:separator/>
      </w:r>
    </w:p>
  </w:footnote>
  <w:footnote w:type="continuationSeparator" w:id="0">
    <w:p w14:paraId="5C528348" w14:textId="77777777" w:rsidR="008E0D69" w:rsidRDefault="008E0D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DE3947"/>
    <w:multiLevelType w:val="multilevel"/>
    <w:tmpl w:val="3F7AAF94"/>
    <w:lvl w:ilvl="0">
      <w:start w:val="1"/>
      <w:numFmt w:val="decimal"/>
      <w:lvlText w:val="%1."/>
      <w:lvlJc w:val="left"/>
      <w:pPr>
        <w:ind w:left="644" w:hanging="359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364" w:hanging="36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lowerRoman"/>
      <w:lvlText w:val="%3."/>
      <w:lvlJc w:val="left"/>
      <w:pPr>
        <w:ind w:left="2084" w:hanging="291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2804" w:hanging="360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lowerLetter"/>
      <w:lvlText w:val="%5."/>
      <w:lvlJc w:val="left"/>
      <w:pPr>
        <w:ind w:left="3524" w:hanging="360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lowerRoman"/>
      <w:lvlText w:val="%6."/>
      <w:lvlJc w:val="left"/>
      <w:pPr>
        <w:ind w:left="4244" w:hanging="292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4964" w:hanging="360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5684" w:hanging="360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6404" w:hanging="292"/>
      </w:pPr>
      <w:rPr>
        <w:smallCaps w:val="0"/>
        <w:strike w:val="0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7"/>
  <w:proofState w:spelling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6568"/>
    <w:rsid w:val="000B6A69"/>
    <w:rsid w:val="001A1CFA"/>
    <w:rsid w:val="002D4B72"/>
    <w:rsid w:val="002D65B6"/>
    <w:rsid w:val="002E7007"/>
    <w:rsid w:val="003F4BC1"/>
    <w:rsid w:val="00401033"/>
    <w:rsid w:val="00807AFF"/>
    <w:rsid w:val="008E0D69"/>
    <w:rsid w:val="009926F8"/>
    <w:rsid w:val="00A677DA"/>
    <w:rsid w:val="00B47CB1"/>
    <w:rsid w:val="00BE2997"/>
    <w:rsid w:val="00DA7261"/>
    <w:rsid w:val="00E30B0D"/>
    <w:rsid w:val="00F06568"/>
    <w:rsid w:val="00FC0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4F4EF0"/>
  <w15:docId w15:val="{49C62767-E62F-EC44-8185-E99931A96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lang w:eastAsia="en-US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Collegamentoipertestuale">
    <w:name w:val="Hyperlink"/>
    <w:rPr>
      <w:u w:val="single"/>
    </w:rPr>
  </w:style>
  <w:style w:type="table" w:customStyle="1" w:styleId="TableNormal2">
    <w:name w:val="Table Normal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idefault">
    <w:name w:val="Di default"/>
    <w:pPr>
      <w:spacing w:before="160"/>
    </w:pPr>
    <w:rPr>
      <w:rFonts w:ascii="Helvetica Neue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">
    <w:name w:val="Corpo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Paragrafoelenco">
    <w:name w:val="List Paragraph"/>
    <w:basedOn w:val="Normale"/>
    <w:uiPriority w:val="34"/>
    <w:qFormat/>
    <w:rsid w:val="00A677DA"/>
    <w:pPr>
      <w:ind w:left="720"/>
      <w:contextualSpacing/>
      <w:jc w:val="both"/>
    </w:pPr>
    <w:rPr>
      <w:rFonts w:ascii="Arial" w:eastAsiaTheme="minorHAnsi" w:hAnsi="Arial" w:cstheme="minorBidi"/>
      <w:sz w:val="20"/>
      <w:szCs w:val="22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yperlink" Target="https://orcid.org/0000-0002-3923-1151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8aWqi6MF3XeRURO0EoeDOQsl7PQ==">AMUW2mUJs0XWHP26ou9yCg+Y42NMGWzrjBziiazA5SCwI+GbDwjLRw+gsV+WCUgn/wOn5leVbPlPqKPZYwFKm1d9aUwWS4psYgwhnyChdNu1YCGXK8EveM8=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508F508-4596-234D-A04C-D4E18AAF9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1691</Words>
  <Characters>9644</Characters>
  <Application>Microsoft Office Word</Application>
  <DocSecurity>0</DocSecurity>
  <Lines>80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3</cp:revision>
  <dcterms:created xsi:type="dcterms:W3CDTF">2021-01-21T10:17:00Z</dcterms:created>
  <dcterms:modified xsi:type="dcterms:W3CDTF">2021-01-21T10:27:00Z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http://www.zotero.org/styles/cancer-research</vt:lpwstr>
  </property>
  <property fmtid="{D5CDD505-2E9C-101B-9397-08002B2CF9AE}" pid="3" name="Mendeley Recent Style Name 0_1">
    <vt:lpwstr>Cancer Research</vt:lpwstr>
  </property>
  <property fmtid="{D5CDD505-2E9C-101B-9397-08002B2CF9AE}" pid="4" name="Mendeley Recent Style Id 1_1">
    <vt:lpwstr>http://www.zotero.org/styles/clinical-nuclear-medicine</vt:lpwstr>
  </property>
  <property fmtid="{D5CDD505-2E9C-101B-9397-08002B2CF9AE}" pid="5" name="Mendeley Recent Style Name 1_1">
    <vt:lpwstr>Clinical Nuclear Medicine</vt:lpwstr>
  </property>
  <property fmtid="{D5CDD505-2E9C-101B-9397-08002B2CF9AE}" pid="6" name="Mendeley Recent Style Id 2_1">
    <vt:lpwstr>http://www.zotero.org/styles/european-journal-of-nuclear-medicine-and-molecular-imaging</vt:lpwstr>
  </property>
  <property fmtid="{D5CDD505-2E9C-101B-9397-08002B2CF9AE}" pid="7" name="Mendeley Recent Style Name 2_1">
    <vt:lpwstr>European Journal of Nuclear Medicine and Molecular Imaging</vt:lpwstr>
  </property>
  <property fmtid="{D5CDD505-2E9C-101B-9397-08002B2CF9AE}" pid="8" name="Mendeley Recent Style Id 3_1">
    <vt:lpwstr>http://www.zotero.org/styles/european-radiology</vt:lpwstr>
  </property>
  <property fmtid="{D5CDD505-2E9C-101B-9397-08002B2CF9AE}" pid="9" name="Mendeley Recent Style Name 3_1">
    <vt:lpwstr>European Radiology</vt:lpwstr>
  </property>
  <property fmtid="{D5CDD505-2E9C-101B-9397-08002B2CF9AE}" pid="10" name="Mendeley Recent Style Id 4_1">
    <vt:lpwstr>http://www.zotero.org/styles/jacc-cardiovascular-imaging</vt:lpwstr>
  </property>
  <property fmtid="{D5CDD505-2E9C-101B-9397-08002B2CF9AE}" pid="11" name="Mendeley Recent Style Name 4_1">
    <vt:lpwstr>JACC: Cardiovascular Imaging</vt:lpwstr>
  </property>
  <property fmtid="{D5CDD505-2E9C-101B-9397-08002B2CF9AE}" pid="12" name="Mendeley Recent Style Id 5_1">
    <vt:lpwstr>http://www.zotero.org/styles/jama</vt:lpwstr>
  </property>
  <property fmtid="{D5CDD505-2E9C-101B-9397-08002B2CF9AE}" pid="13" name="Mendeley Recent Style Name 5_1">
    <vt:lpwstr>JAMA (The Journal of the American Medical Association)</vt:lpwstr>
  </property>
  <property fmtid="{D5CDD505-2E9C-101B-9397-08002B2CF9AE}" pid="14" name="Mendeley Recent Style Id 6_1">
    <vt:lpwstr>http://www.zotero.org/styles/journal-of-clinical-oncology</vt:lpwstr>
  </property>
  <property fmtid="{D5CDD505-2E9C-101B-9397-08002B2CF9AE}" pid="15" name="Mendeley Recent Style Name 6_1">
    <vt:lpwstr>Journal of Clinical Oncology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http://www.zotero.org/styles/rendiconti-lincei</vt:lpwstr>
  </property>
  <property fmtid="{D5CDD505-2E9C-101B-9397-08002B2CF9AE}" pid="19" name="Mendeley Recent Style Name 8_1">
    <vt:lpwstr>Rendiconti Lincei</vt:lpwstr>
  </property>
  <property fmtid="{D5CDD505-2E9C-101B-9397-08002B2CF9AE}" pid="20" name="Mendeley Recent Style Id 9_1">
    <vt:lpwstr>http://www.zotero.org/styles/the-lancet-infectious-diseases</vt:lpwstr>
  </property>
  <property fmtid="{D5CDD505-2E9C-101B-9397-08002B2CF9AE}" pid="21" name="Mendeley Recent Style Name 9_1">
    <vt:lpwstr>The Lancet Infectious Diseases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d32d3c3c-3f99-32a3-a0d4-8b3e45c5dc6f</vt:lpwstr>
  </property>
  <property fmtid="{D5CDD505-2E9C-101B-9397-08002B2CF9AE}" pid="24" name="Mendeley Citation Style_1">
    <vt:lpwstr>http://www.zotero.org/styles/european-journal-of-nuclear-medicine-and-molecular-imaging</vt:lpwstr>
  </property>
</Properties>
</file>