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F9383" w14:textId="77777777" w:rsidR="00DE33C8" w:rsidRPr="00FB000A" w:rsidRDefault="00DE33C8" w:rsidP="00020272">
      <w:pPr>
        <w:pStyle w:val="Title2"/>
        <w:spacing w:line="480" w:lineRule="auto"/>
        <w:jc w:val="center"/>
      </w:pPr>
      <w:bookmarkStart w:id="0" w:name="_Hlk88327243"/>
      <w:r w:rsidRPr="00FB000A">
        <w:t>Supporting Information</w:t>
      </w:r>
    </w:p>
    <w:p w14:paraId="5E127C76" w14:textId="55042ACA" w:rsidR="00E30148" w:rsidRDefault="00E30148" w:rsidP="00020272">
      <w:pPr>
        <w:pStyle w:val="AuthorsFull"/>
        <w:spacing w:line="480" w:lineRule="auto"/>
        <w:jc w:val="center"/>
        <w:rPr>
          <w:rFonts w:eastAsia="宋体"/>
          <w:b/>
          <w:i w:val="0"/>
          <w:color w:val="000000" w:themeColor="text1"/>
          <w:lang w:eastAsia="zh-CN"/>
        </w:rPr>
      </w:pPr>
      <w:r w:rsidRPr="00E30148">
        <w:rPr>
          <w:rFonts w:eastAsia="宋体"/>
          <w:b/>
          <w:i w:val="0"/>
          <w:color w:val="000000" w:themeColor="text1"/>
          <w:lang w:eastAsia="zh-CN"/>
        </w:rPr>
        <w:t>Copper-Based Metal</w:t>
      </w:r>
      <w:r w:rsidR="0087092D" w:rsidRPr="00E30148">
        <w:rPr>
          <w:rFonts w:eastAsia="宋体"/>
          <w:b/>
          <w:i w:val="0"/>
          <w:color w:val="000000" w:themeColor="text1"/>
          <w:lang w:eastAsia="zh-CN"/>
        </w:rPr>
        <w:t>-</w:t>
      </w:r>
      <w:r w:rsidRPr="00E30148">
        <w:rPr>
          <w:rFonts w:eastAsia="宋体"/>
          <w:b/>
          <w:i w:val="0"/>
          <w:color w:val="000000" w:themeColor="text1"/>
          <w:lang w:eastAsia="zh-CN"/>
        </w:rPr>
        <w:t>Organic Framework Impedes Triple-Negative Breast Cancer Metastasis via Local Estrogen Deprivation and Platelets Blockade</w:t>
      </w:r>
    </w:p>
    <w:p w14:paraId="21414128" w14:textId="32B549FC"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Sijie Wang</w:t>
      </w:r>
      <w:r w:rsidRPr="00C905BE">
        <w:rPr>
          <w:color w:val="000000" w:themeColor="text1"/>
          <w:vertAlign w:val="superscript"/>
          <w:lang w:val="en-US"/>
        </w:rPr>
        <w:t>a,1</w:t>
      </w:r>
      <w:r w:rsidRPr="00E30148">
        <w:rPr>
          <w:color w:val="000000" w:themeColor="text1"/>
          <w:lang w:val="en-US"/>
        </w:rPr>
        <w:t>, Na Yin</w:t>
      </w:r>
      <w:r w:rsidRPr="00C905BE">
        <w:rPr>
          <w:color w:val="000000" w:themeColor="text1"/>
          <w:vertAlign w:val="superscript"/>
          <w:lang w:val="en-US"/>
        </w:rPr>
        <w:t>a,1</w:t>
      </w:r>
      <w:r w:rsidRPr="00E30148">
        <w:rPr>
          <w:color w:val="000000" w:themeColor="text1"/>
          <w:lang w:val="en-US"/>
        </w:rPr>
        <w:t>, Yongjuan Li</w:t>
      </w:r>
      <w:r w:rsidRPr="00C905BE">
        <w:rPr>
          <w:color w:val="000000" w:themeColor="text1"/>
          <w:vertAlign w:val="superscript"/>
          <w:lang w:val="en-US"/>
        </w:rPr>
        <w:t>c</w:t>
      </w:r>
      <w:r w:rsidRPr="00E30148">
        <w:rPr>
          <w:color w:val="000000" w:themeColor="text1"/>
          <w:lang w:val="en-US"/>
        </w:rPr>
        <w:t>, Tingting Xiang</w:t>
      </w:r>
      <w:r w:rsidRPr="00C905BE">
        <w:rPr>
          <w:color w:val="000000" w:themeColor="text1"/>
          <w:vertAlign w:val="superscript"/>
          <w:lang w:val="en-US"/>
        </w:rPr>
        <w:t>a</w:t>
      </w:r>
      <w:r w:rsidRPr="00E30148">
        <w:rPr>
          <w:color w:val="000000" w:themeColor="text1"/>
          <w:lang w:val="en-US"/>
        </w:rPr>
        <w:t>, Wenxiao Jiang</w:t>
      </w:r>
      <w:r w:rsidRPr="00C905BE">
        <w:rPr>
          <w:color w:val="000000" w:themeColor="text1"/>
          <w:vertAlign w:val="superscript"/>
          <w:lang w:val="en-US"/>
        </w:rPr>
        <w:t>a</w:t>
      </w:r>
      <w:r w:rsidRPr="00E30148">
        <w:rPr>
          <w:color w:val="000000" w:themeColor="text1"/>
          <w:lang w:val="en-US"/>
        </w:rPr>
        <w:t>, Xiu Zhao</w:t>
      </w:r>
      <w:r w:rsidRPr="00C905BE">
        <w:rPr>
          <w:color w:val="000000" w:themeColor="text1"/>
          <w:vertAlign w:val="superscript"/>
          <w:lang w:val="en-US"/>
        </w:rPr>
        <w:t>a</w:t>
      </w:r>
      <w:r w:rsidRPr="00E30148">
        <w:rPr>
          <w:color w:val="000000" w:themeColor="text1"/>
          <w:lang w:val="en-US"/>
        </w:rPr>
        <w:t>, Wei Liu</w:t>
      </w:r>
      <w:r w:rsidRPr="00C905BE">
        <w:rPr>
          <w:color w:val="000000" w:themeColor="text1"/>
          <w:vertAlign w:val="superscript"/>
          <w:lang w:val="en-US"/>
        </w:rPr>
        <w:t>a</w:t>
      </w:r>
      <w:r w:rsidRPr="00E30148">
        <w:rPr>
          <w:color w:val="000000" w:themeColor="text1"/>
          <w:lang w:val="en-US"/>
        </w:rPr>
        <w:t>, Zhenzhong Zhang</w:t>
      </w:r>
      <w:r w:rsidRPr="00C905BE">
        <w:rPr>
          <w:color w:val="000000" w:themeColor="text1"/>
          <w:vertAlign w:val="superscript"/>
          <w:lang w:val="en-US"/>
        </w:rPr>
        <w:t>a,d,e,f</w:t>
      </w:r>
      <w:r w:rsidRPr="00E30148">
        <w:rPr>
          <w:color w:val="000000" w:themeColor="text1"/>
          <w:lang w:val="en-US"/>
        </w:rPr>
        <w:t>, Jinjin Shi</w:t>
      </w:r>
      <w:r w:rsidRPr="00C905BE">
        <w:rPr>
          <w:color w:val="000000" w:themeColor="text1"/>
          <w:vertAlign w:val="superscript"/>
          <w:lang w:val="en-US"/>
        </w:rPr>
        <w:t>a</w:t>
      </w:r>
      <w:r w:rsidRPr="00E30148">
        <w:rPr>
          <w:color w:val="000000" w:themeColor="text1"/>
          <w:lang w:val="en-US"/>
        </w:rPr>
        <w:t>, Xingming Guo</w:t>
      </w:r>
      <w:r w:rsidRPr="00C905BE">
        <w:rPr>
          <w:color w:val="000000" w:themeColor="text1"/>
          <w:vertAlign w:val="superscript"/>
          <w:lang w:val="en-US"/>
        </w:rPr>
        <w:t>b</w:t>
      </w:r>
      <w:r w:rsidRPr="00E30148">
        <w:rPr>
          <w:color w:val="000000" w:themeColor="text1"/>
          <w:lang w:val="en-US"/>
        </w:rPr>
        <w:t>,*, Kaixiang Zhang</w:t>
      </w:r>
      <w:r w:rsidRPr="00C905BE">
        <w:rPr>
          <w:color w:val="000000" w:themeColor="text1"/>
          <w:vertAlign w:val="superscript"/>
          <w:lang w:val="en-US"/>
        </w:rPr>
        <w:t>a</w:t>
      </w:r>
      <w:r w:rsidRPr="00E30148">
        <w:rPr>
          <w:color w:val="000000" w:themeColor="text1"/>
          <w:lang w:val="en-US"/>
        </w:rPr>
        <w:t>,*, Junjie Liu</w:t>
      </w:r>
      <w:r w:rsidRPr="00C905BE">
        <w:rPr>
          <w:color w:val="000000" w:themeColor="text1"/>
          <w:vertAlign w:val="superscript"/>
          <w:lang w:val="en-US"/>
        </w:rPr>
        <w:t>a</w:t>
      </w:r>
      <w:r w:rsidRPr="00E30148">
        <w:rPr>
          <w:color w:val="000000" w:themeColor="text1"/>
          <w:lang w:val="en-US"/>
        </w:rPr>
        <w:t>,*</w:t>
      </w:r>
    </w:p>
    <w:p w14:paraId="5F6D5BBE"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a School of Pharmaceutical Sciences, Zhengzhou University, Zhengzhou 450001, China</w:t>
      </w:r>
    </w:p>
    <w:p w14:paraId="01657B6B"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 xml:space="preserve">b College of Bioengineering, Chongqing University, Chongqing, PR China </w:t>
      </w:r>
    </w:p>
    <w:p w14:paraId="2D3C60DC"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c Academy of medical sciences, Zhengzhou University, Zhengzhou 450052, China</w:t>
      </w:r>
    </w:p>
    <w:p w14:paraId="005C991D"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d Key Laboratory of Targeting Therapy and Diagnosis for Critical Diseases, Zhengzhou 450001, China</w:t>
      </w:r>
    </w:p>
    <w:p w14:paraId="7B6AAD8F"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e Key Laboratory of Advanced Drug Preparation Technologies, Ministry of Education, Zhengzhou 450001, China</w:t>
      </w:r>
    </w:p>
    <w:p w14:paraId="46913C1A"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f State Key Laboratory of Esophageal Cancer Prevention &amp; Treatment, Zhengzhou 450001, China</w:t>
      </w:r>
    </w:p>
    <w:p w14:paraId="511D89BA"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 Corresponding authors.</w:t>
      </w:r>
    </w:p>
    <w:p w14:paraId="75398167"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Prof. Xingming Guo (guoxm@cqu.edu.cn)</w:t>
      </w:r>
    </w:p>
    <w:p w14:paraId="3A264EA5" w14:textId="77777777" w:rsidR="00E30148" w:rsidRPr="00E30148"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Prof. Kaixiang Zhang (zhangkx@zzu.edu.cn)</w:t>
      </w:r>
    </w:p>
    <w:p w14:paraId="2BD33286" w14:textId="7C3EDD0E" w:rsidR="003B051D" w:rsidRDefault="00E30148" w:rsidP="00020272">
      <w:pPr>
        <w:adjustRightInd w:val="0"/>
        <w:snapToGrid w:val="0"/>
        <w:spacing w:afterLines="50" w:after="120" w:line="480" w:lineRule="auto"/>
        <w:jc w:val="both"/>
        <w:rPr>
          <w:color w:val="000000" w:themeColor="text1"/>
          <w:lang w:val="en-US"/>
        </w:rPr>
      </w:pPr>
      <w:r w:rsidRPr="00E30148">
        <w:rPr>
          <w:color w:val="000000" w:themeColor="text1"/>
          <w:lang w:val="en-US"/>
        </w:rPr>
        <w:t>Prof. Junjie Liu (</w:t>
      </w:r>
      <w:hyperlink r:id="rId11" w:history="1">
        <w:r w:rsidR="003B051D" w:rsidRPr="000A1550">
          <w:rPr>
            <w:rStyle w:val="af"/>
            <w:lang w:val="en-US"/>
          </w:rPr>
          <w:t>liujunjie@zzu.edu.cn</w:t>
        </w:r>
      </w:hyperlink>
      <w:r w:rsidRPr="00E30148">
        <w:rPr>
          <w:color w:val="000000" w:themeColor="text1"/>
          <w:lang w:val="en-US"/>
        </w:rPr>
        <w:t>)</w:t>
      </w:r>
    </w:p>
    <w:p w14:paraId="12B35ACC" w14:textId="332F6FD5" w:rsidR="003B051D" w:rsidRPr="003B051D" w:rsidRDefault="003B051D" w:rsidP="00020272">
      <w:pPr>
        <w:adjustRightInd w:val="0"/>
        <w:snapToGrid w:val="0"/>
        <w:spacing w:afterLines="50" w:after="120" w:line="480" w:lineRule="auto"/>
        <w:jc w:val="both"/>
        <w:rPr>
          <w:rFonts w:hint="eastAsia"/>
          <w:color w:val="000000" w:themeColor="text1"/>
          <w:lang w:val="en-US"/>
        </w:rPr>
      </w:pPr>
      <w:r w:rsidRPr="00E30148">
        <w:rPr>
          <w:color w:val="000000" w:themeColor="text1"/>
          <w:lang w:val="en-US"/>
        </w:rPr>
        <w:t>1 Authors contributed equally to this work</w:t>
      </w:r>
    </w:p>
    <w:p w14:paraId="5E6A36C4" w14:textId="67146847" w:rsidR="00E30148" w:rsidRDefault="00E30148" w:rsidP="00020272">
      <w:pPr>
        <w:spacing w:line="480" w:lineRule="auto"/>
        <w:rPr>
          <w:b/>
          <w:color w:val="000000" w:themeColor="text1"/>
          <w:lang w:val="en-US"/>
        </w:rPr>
      </w:pPr>
      <w:r>
        <w:rPr>
          <w:b/>
          <w:color w:val="000000" w:themeColor="text1"/>
          <w:lang w:val="en-US"/>
        </w:rPr>
        <w:br w:type="page"/>
      </w:r>
    </w:p>
    <w:p w14:paraId="54A73C73" w14:textId="77777777" w:rsidR="00672EF9" w:rsidRPr="00672EF9" w:rsidRDefault="00672EF9" w:rsidP="00020272">
      <w:pPr>
        <w:adjustRightInd w:val="0"/>
        <w:snapToGrid w:val="0"/>
        <w:spacing w:afterLines="50" w:after="120" w:line="480" w:lineRule="auto"/>
        <w:jc w:val="both"/>
        <w:rPr>
          <w:rFonts w:eastAsia="等线"/>
          <w:b/>
          <w:color w:val="000000"/>
          <w:lang w:val="en-US" w:eastAsia="en-GB"/>
        </w:rPr>
      </w:pPr>
      <w:r w:rsidRPr="00672EF9">
        <w:rPr>
          <w:rFonts w:eastAsia="等线"/>
          <w:b/>
          <w:color w:val="000000"/>
          <w:lang w:val="en-US" w:eastAsia="en-GB"/>
        </w:rPr>
        <w:lastRenderedPageBreak/>
        <w:t xml:space="preserve">Experimental Methods </w:t>
      </w:r>
    </w:p>
    <w:p w14:paraId="2EC6D9FA"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Materials:</w:t>
      </w:r>
      <w:r w:rsidRPr="00672EF9">
        <w:rPr>
          <w:rFonts w:eastAsia="等线"/>
          <w:b/>
          <w:bCs/>
          <w:color w:val="000000"/>
          <w:lang w:val="en-US" w:eastAsia="en-GB"/>
        </w:rPr>
        <w:t xml:space="preserve"> </w:t>
      </w:r>
      <w:r w:rsidRPr="00672EF9">
        <w:rPr>
          <w:rFonts w:eastAsia="等线"/>
          <w:color w:val="000000"/>
          <w:lang w:val="en-US" w:eastAsia="en-GB"/>
        </w:rPr>
        <w:t>Copper acetate was obtained from Macklin. Gallic acid (GA) was purchased from Kermel. Surfactant Aerosol OT was obtained from Alfa Aesar. Cisplatin was purchased from Shanghaiyuanye Bio-Technology Co., Ltd. L-arginine (L-Arg), NADH, glutathione (GSH) and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perscript"/>
          <w:lang w:val="en-US" w:eastAsia="en-GB"/>
        </w:rPr>
        <w:t>2</w:t>
      </w:r>
      <w:r w:rsidRPr="00672EF9">
        <w:rPr>
          <w:rFonts w:eastAsia="等线"/>
          <w:color w:val="000000"/>
          <w:lang w:val="en-US" w:eastAsia="en-GB"/>
        </w:rPr>
        <w:t xml:space="preserve"> Assay Kit were obtained from Beijing Solarbio Science &amp; Technology Co., Ltd. DSPE-PEG2000 was purchased from Top-Peptide Co., Ltd. BCA Kit, Lyso-Tracker Red, Hoechst 33342, DAPI, GSH Assay Kit, Calcein-AM/PI double stain kit and Annexin V-FITC/PI were obtained from Beyotime Biotechnology. Charcoal-stripped fetal bovine serum (CS-FBS) was supplied by Hyclony. Nitric Oxide Assay Kit was obtained from Nanjing Jiancheng Bioengineering Institute. NO fluorescence probe (DAF-FM DA) was purchased from meilunbio. 4-hydroxyestradiol (4-OHE2) and 17β-estradiol (E2) were obtained from Cayman Chemical. PD98059 and Calpeptin were purchased from MCE. All other chemicals were provided by Sigma Aldrich (St. Louis, MO, USA) unless mentioned otherwise.</w:t>
      </w:r>
    </w:p>
    <w:p w14:paraId="1DA50944" w14:textId="77777777" w:rsidR="00672EF9" w:rsidRPr="00672EF9" w:rsidRDefault="00672EF9" w:rsidP="00020272">
      <w:pPr>
        <w:adjustRightInd w:val="0"/>
        <w:snapToGrid w:val="0"/>
        <w:spacing w:afterLines="50" w:after="120" w:line="480" w:lineRule="auto"/>
        <w:jc w:val="both"/>
        <w:rPr>
          <w:rFonts w:eastAsia="等线"/>
          <w:color w:val="000000"/>
          <w:lang w:val="en-US" w:eastAsia="en-GB"/>
        </w:rPr>
      </w:pPr>
      <w:r w:rsidRPr="00672EF9">
        <w:rPr>
          <w:rFonts w:eastAsia="等线"/>
          <w:color w:val="000000"/>
          <w:lang w:val="en-US" w:eastAsia="en-GB"/>
        </w:rPr>
        <w:t>Cell culture: The murine breast cancer 4T1 cells were purchased from American Type Culture Collection (ATCC) and cultured in RPMI-1640 medium with 10% FBS supplemented with 1% antibiotics (penicillin and streptomycin). Cells were incubated in the cell incubator with 37°C under a humidified atmosphere containing 5% CO</w:t>
      </w:r>
      <w:r w:rsidRPr="00672EF9">
        <w:rPr>
          <w:rFonts w:eastAsia="等线"/>
          <w:color w:val="000000"/>
          <w:vertAlign w:val="subscript"/>
          <w:lang w:val="en-US" w:eastAsia="en-GB"/>
        </w:rPr>
        <w:t>2</w:t>
      </w:r>
      <w:r w:rsidRPr="00672EF9">
        <w:rPr>
          <w:rFonts w:eastAsia="等线"/>
          <w:color w:val="000000"/>
          <w:lang w:val="en-US" w:eastAsia="en-GB"/>
        </w:rPr>
        <w:t>.</w:t>
      </w:r>
    </w:p>
    <w:p w14:paraId="5F612714"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 xml:space="preserve">Animals: </w:t>
      </w:r>
      <w:r w:rsidRPr="00672EF9">
        <w:rPr>
          <w:rFonts w:eastAsia="等线"/>
          <w:color w:val="000000"/>
          <w:lang w:val="en-US" w:eastAsia="en-GB"/>
        </w:rPr>
        <w:t>Female BALB/c mice (6-8 weeks old, average body weight 17-19 g) were purchased from Henan Laboratory Animal Center and raised in the specific pathogenfree (SPF) laboratory. All animal experiment procedures were performed following the guidelines of the Institutional Animal Care and Treatment Committee of Zhengzhou University. 4T1 cells (2×10</w:t>
      </w:r>
      <w:r w:rsidRPr="00672EF9">
        <w:rPr>
          <w:rFonts w:eastAsia="等线"/>
          <w:color w:val="000000"/>
          <w:vertAlign w:val="superscript"/>
          <w:lang w:val="en-US" w:eastAsia="en-GB"/>
        </w:rPr>
        <w:t>7</w:t>
      </w:r>
      <w:r w:rsidRPr="00672EF9">
        <w:rPr>
          <w:rFonts w:eastAsia="等线"/>
          <w:color w:val="000000"/>
          <w:lang w:val="en-US" w:eastAsia="en-GB"/>
        </w:rPr>
        <w:t xml:space="preserve"> cells per milliliter, 50 µL) were subcutaneous injected into the third pair of breast fat pads in the mice to generate the metastatic 4T1 mammary adenocarcinoma model.</w:t>
      </w:r>
    </w:p>
    <w:p w14:paraId="2D251F01"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Synthesis of Cu-GA MOF:</w:t>
      </w:r>
      <w:r w:rsidRPr="00672EF9">
        <w:rPr>
          <w:rFonts w:eastAsia="等线"/>
          <w:color w:val="000000"/>
          <w:lang w:val="en-US" w:eastAsia="en-GB"/>
        </w:rPr>
        <w:t xml:space="preserve"> Copper-gallate metal-organic framework (Cu-GA MOF) was synthesized according to a previous study.33 In brief, 0.22 g of surfactant AOT and 400 μL of </w:t>
      </w:r>
      <w:r w:rsidRPr="00672EF9">
        <w:rPr>
          <w:rFonts w:eastAsia="等线"/>
          <w:color w:val="000000"/>
          <w:lang w:val="en-US" w:eastAsia="en-GB"/>
        </w:rPr>
        <w:lastRenderedPageBreak/>
        <w:t>n-butanol were solubilized in double-distilled water at room temperature, followed by the addition 200 μL each of 0.1 M copper acetate and gallic acid prepared in DMF. The reaction was continued at 70-80℃ for 12 h, then adding ethanol to precipitate the particles and centrifuged at 12000 rpm for 10 min to obtain Cu-GA MOF.</w:t>
      </w:r>
    </w:p>
    <w:p w14:paraId="0423430E"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Synthesis of Pt-Arg prodrug:</w:t>
      </w:r>
      <w:r w:rsidRPr="00672EF9">
        <w:rPr>
          <w:rFonts w:eastAsia="等线"/>
          <w:b/>
          <w:bCs/>
          <w:color w:val="000000"/>
          <w:lang w:val="en-US" w:eastAsia="en-GB"/>
        </w:rPr>
        <w:t xml:space="preserve"> </w:t>
      </w:r>
      <w:r w:rsidRPr="00672EF9">
        <w:rPr>
          <w:rFonts w:eastAsia="等线"/>
          <w:color w:val="000000"/>
          <w:lang w:val="en-US" w:eastAsia="en-GB"/>
        </w:rPr>
        <w:t>Appropriate amount of cisplatin (Pt) was dissolved in 30% H2O2 solution, stirred at 50℃ for 1 h, then stood at room temperature for 24 h. After centrifugation and vacuum drying, the hydroxylated cisplatin compound (Pt-OH) was obtained. Then Pt-OH (10 g) and succinic anhydride (7 g) were dissolved in DMF solution, stirring at 75℃ for 24 h, then the DMF in the reaction solution was removed by rotary steam at 90℃ to obtain the carboxylated cisplatin compound (Pt-COOH). Pt-COOH was dissolved in EDC/NHS solution, dark reaction at room temperature for 2 h, and then L-Arg was added. The L-Arg to Pt-COOH mass ratio was 5:6. After stirring for 24 h at room temperature, GSH-sensitive Pt-Arg (PA) prodrug were collected.</w:t>
      </w:r>
    </w:p>
    <w:p w14:paraId="57D033D2"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Synthesis of CPA:</w:t>
      </w:r>
      <w:r w:rsidRPr="00672EF9">
        <w:rPr>
          <w:rFonts w:eastAsia="等线"/>
          <w:b/>
          <w:bCs/>
          <w:color w:val="000000"/>
          <w:lang w:val="en-US" w:eastAsia="en-GB"/>
        </w:rPr>
        <w:t xml:space="preserve"> </w:t>
      </w:r>
      <w:r w:rsidRPr="00672EF9">
        <w:rPr>
          <w:rFonts w:eastAsia="等线"/>
          <w:color w:val="000000"/>
          <w:lang w:val="en-US" w:eastAsia="en-GB"/>
        </w:rPr>
        <w:t>Cu-GA (10 mg) and Pt-Arg (5 mg) were added to a round bottom flask with 30 mL of saline. The reaction was stirred at room temperature in the dark for 12 h. CPA (Cu-GA@Pt-Arg) was collected by centrifugation and washed three times with saline.</w:t>
      </w:r>
    </w:p>
    <w:p w14:paraId="6960E0EB" w14:textId="77777777" w:rsidR="00672EF9" w:rsidRPr="00672EF9" w:rsidRDefault="00672EF9" w:rsidP="00020272">
      <w:pPr>
        <w:adjustRightInd w:val="0"/>
        <w:snapToGrid w:val="0"/>
        <w:spacing w:afterLines="50" w:after="120" w:line="480" w:lineRule="auto"/>
        <w:jc w:val="both"/>
        <w:rPr>
          <w:rFonts w:eastAsia="等线"/>
          <w:color w:val="000000"/>
          <w:lang w:val="en-US" w:eastAsia="en-GB"/>
        </w:rPr>
      </w:pPr>
      <w:r w:rsidRPr="00672EF9">
        <w:rPr>
          <w:rFonts w:eastAsia="等线"/>
          <w:color w:val="000000"/>
          <w:lang w:val="en-US" w:eastAsia="en-GB"/>
        </w:rPr>
        <w:t>Synthesis of IGBN: The CPA (10 mg) nanoparticles were dispersed in DSPE-PEG2000 (5 mg) solution, after stirred at room temperature for 4 h, IGBN nanoparticles (Cu-GA@Pt-Arg@DSPE-PEG2000) were obtained by centrifuged. CD (Cu-GA@DSPE-PEG2000) nanoparticles were synthesised as described above.</w:t>
      </w:r>
    </w:p>
    <w:p w14:paraId="44A18B36"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pH-induced Drug Release Profile from IGBN:</w:t>
      </w:r>
      <w:r w:rsidRPr="00672EF9">
        <w:rPr>
          <w:rFonts w:eastAsia="等线"/>
          <w:b/>
          <w:bCs/>
          <w:color w:val="000000"/>
          <w:lang w:val="en-US" w:eastAsia="en-GB"/>
        </w:rPr>
        <w:t xml:space="preserve"> </w:t>
      </w:r>
      <w:r w:rsidRPr="00672EF9">
        <w:rPr>
          <w:rFonts w:eastAsia="等线"/>
          <w:color w:val="000000"/>
          <w:lang w:val="en-US" w:eastAsia="en-GB"/>
        </w:rPr>
        <w:t>The time-dependent release of PA from IGBN was investigated by inductively coupled plasma mass spectrometry (ICP-MS). The IGBN was dispersed in PBS (7.4, 6.5 and 4.5) at a concentration of 100 µg mL</w:t>
      </w:r>
      <w:r w:rsidRPr="00672EF9">
        <w:rPr>
          <w:rFonts w:eastAsia="等线"/>
          <w:color w:val="000000"/>
          <w:vertAlign w:val="superscript"/>
          <w:lang w:val="en-US" w:eastAsia="en-GB"/>
        </w:rPr>
        <w:t>-1</w:t>
      </w:r>
      <w:r w:rsidRPr="00672EF9">
        <w:rPr>
          <w:rFonts w:eastAsia="等线"/>
          <w:color w:val="000000"/>
          <w:lang w:val="en-US" w:eastAsia="en-GB"/>
        </w:rPr>
        <w:t xml:space="preserve"> and shaken at 37℃. After incubation different times, the supernatant was collected by centrifuged. The pH-induced copper release was also measured according to above method.</w:t>
      </w:r>
    </w:p>
    <w:p w14:paraId="0466696B"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lastRenderedPageBreak/>
        <w:t>NO Production:</w:t>
      </w:r>
      <w:r w:rsidRPr="00672EF9">
        <w:rPr>
          <w:rFonts w:eastAsia="等线"/>
          <w:i/>
          <w:iCs/>
          <w:color w:val="000000"/>
          <w:lang w:val="en-US" w:eastAsia="en-GB"/>
        </w:rPr>
        <w:t xml:space="preserve"> </w:t>
      </w:r>
      <w:r w:rsidRPr="00672EF9">
        <w:rPr>
          <w:rFonts w:eastAsia="等线"/>
          <w:color w:val="000000"/>
          <w:lang w:val="en-US" w:eastAsia="en-GB"/>
        </w:rPr>
        <w:t>Pt-Arg prodrug (10 mM) was pretreated with GSH (10 mM or 0 mM GSH) and 10 mM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bscript"/>
          <w:lang w:val="en-US" w:eastAsia="en-GB"/>
        </w:rPr>
        <w:t>2</w:t>
      </w:r>
      <w:r w:rsidRPr="00672EF9">
        <w:rPr>
          <w:rFonts w:eastAsia="等线"/>
          <w:color w:val="000000"/>
          <w:lang w:val="en-US" w:eastAsia="en-GB"/>
        </w:rPr>
        <w:t>, then shaken at 37℃ for 24 h. After incubation, the production of NO was detected with NO Kit at 450 nm.</w:t>
      </w:r>
    </w:p>
    <w:p w14:paraId="67E6D655"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 xml:space="preserve">Pt-Arg concentration-dependent NO release was detected by NO Assay Kit. </w:t>
      </w:r>
      <w:r w:rsidRPr="00672EF9">
        <w:rPr>
          <w:rFonts w:eastAsia="等线"/>
          <w:color w:val="000000"/>
          <w:lang w:val="en-US" w:eastAsia="en-GB"/>
        </w:rPr>
        <w:t>The different concentrations of Pt-Arg prodrug (0, 2, 4, 6, 8, 10 mM) were treated with 10 mM GSH and 10 mM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bscript"/>
          <w:lang w:val="en-US" w:eastAsia="en-GB"/>
        </w:rPr>
        <w:t>2</w:t>
      </w:r>
      <w:r w:rsidRPr="00672EF9">
        <w:rPr>
          <w:rFonts w:eastAsia="等线"/>
          <w:color w:val="000000"/>
          <w:lang w:val="en-US" w:eastAsia="en-GB"/>
        </w:rPr>
        <w:t>, then shaken at 37℃ for 24 h. After incubation, the production of NO was detected with NO Kit (nitrate reductase method) at 450 nm. H2O2 concentration-dependent NO release was detected as above method. Pt-Arg prodrug (10 mM) were treated with 10 mM GSH, then different concentrations of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bscript"/>
          <w:lang w:val="en-US" w:eastAsia="en-GB"/>
        </w:rPr>
        <w:t>2</w:t>
      </w:r>
      <w:r w:rsidRPr="00672EF9">
        <w:rPr>
          <w:rFonts w:eastAsia="等线"/>
          <w:color w:val="000000"/>
          <w:lang w:val="en-US" w:eastAsia="en-GB"/>
        </w:rPr>
        <w:t xml:space="preserve"> solutions (0, 0.25, 0.5, 1, 5, 10 mM) were added and shaken at 37℃ for 24 h. After incubation, the production of NO was detected.</w:t>
      </w:r>
    </w:p>
    <w:p w14:paraId="1DB95804"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Estrogen Consumption Test:</w:t>
      </w:r>
      <w:r w:rsidRPr="00672EF9">
        <w:rPr>
          <w:rFonts w:eastAsia="等线"/>
          <w:i/>
          <w:iCs/>
          <w:color w:val="000000"/>
          <w:lang w:val="en-US" w:eastAsia="en-GB"/>
        </w:rPr>
        <w:t xml:space="preserve"> </w:t>
      </w:r>
      <w:r w:rsidRPr="00672EF9">
        <w:rPr>
          <w:rFonts w:eastAsia="等线"/>
          <w:color w:val="000000"/>
          <w:lang w:val="en-US" w:eastAsia="en-GB"/>
        </w:rPr>
        <w:t>Cu</w:t>
      </w:r>
      <w:r w:rsidRPr="00672EF9">
        <w:rPr>
          <w:rFonts w:eastAsia="等线"/>
          <w:color w:val="000000"/>
          <w:vertAlign w:val="superscript"/>
          <w:lang w:val="en-US" w:eastAsia="en-GB"/>
        </w:rPr>
        <w:t>2+</w:t>
      </w:r>
      <w:r w:rsidRPr="00672EF9">
        <w:rPr>
          <w:rFonts w:eastAsia="等线"/>
          <w:color w:val="000000"/>
          <w:lang w:val="en-US" w:eastAsia="en-GB"/>
        </w:rPr>
        <w:t xml:space="preserve"> can down-regulate estrogen with the production of H2O2.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bscript"/>
          <w:lang w:val="en-US" w:eastAsia="en-GB"/>
        </w:rPr>
        <w:t>2</w:t>
      </w:r>
      <w:r w:rsidRPr="00672EF9">
        <w:rPr>
          <w:rFonts w:eastAsia="等线"/>
          <w:color w:val="000000"/>
          <w:lang w:val="en-US" w:eastAsia="en-GB"/>
        </w:rPr>
        <w:t xml:space="preserve"> is detected as a signal of Cu</w:t>
      </w:r>
      <w:r w:rsidRPr="00672EF9">
        <w:rPr>
          <w:rFonts w:eastAsia="等线"/>
          <w:color w:val="000000"/>
          <w:vertAlign w:val="superscript"/>
          <w:lang w:val="en-US" w:eastAsia="en-GB"/>
        </w:rPr>
        <w:t>2+</w:t>
      </w:r>
      <w:r w:rsidRPr="00672EF9">
        <w:rPr>
          <w:rFonts w:eastAsia="等线"/>
          <w:color w:val="000000"/>
          <w:lang w:val="en-US" w:eastAsia="en-GB"/>
        </w:rPr>
        <w:t>-mediated estrogen consumption. The experiment solutions containing with five different groups A-E, which represent Cu</w:t>
      </w:r>
      <w:r w:rsidRPr="00672EF9">
        <w:rPr>
          <w:rFonts w:eastAsia="等线"/>
          <w:color w:val="000000"/>
          <w:vertAlign w:val="superscript"/>
          <w:lang w:val="en-US" w:eastAsia="en-GB"/>
        </w:rPr>
        <w:t>2+</w:t>
      </w:r>
      <w:r w:rsidRPr="00672EF9">
        <w:rPr>
          <w:rFonts w:eastAsia="等线"/>
          <w:color w:val="000000"/>
          <w:lang w:val="en-US" w:eastAsia="en-GB"/>
        </w:rPr>
        <w:t>, NADH, Cu</w:t>
      </w:r>
      <w:r w:rsidRPr="00672EF9">
        <w:rPr>
          <w:rFonts w:eastAsia="等线"/>
          <w:color w:val="000000"/>
          <w:vertAlign w:val="superscript"/>
          <w:lang w:val="en-US" w:eastAsia="en-GB"/>
        </w:rPr>
        <w:t>2+</w:t>
      </w:r>
      <w:r w:rsidRPr="00672EF9">
        <w:rPr>
          <w:rFonts w:eastAsia="等线"/>
          <w:color w:val="000000"/>
          <w:lang w:val="en-US" w:eastAsia="en-GB"/>
        </w:rPr>
        <w:t xml:space="preserve"> + 4-OHE2, NADH + 4-OHE2, and Cu</w:t>
      </w:r>
      <w:r w:rsidRPr="00672EF9">
        <w:rPr>
          <w:rFonts w:eastAsia="等线"/>
          <w:color w:val="000000"/>
          <w:vertAlign w:val="superscript"/>
          <w:lang w:val="en-US" w:eastAsia="en-GB"/>
        </w:rPr>
        <w:t>2+</w:t>
      </w:r>
      <w:r w:rsidRPr="00672EF9">
        <w:rPr>
          <w:rFonts w:eastAsia="等线"/>
          <w:color w:val="000000"/>
          <w:lang w:val="en-US" w:eastAsia="en-GB"/>
        </w:rPr>
        <w:t xml:space="preserve"> + NADH + 4-OHE2, respectively. The concentrations of the solutions are 50 µM (Cu</w:t>
      </w:r>
      <w:r w:rsidRPr="00672EF9">
        <w:rPr>
          <w:rFonts w:eastAsia="等线"/>
          <w:color w:val="000000"/>
          <w:vertAlign w:val="superscript"/>
          <w:lang w:val="en-US" w:eastAsia="en-GB"/>
        </w:rPr>
        <w:t>2+</w:t>
      </w:r>
      <w:r w:rsidRPr="00672EF9">
        <w:rPr>
          <w:rFonts w:eastAsia="等线"/>
          <w:color w:val="000000"/>
          <w:lang w:val="en-US" w:eastAsia="en-GB"/>
        </w:rPr>
        <w:t>), 0.1 mM (NADH) and 40 µM (4-OHE2). Then generation of H</w:t>
      </w:r>
      <w:r w:rsidRPr="00672EF9">
        <w:rPr>
          <w:rFonts w:eastAsia="等线"/>
          <w:color w:val="000000"/>
          <w:vertAlign w:val="subscript"/>
          <w:lang w:val="en-US" w:eastAsia="en-GB"/>
        </w:rPr>
        <w:t>2</w:t>
      </w:r>
      <w:r w:rsidRPr="00672EF9">
        <w:rPr>
          <w:rFonts w:eastAsia="等线"/>
          <w:color w:val="000000"/>
          <w:lang w:val="en-US" w:eastAsia="en-GB"/>
        </w:rPr>
        <w:t>O</w:t>
      </w:r>
      <w:r w:rsidRPr="00672EF9">
        <w:rPr>
          <w:rFonts w:eastAsia="等线"/>
          <w:color w:val="000000"/>
          <w:vertAlign w:val="subscript"/>
          <w:lang w:val="en-US" w:eastAsia="en-GB"/>
        </w:rPr>
        <w:t>2</w:t>
      </w:r>
      <w:r w:rsidRPr="00672EF9">
        <w:rPr>
          <w:rFonts w:eastAsia="等线"/>
          <w:color w:val="000000"/>
          <w:lang w:val="en-US" w:eastAsia="en-GB"/>
        </w:rPr>
        <w:t xml:space="preserve"> were determined by H2O2 Assay Kit.</w:t>
      </w:r>
    </w:p>
    <w:p w14:paraId="6A7262D3" w14:textId="77777777" w:rsidR="00672EF9" w:rsidRPr="00672EF9" w:rsidRDefault="00672EF9" w:rsidP="00020272">
      <w:pPr>
        <w:adjustRightInd w:val="0"/>
        <w:snapToGrid w:val="0"/>
        <w:spacing w:afterLines="50" w:after="120" w:line="480" w:lineRule="auto"/>
        <w:ind w:firstLineChars="100" w:firstLine="240"/>
        <w:jc w:val="both"/>
        <w:rPr>
          <w:rFonts w:eastAsia="等线"/>
          <w:color w:val="000000"/>
          <w:lang w:val="en-US" w:eastAsia="en-GB"/>
        </w:rPr>
      </w:pPr>
      <w:r w:rsidRPr="00672EF9">
        <w:rPr>
          <w:rFonts w:eastAsia="等线"/>
          <w:b/>
          <w:bCs/>
          <w:i/>
          <w:iCs/>
          <w:color w:val="000000"/>
          <w:lang w:val="en-US" w:eastAsia="en-GB"/>
        </w:rPr>
        <w:t>Cellular Uptake:</w:t>
      </w:r>
      <w:r w:rsidRPr="00672EF9">
        <w:rPr>
          <w:rFonts w:eastAsia="等线"/>
          <w:i/>
          <w:iCs/>
          <w:color w:val="000000"/>
          <w:lang w:val="en-US" w:eastAsia="en-GB"/>
        </w:rPr>
        <w:t xml:space="preserve"> </w:t>
      </w:r>
      <w:r w:rsidRPr="00672EF9">
        <w:rPr>
          <w:rFonts w:eastAsia="等线"/>
          <w:color w:val="000000"/>
          <w:lang w:val="en-US" w:eastAsia="en-GB"/>
        </w:rPr>
        <w:t>4T1 cells (3×10</w:t>
      </w:r>
      <w:r w:rsidRPr="00672EF9">
        <w:rPr>
          <w:rFonts w:eastAsia="等线"/>
          <w:color w:val="000000"/>
          <w:vertAlign w:val="superscript"/>
          <w:lang w:val="en-US" w:eastAsia="en-GB"/>
        </w:rPr>
        <w:t>5</w:t>
      </w:r>
      <w:r w:rsidRPr="00672EF9">
        <w:rPr>
          <w:rFonts w:eastAsia="等线"/>
          <w:color w:val="000000"/>
          <w:lang w:val="en-US" w:eastAsia="en-GB"/>
        </w:rPr>
        <w:t xml:space="preserve"> cells per well) were seeded in confocal dishes and cultured for 24 h at 37°C. Then cells were co-cultured with 50 µg mL-1 CFD (Cu-GA@FITC@DSPE-PEG2000) for 2, 4 and 6 h. Afterwards, cells were washed with PBS for three times and stained with Lyso-Tracker Red/Hoechst 33342 at 37°C for 10 min. After washing, cellular uptake behaviours were observed by Confocal laser scanning microscope (CLSM).</w:t>
      </w:r>
    </w:p>
    <w:p w14:paraId="3C7C54D4" w14:textId="20E9850E"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Cellular Cu Detection</w:t>
      </w:r>
      <w:r w:rsidRPr="002E7ABB">
        <w:rPr>
          <w:rFonts w:eastAsia="宋体"/>
          <w:b/>
          <w:color w:val="000000"/>
        </w:rPr>
        <w:t xml:space="preserve">: </w:t>
      </w:r>
      <w:r w:rsidRPr="002E7ABB">
        <w:rPr>
          <w:rFonts w:eastAsia="宋体"/>
          <w:color w:val="000000"/>
        </w:rPr>
        <w:t>4T1 cells (3×10</w:t>
      </w:r>
      <w:r w:rsidRPr="002E7ABB">
        <w:rPr>
          <w:rFonts w:eastAsia="宋体"/>
          <w:color w:val="000000"/>
          <w:vertAlign w:val="superscript"/>
        </w:rPr>
        <w:t>6</w:t>
      </w:r>
      <w:r w:rsidRPr="002E7ABB">
        <w:rPr>
          <w:rFonts w:eastAsia="宋体"/>
          <w:color w:val="000000"/>
        </w:rPr>
        <w:t xml:space="preserve"> </w:t>
      </w:r>
      <w:r w:rsidRPr="002E7ABB">
        <w:rPr>
          <w:color w:val="000000"/>
        </w:rPr>
        <w:t>cells per well</w:t>
      </w:r>
      <w:r w:rsidRPr="002E7ABB">
        <w:rPr>
          <w:rFonts w:eastAsia="宋体"/>
          <w:color w:val="000000"/>
        </w:rPr>
        <w:t xml:space="preserve">) were seeded in petri dishes for 24 h with 10% FBS, then co-cultured with 50 </w:t>
      </w:r>
      <w:r w:rsidRPr="002E7ABB">
        <w:rPr>
          <w:color w:val="000000"/>
        </w:rPr>
        <w:t>µg mL</w:t>
      </w:r>
      <w:r w:rsidRPr="002E7ABB">
        <w:rPr>
          <w:color w:val="000000"/>
          <w:vertAlign w:val="superscript"/>
        </w:rPr>
        <w:t>-1</w:t>
      </w:r>
      <w:r w:rsidRPr="002E7ABB">
        <w:rPr>
          <w:color w:val="000000"/>
        </w:rPr>
        <w:t xml:space="preserve"> </w:t>
      </w:r>
      <w:r w:rsidRPr="002E7ABB">
        <w:rPr>
          <w:rFonts w:eastAsia="宋体"/>
          <w:color w:val="000000"/>
        </w:rPr>
        <w:t>CD for 8 h. Cells treated with PBS was used as a positive control. After washing with PBS, precipitation was collected</w:t>
      </w:r>
      <w:r w:rsidRPr="002E7ABB" w:rsidDel="00511A89">
        <w:rPr>
          <w:rFonts w:eastAsia="宋体"/>
          <w:color w:val="000000"/>
        </w:rPr>
        <w:t xml:space="preserve"> </w:t>
      </w:r>
      <w:r w:rsidRPr="002E7ABB">
        <w:rPr>
          <w:rFonts w:eastAsia="宋体"/>
          <w:color w:val="000000"/>
        </w:rPr>
        <w:t xml:space="preserve">by centrifuged, then </w:t>
      </w:r>
      <w:r w:rsidRPr="002E7ABB">
        <w:rPr>
          <w:rFonts w:eastAsia="宋体"/>
          <w:color w:val="000000"/>
        </w:rPr>
        <w:lastRenderedPageBreak/>
        <w:t>cells were counted. Nitric acid and 30% H</w:t>
      </w:r>
      <w:r w:rsidRPr="002E7ABB">
        <w:rPr>
          <w:rFonts w:eastAsia="宋体"/>
          <w:color w:val="000000"/>
          <w:vertAlign w:val="subscript"/>
        </w:rPr>
        <w:t>2</w:t>
      </w:r>
      <w:r w:rsidRPr="002E7ABB">
        <w:rPr>
          <w:rFonts w:eastAsia="宋体"/>
          <w:color w:val="000000"/>
        </w:rPr>
        <w:t>O</w:t>
      </w:r>
      <w:r w:rsidRPr="002E7ABB">
        <w:rPr>
          <w:rFonts w:eastAsia="宋体"/>
          <w:color w:val="000000"/>
          <w:vertAlign w:val="subscript"/>
        </w:rPr>
        <w:t xml:space="preserve">2 </w:t>
      </w:r>
      <w:r w:rsidRPr="002E7ABB">
        <w:rPr>
          <w:rFonts w:eastAsia="宋体"/>
          <w:color w:val="000000"/>
        </w:rPr>
        <w:t>were added for acidolysis, finally the concentration of Cu were detected by ICP-MS.</w:t>
      </w:r>
    </w:p>
    <w:p w14:paraId="08CF27CE"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Intracellular GSH Detection</w:t>
      </w:r>
      <w:r w:rsidRPr="002E7ABB">
        <w:rPr>
          <w:rFonts w:eastAsia="宋体"/>
          <w:b/>
          <w:color w:val="000000"/>
        </w:rPr>
        <w:t>:</w:t>
      </w:r>
      <w:r w:rsidRPr="002E7ABB">
        <w:rPr>
          <w:rFonts w:eastAsia="宋体"/>
          <w:color w:val="000000"/>
        </w:rPr>
        <w:t xml:space="preserve"> 4T1 cells (3×10</w:t>
      </w:r>
      <w:r w:rsidRPr="002E7ABB">
        <w:rPr>
          <w:rFonts w:eastAsia="宋体"/>
          <w:color w:val="000000"/>
          <w:vertAlign w:val="superscript"/>
        </w:rPr>
        <w:t>5</w:t>
      </w:r>
      <w:r w:rsidRPr="002E7ABB">
        <w:rPr>
          <w:rFonts w:eastAsia="宋体"/>
          <w:color w:val="000000"/>
        </w:rPr>
        <w:t xml:space="preserve"> </w:t>
      </w:r>
      <w:r w:rsidRPr="002E7ABB">
        <w:rPr>
          <w:color w:val="000000"/>
        </w:rPr>
        <w:t>cells per well</w:t>
      </w:r>
      <w:r w:rsidRPr="002E7ABB">
        <w:rPr>
          <w:rFonts w:eastAsia="宋体"/>
          <w:color w:val="000000"/>
        </w:rPr>
        <w:t>) were seeded in a 6-well plate for 12 h. Then cells were co-cultured with PBS, CD, PA and IGBN (CD: 50 μg mL</w:t>
      </w:r>
      <w:r w:rsidRPr="002E7ABB">
        <w:rPr>
          <w:rFonts w:eastAsia="宋体"/>
          <w:color w:val="000000"/>
          <w:vertAlign w:val="superscript"/>
        </w:rPr>
        <w:t>-1</w:t>
      </w:r>
      <w:r w:rsidRPr="002E7ABB">
        <w:rPr>
          <w:rFonts w:eastAsia="宋体"/>
          <w:color w:val="000000"/>
        </w:rPr>
        <w:t>; PA: 2.5 μg mL</w:t>
      </w:r>
      <w:r w:rsidRPr="002E7ABB">
        <w:rPr>
          <w:rFonts w:eastAsia="宋体"/>
          <w:color w:val="000000"/>
          <w:vertAlign w:val="superscript"/>
        </w:rPr>
        <w:t>-1</w:t>
      </w:r>
      <w:r w:rsidRPr="002E7ABB">
        <w:rPr>
          <w:rFonts w:eastAsia="宋体"/>
          <w:color w:val="000000"/>
        </w:rPr>
        <w:t>). After incubation for 24 h, cells were washed and diluted (1×10</w:t>
      </w:r>
      <w:r w:rsidRPr="002E7ABB">
        <w:rPr>
          <w:rFonts w:eastAsia="宋体"/>
          <w:color w:val="000000"/>
          <w:vertAlign w:val="superscript"/>
        </w:rPr>
        <w:t>6</w:t>
      </w:r>
      <w:r w:rsidRPr="002E7ABB">
        <w:rPr>
          <w:rFonts w:eastAsia="宋体"/>
          <w:color w:val="000000"/>
        </w:rPr>
        <w:t xml:space="preserve"> per milliliter) with PBS, then repeated freezing to completely destroy. The supernatant was collected and the quantification of intracellular GSH was detection by GSH Assay Kit (No. S0053, Beyotime).</w:t>
      </w:r>
    </w:p>
    <w:p w14:paraId="0E36B4B3"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Western Blot</w:t>
      </w:r>
      <w:r w:rsidRPr="002E7ABB">
        <w:rPr>
          <w:rFonts w:eastAsia="宋体"/>
          <w:b/>
          <w:color w:val="000000"/>
        </w:rPr>
        <w:t xml:space="preserve">: </w:t>
      </w:r>
      <w:r w:rsidRPr="002E7ABB">
        <w:rPr>
          <w:rFonts w:eastAsia="宋体"/>
          <w:color w:val="000000"/>
        </w:rPr>
        <w:t>The 4T1 cells were treated with PBS, E2, Calpeptin + E2 and PD98059 + E2 (Calpeptin: 10 μM; E2: 10</w:t>
      </w:r>
      <w:r w:rsidRPr="002E7ABB">
        <w:rPr>
          <w:rFonts w:eastAsia="宋体"/>
          <w:color w:val="000000"/>
          <w:vertAlign w:val="superscript"/>
        </w:rPr>
        <w:t xml:space="preserve">-9 </w:t>
      </w:r>
      <w:r w:rsidRPr="002E7ABB">
        <w:rPr>
          <w:rFonts w:eastAsia="宋体"/>
          <w:color w:val="000000"/>
        </w:rPr>
        <w:t>M; PD98059: 20 μM) for 2 h, respectively. 4T1 cells precipitation was collected via centrifugation, and then lysed for 45 min on ice. Supernatant were collected by centrifugation and protein concentration was determined by BCA Kit. Total proteins were separated by 10% SDS-PAGE and transferred to PVDF membranes, seal with 5% skim milk powder for 2 h, incubated with antibodies p-ERK1/2 (Proteintech, cat. 28733-1-AP), ERK1/2 (Proteintech, cat. 16443-1-AP), Capn4 (Proteintech, cat. 25057-1-AP), MMP-2(Proteintech, cat. 10373-2-AP) and GAPDH (Proteintech, cat. 10494-1-AP). After incubated with corresponding secondary antibodies, added NCM ECL Ultra and collect protein signals by automatic fluorescence chemiluminescence imaging system. To investigate the effect of IGBN on Capn4 and MMP-2 expression, the 4T1 cells were treated with PBS, E2, CD + E2, PA + E2, CPD + E2 and IGBN + E2 (E2: 10</w:t>
      </w:r>
      <w:r w:rsidRPr="002E7ABB">
        <w:rPr>
          <w:rFonts w:eastAsia="宋体"/>
          <w:color w:val="000000"/>
          <w:vertAlign w:val="superscript"/>
        </w:rPr>
        <w:t xml:space="preserve">-9 </w:t>
      </w:r>
      <w:r w:rsidRPr="002E7ABB">
        <w:rPr>
          <w:rFonts w:eastAsia="宋体"/>
          <w:color w:val="000000"/>
        </w:rPr>
        <w:t>M; CD: 20 μg mL</w:t>
      </w:r>
      <w:r w:rsidRPr="002E7ABB">
        <w:rPr>
          <w:rFonts w:eastAsia="宋体"/>
          <w:color w:val="000000"/>
          <w:vertAlign w:val="superscript"/>
        </w:rPr>
        <w:t>-1</w:t>
      </w:r>
      <w:r w:rsidRPr="002E7ABB">
        <w:rPr>
          <w:rFonts w:eastAsia="宋体"/>
          <w:color w:val="000000"/>
        </w:rPr>
        <w:t>; PA or Pt: 1 μg mL</w:t>
      </w:r>
      <w:r w:rsidRPr="002E7ABB">
        <w:rPr>
          <w:rFonts w:eastAsia="宋体"/>
          <w:color w:val="000000"/>
          <w:vertAlign w:val="superscript"/>
        </w:rPr>
        <w:t>-1</w:t>
      </w:r>
      <w:r w:rsidRPr="002E7ABB">
        <w:rPr>
          <w:rFonts w:eastAsia="宋体"/>
          <w:color w:val="000000"/>
        </w:rPr>
        <w:t>) for 24 h, respectively. The next steps were described as above.</w:t>
      </w:r>
    </w:p>
    <w:p w14:paraId="63BEE69B" w14:textId="77777777" w:rsidR="00845E3F" w:rsidRPr="002E7ABB" w:rsidRDefault="00845E3F" w:rsidP="00020272">
      <w:pPr>
        <w:spacing w:line="480" w:lineRule="auto"/>
        <w:ind w:firstLineChars="100" w:firstLine="240"/>
        <w:jc w:val="both"/>
        <w:rPr>
          <w:rFonts w:eastAsia="宋体"/>
          <w:color w:val="000000"/>
        </w:rPr>
      </w:pPr>
      <w:r w:rsidRPr="002E7ABB">
        <w:rPr>
          <w:rFonts w:eastAsia="宋体"/>
          <w:color w:val="000000"/>
        </w:rPr>
        <w:t>Inhibition of the platelet-induced EMT by IGBN. The 4T1 cells were treated with PBS, Pla, CD + Pla, PA + Pla, CPD + Pla and IGBN + Pla (Platelets: 4 × 10</w:t>
      </w:r>
      <w:r w:rsidRPr="002E7ABB">
        <w:rPr>
          <w:rFonts w:eastAsia="宋体"/>
          <w:color w:val="000000"/>
          <w:vertAlign w:val="superscript"/>
        </w:rPr>
        <w:t>6</w:t>
      </w:r>
      <w:r w:rsidRPr="002E7ABB">
        <w:rPr>
          <w:rFonts w:eastAsia="宋体"/>
          <w:color w:val="000000"/>
        </w:rPr>
        <w:t>; CD: 20 μg mL</w:t>
      </w:r>
      <w:r w:rsidRPr="002E7ABB">
        <w:rPr>
          <w:rFonts w:eastAsia="宋体"/>
          <w:color w:val="000000"/>
          <w:vertAlign w:val="superscript"/>
        </w:rPr>
        <w:t>-1</w:t>
      </w:r>
      <w:r w:rsidRPr="002E7ABB">
        <w:rPr>
          <w:rFonts w:eastAsia="宋体"/>
          <w:color w:val="000000"/>
        </w:rPr>
        <w:t>; PA or Pt: 1 μg mL</w:t>
      </w:r>
      <w:r w:rsidRPr="002E7ABB">
        <w:rPr>
          <w:rFonts w:eastAsia="宋体"/>
          <w:color w:val="000000"/>
          <w:vertAlign w:val="superscript"/>
        </w:rPr>
        <w:t>-1</w:t>
      </w:r>
      <w:r w:rsidRPr="002E7ABB">
        <w:rPr>
          <w:rFonts w:eastAsia="宋体"/>
          <w:color w:val="000000"/>
        </w:rPr>
        <w:t>) for 24 h, respectively. The next steps were described as above.</w:t>
      </w:r>
    </w:p>
    <w:p w14:paraId="2DA1AF43"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Intracellular E2 Consumption</w:t>
      </w:r>
      <w:r w:rsidRPr="002E7ABB">
        <w:rPr>
          <w:rFonts w:eastAsia="宋体"/>
          <w:b/>
          <w:color w:val="000000"/>
        </w:rPr>
        <w:t>:</w:t>
      </w:r>
      <w:r w:rsidRPr="002E7ABB">
        <w:rPr>
          <w:rFonts w:eastAsia="宋体"/>
          <w:color w:val="000000"/>
        </w:rPr>
        <w:t xml:space="preserve"> 4T1 cells (3×10</w:t>
      </w:r>
      <w:r w:rsidRPr="002E7ABB">
        <w:rPr>
          <w:rFonts w:eastAsia="宋体"/>
          <w:color w:val="000000"/>
          <w:vertAlign w:val="superscript"/>
        </w:rPr>
        <w:t>5</w:t>
      </w:r>
      <w:r w:rsidRPr="002E7ABB">
        <w:rPr>
          <w:rFonts w:eastAsia="宋体"/>
          <w:color w:val="000000"/>
        </w:rPr>
        <w:t xml:space="preserve"> per well) were seeded in a 6-well plate for 24 h with 10% FBS (RPMI-1640 Medium (without phenol red) with (v/v) Charcoal-</w:t>
      </w:r>
      <w:r w:rsidRPr="002E7ABB">
        <w:rPr>
          <w:rFonts w:eastAsia="宋体"/>
          <w:color w:val="000000"/>
        </w:rPr>
        <w:lastRenderedPageBreak/>
        <w:t>stripped fetal bovine serum (CS-FBS)). The medium was replaced with fresh RPMI-1640 (without phenol red) and cultured for 24 h. Then cells were co-cultured with PBS, E2, CD + E2, PA + E2, CPD + E2 and IGBN + E2 (E2: 10</w:t>
      </w:r>
      <w:r w:rsidRPr="002E7ABB">
        <w:rPr>
          <w:rFonts w:eastAsia="宋体"/>
          <w:color w:val="000000"/>
          <w:vertAlign w:val="superscript"/>
        </w:rPr>
        <w:t xml:space="preserve">-9 </w:t>
      </w:r>
      <w:r w:rsidRPr="002E7ABB">
        <w:rPr>
          <w:rFonts w:eastAsia="宋体"/>
          <w:color w:val="000000"/>
        </w:rPr>
        <w:t>M; CD: 20 μg mL</w:t>
      </w:r>
      <w:r w:rsidRPr="002E7ABB">
        <w:rPr>
          <w:rFonts w:eastAsia="宋体"/>
          <w:color w:val="000000"/>
          <w:vertAlign w:val="superscript"/>
        </w:rPr>
        <w:t>-1</w:t>
      </w:r>
      <w:r w:rsidRPr="002E7ABB">
        <w:rPr>
          <w:rFonts w:eastAsia="宋体"/>
          <w:color w:val="000000"/>
        </w:rPr>
        <w:t>; PA or Pt: 1 μg mL</w:t>
      </w:r>
      <w:r w:rsidRPr="002E7ABB">
        <w:rPr>
          <w:rFonts w:eastAsia="宋体"/>
          <w:color w:val="000000"/>
          <w:vertAlign w:val="superscript"/>
        </w:rPr>
        <w:t>-1</w:t>
      </w:r>
      <w:r w:rsidRPr="002E7ABB">
        <w:rPr>
          <w:rFonts w:eastAsia="宋体"/>
          <w:color w:val="000000"/>
        </w:rPr>
        <w:t>). After incubation for 24 h, cells were washed and diluted (1×10</w:t>
      </w:r>
      <w:r w:rsidRPr="002E7ABB">
        <w:rPr>
          <w:rFonts w:eastAsia="宋体"/>
          <w:color w:val="000000"/>
          <w:vertAlign w:val="superscript"/>
        </w:rPr>
        <w:t>6</w:t>
      </w:r>
      <w:r w:rsidRPr="002E7ABB">
        <w:rPr>
          <w:rFonts w:eastAsia="宋体"/>
          <w:color w:val="000000"/>
        </w:rPr>
        <w:t xml:space="preserve"> per milliliter) with PBS, then repeated freezing to completely destroy. The supernatant was collected</w:t>
      </w:r>
      <w:r w:rsidRPr="002E7ABB" w:rsidDel="00963773">
        <w:rPr>
          <w:rFonts w:eastAsia="宋体"/>
          <w:color w:val="000000"/>
        </w:rPr>
        <w:t xml:space="preserve"> </w:t>
      </w:r>
      <w:r w:rsidRPr="002E7ABB">
        <w:rPr>
          <w:rFonts w:eastAsia="宋体"/>
          <w:color w:val="000000"/>
        </w:rPr>
        <w:t>and the quantification of intracellular E2 was detection by ELISA kit (No. 501890, Cayman, USA). The intracellular 4-OHE2 was detected as above method.</w:t>
      </w:r>
    </w:p>
    <w:p w14:paraId="2ECD66D9"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Immunofluorescence</w:t>
      </w:r>
      <w:r w:rsidRPr="002E7ABB">
        <w:rPr>
          <w:rFonts w:eastAsia="宋体"/>
          <w:b/>
          <w:color w:val="000000"/>
          <w:lang w:val="en-US"/>
        </w:rPr>
        <w:t>:</w:t>
      </w:r>
      <w:r w:rsidRPr="002E7ABB">
        <w:rPr>
          <w:rFonts w:eastAsia="宋体"/>
          <w:color w:val="000000"/>
          <w:lang w:val="en-US"/>
        </w:rPr>
        <w:t xml:space="preserve"> </w:t>
      </w:r>
      <w:r w:rsidRPr="002E7ABB">
        <w:rPr>
          <w:rFonts w:eastAsia="宋体"/>
          <w:color w:val="000000"/>
        </w:rPr>
        <w:t>4T1 cells (3×10</w:t>
      </w:r>
      <w:r w:rsidRPr="002E7ABB">
        <w:rPr>
          <w:rFonts w:eastAsia="宋体"/>
          <w:color w:val="000000"/>
          <w:vertAlign w:val="superscript"/>
        </w:rPr>
        <w:t>5</w:t>
      </w:r>
      <w:r w:rsidRPr="002E7ABB">
        <w:rPr>
          <w:rFonts w:eastAsia="宋体"/>
          <w:color w:val="000000"/>
        </w:rPr>
        <w:t xml:space="preserve"> cells per well) were seeded in a 6-well plate for overnight, then treated with PBS, Pla, CD+Pla, PA+Pla, CPD+Pla and IGBN+Pla (Platelets: 4×10</w:t>
      </w:r>
      <w:r w:rsidRPr="002E7ABB">
        <w:rPr>
          <w:rFonts w:eastAsia="宋体"/>
          <w:color w:val="000000"/>
          <w:vertAlign w:val="superscript"/>
        </w:rPr>
        <w:t>6</w:t>
      </w:r>
      <w:r w:rsidRPr="002E7ABB">
        <w:rPr>
          <w:rFonts w:eastAsia="宋体"/>
          <w:color w:val="000000"/>
        </w:rPr>
        <w:t>; CD: 20 μg mL</w:t>
      </w:r>
      <w:r w:rsidRPr="002E7ABB">
        <w:rPr>
          <w:rFonts w:eastAsia="宋体"/>
          <w:color w:val="000000"/>
          <w:vertAlign w:val="superscript"/>
        </w:rPr>
        <w:t>-1</w:t>
      </w:r>
      <w:r w:rsidRPr="002E7ABB">
        <w:rPr>
          <w:rFonts w:eastAsia="宋体"/>
          <w:color w:val="000000"/>
        </w:rPr>
        <w:t>; PA or Pt: 1 μg mL</w:t>
      </w:r>
      <w:r w:rsidRPr="002E7ABB">
        <w:rPr>
          <w:rFonts w:eastAsia="宋体"/>
          <w:color w:val="000000"/>
          <w:vertAlign w:val="superscript"/>
        </w:rPr>
        <w:t>-1</w:t>
      </w:r>
      <w:r w:rsidRPr="002E7ABB">
        <w:rPr>
          <w:rFonts w:eastAsia="宋体"/>
          <w:color w:val="000000"/>
        </w:rPr>
        <w:t>) for 24 h. After washing, 4T1 cells were fixed with 4% paraformaldehyde and penetrated with 0.2% Triton for 10 min, then blocked using 5% BSA buffer and incubated for overnight with 1:200 E-cadherin rabbit polyclonal antibody (20874-1-AP, Proteintech) at 4℃.After incubated with Goat Anti-rabbit IgG/Alexa Fluor 488 (bs-0295G-AF488, Biotechnology) at room temperature for 2 h, stained with DAPI and images were obtained by CLSM.</w:t>
      </w:r>
    </w:p>
    <w:p w14:paraId="18EF4D94"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Cellular H</w:t>
      </w:r>
      <w:r w:rsidRPr="002E7ABB">
        <w:rPr>
          <w:b/>
          <w:i/>
          <w:color w:val="000000"/>
          <w:vertAlign w:val="subscript"/>
          <w:lang w:val="en-US"/>
        </w:rPr>
        <w:t>2</w:t>
      </w:r>
      <w:r w:rsidRPr="002E7ABB">
        <w:rPr>
          <w:b/>
          <w:i/>
          <w:color w:val="000000"/>
          <w:lang w:val="en-US"/>
        </w:rPr>
        <w:t>O</w:t>
      </w:r>
      <w:r w:rsidRPr="002E7ABB">
        <w:rPr>
          <w:b/>
          <w:i/>
          <w:color w:val="000000"/>
          <w:vertAlign w:val="subscript"/>
          <w:lang w:val="en-US"/>
        </w:rPr>
        <w:t>2</w:t>
      </w:r>
      <w:r w:rsidRPr="002E7ABB">
        <w:rPr>
          <w:b/>
          <w:i/>
          <w:color w:val="000000"/>
          <w:lang w:val="en-US"/>
        </w:rPr>
        <w:t xml:space="preserve"> Generation</w:t>
      </w:r>
      <w:r w:rsidRPr="002E7ABB">
        <w:rPr>
          <w:rFonts w:eastAsia="宋体"/>
          <w:b/>
          <w:color w:val="000000"/>
        </w:rPr>
        <w:t xml:space="preserve">: </w:t>
      </w:r>
      <w:r w:rsidRPr="002E7ABB">
        <w:rPr>
          <w:rFonts w:eastAsia="宋体"/>
          <w:color w:val="000000"/>
        </w:rPr>
        <w:t>4T1 cells (2×10</w:t>
      </w:r>
      <w:r w:rsidRPr="002E7ABB">
        <w:rPr>
          <w:rFonts w:eastAsia="宋体"/>
          <w:color w:val="000000"/>
          <w:vertAlign w:val="superscript"/>
        </w:rPr>
        <w:t>5</w:t>
      </w:r>
      <w:r w:rsidRPr="002E7ABB">
        <w:rPr>
          <w:rFonts w:eastAsia="宋体"/>
          <w:color w:val="000000"/>
        </w:rPr>
        <w:t xml:space="preserve"> per well) were seeded in a 12-well plate for 24 h. The medium was replaced with fresh medium containing PBS, CD, PA, CPD and IGBN (CD: 50 μg mL</w:t>
      </w:r>
      <w:r w:rsidRPr="002E7ABB">
        <w:rPr>
          <w:rFonts w:eastAsia="宋体"/>
          <w:color w:val="000000"/>
          <w:vertAlign w:val="superscript"/>
        </w:rPr>
        <w:t>-1</w:t>
      </w:r>
      <w:r w:rsidRPr="002E7ABB">
        <w:rPr>
          <w:rFonts w:eastAsia="宋体"/>
          <w:color w:val="000000"/>
        </w:rPr>
        <w:t>; PA or Pt: 2.5 μg mL</w:t>
      </w:r>
      <w:r w:rsidRPr="002E7ABB">
        <w:rPr>
          <w:rFonts w:eastAsia="宋体"/>
          <w:color w:val="000000"/>
          <w:vertAlign w:val="superscript"/>
        </w:rPr>
        <w:t>-1</w:t>
      </w:r>
      <w:r w:rsidRPr="002E7ABB">
        <w:rPr>
          <w:rFonts w:eastAsia="宋体"/>
          <w:color w:val="000000"/>
        </w:rPr>
        <w:t>) for 8 h. H</w:t>
      </w:r>
      <w:r w:rsidRPr="002E7ABB">
        <w:rPr>
          <w:rFonts w:eastAsia="宋体"/>
          <w:color w:val="000000"/>
          <w:vertAlign w:val="subscript"/>
        </w:rPr>
        <w:t>2</w:t>
      </w:r>
      <w:r w:rsidRPr="002E7ABB">
        <w:rPr>
          <w:rFonts w:eastAsia="宋体"/>
          <w:color w:val="000000"/>
        </w:rPr>
        <w:t>O</w:t>
      </w:r>
      <w:r w:rsidRPr="002E7ABB">
        <w:rPr>
          <w:rFonts w:eastAsia="宋体"/>
          <w:color w:val="000000"/>
          <w:vertAlign w:val="subscript"/>
        </w:rPr>
        <w:t xml:space="preserve">2 </w:t>
      </w:r>
      <w:r w:rsidRPr="002E7ABB">
        <w:rPr>
          <w:rFonts w:eastAsia="宋体"/>
          <w:color w:val="000000"/>
        </w:rPr>
        <w:t>generation were assayed with BES-H</w:t>
      </w:r>
      <w:r w:rsidRPr="002E7ABB">
        <w:rPr>
          <w:rFonts w:eastAsia="宋体"/>
          <w:color w:val="000000"/>
          <w:vertAlign w:val="subscript"/>
        </w:rPr>
        <w:t>2</w:t>
      </w:r>
      <w:r w:rsidRPr="002E7ABB">
        <w:rPr>
          <w:rFonts w:eastAsia="宋体"/>
          <w:color w:val="000000"/>
        </w:rPr>
        <w:t>O</w:t>
      </w:r>
      <w:r w:rsidRPr="002E7ABB">
        <w:rPr>
          <w:rFonts w:eastAsia="宋体"/>
          <w:color w:val="000000"/>
          <w:vertAlign w:val="subscript"/>
        </w:rPr>
        <w:t>2</w:t>
      </w:r>
      <w:r w:rsidRPr="002E7ABB">
        <w:rPr>
          <w:rFonts w:eastAsia="宋体"/>
          <w:color w:val="000000"/>
        </w:rPr>
        <w:t>-Ac (50 µM), after incubation for 15 min, fluorescence images were acquired by fluorescence microscope.</w:t>
      </w:r>
    </w:p>
    <w:p w14:paraId="2F7FE9D4"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Intracellular NO Generation</w:t>
      </w:r>
      <w:r w:rsidRPr="002E7ABB">
        <w:rPr>
          <w:rFonts w:eastAsia="宋体"/>
          <w:b/>
          <w:color w:val="000000"/>
        </w:rPr>
        <w:t>:</w:t>
      </w:r>
      <w:r w:rsidRPr="002E7ABB">
        <w:rPr>
          <w:rFonts w:eastAsia="宋体"/>
          <w:color w:val="000000"/>
        </w:rPr>
        <w:t xml:space="preserve"> 4T1 cells (3×10</w:t>
      </w:r>
      <w:r w:rsidRPr="002E7ABB">
        <w:rPr>
          <w:rFonts w:eastAsia="宋体"/>
          <w:color w:val="000000"/>
          <w:vertAlign w:val="superscript"/>
        </w:rPr>
        <w:t>5</w:t>
      </w:r>
      <w:r w:rsidRPr="002E7ABB">
        <w:rPr>
          <w:rFonts w:eastAsia="宋体"/>
          <w:color w:val="000000"/>
        </w:rPr>
        <w:t>) were seeded in confocal dishes and cultured for 24 h at 37 °C. Then medium was replaced with fresh medium containing PBS, CD, PA, CPD and IGBN (CD: 50 μg mL</w:t>
      </w:r>
      <w:r w:rsidRPr="002E7ABB">
        <w:rPr>
          <w:rFonts w:eastAsia="宋体"/>
          <w:color w:val="000000"/>
          <w:vertAlign w:val="superscript"/>
        </w:rPr>
        <w:t>-1</w:t>
      </w:r>
      <w:r w:rsidRPr="002E7ABB">
        <w:rPr>
          <w:rFonts w:eastAsia="宋体"/>
          <w:color w:val="000000"/>
        </w:rPr>
        <w:t>, PA or Pt: 2.5 μg mL</w:t>
      </w:r>
      <w:r w:rsidRPr="002E7ABB">
        <w:rPr>
          <w:rFonts w:eastAsia="宋体"/>
          <w:color w:val="000000"/>
          <w:vertAlign w:val="superscript"/>
        </w:rPr>
        <w:t>-1</w:t>
      </w:r>
      <w:r w:rsidRPr="002E7ABB">
        <w:rPr>
          <w:rFonts w:eastAsia="宋体"/>
          <w:color w:val="000000"/>
        </w:rPr>
        <w:t>) for 8 h. Afterwards, cells were washed with PBS for several times, and stained with NO fluorescent probe (DAF-FM DA) for 30 min. After washing,</w:t>
      </w:r>
      <w:r w:rsidRPr="002E7ABB">
        <w:rPr>
          <w:color w:val="000000"/>
        </w:rPr>
        <w:t xml:space="preserve"> </w:t>
      </w:r>
      <w:r w:rsidRPr="002E7ABB">
        <w:rPr>
          <w:rFonts w:eastAsia="宋体"/>
          <w:color w:val="000000"/>
        </w:rPr>
        <w:t>stained with DAPI</w:t>
      </w:r>
      <w:r w:rsidRPr="002E7ABB">
        <w:rPr>
          <w:rFonts w:eastAsia="宋体"/>
          <w:color w:val="000000"/>
        </w:rPr>
        <w:t>，</w:t>
      </w:r>
      <w:r w:rsidRPr="002E7ABB">
        <w:rPr>
          <w:rFonts w:eastAsia="宋体"/>
          <w:color w:val="000000"/>
        </w:rPr>
        <w:t>the cellular NO generation were observed by CLSM.</w:t>
      </w:r>
    </w:p>
    <w:p w14:paraId="593A334B"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lastRenderedPageBreak/>
        <w:t>Platelet Activation Assay</w:t>
      </w:r>
      <w:r w:rsidRPr="002E7ABB">
        <w:rPr>
          <w:rFonts w:eastAsia="宋体"/>
          <w:b/>
          <w:color w:val="000000"/>
        </w:rPr>
        <w:t>:</w:t>
      </w:r>
      <w:r w:rsidRPr="002E7ABB">
        <w:rPr>
          <w:rFonts w:eastAsia="宋体"/>
          <w:color w:val="000000"/>
        </w:rPr>
        <w:t xml:space="preserve"> Platelet-rich plasma (PRP) was obtained from DENING Bio. Platelets were collected by centrifugation at room temperature, and stained with Dil cell membrane dye at room temperature for 20 min.</w:t>
      </w:r>
      <w:r w:rsidRPr="002E7ABB">
        <w:rPr>
          <w:i/>
          <w:color w:val="000000"/>
          <w:lang w:val="en-US" w:eastAsia="zh-CN"/>
        </w:rPr>
        <w:t xml:space="preserve"> </w:t>
      </w:r>
      <w:r w:rsidRPr="002E7ABB">
        <w:rPr>
          <w:rFonts w:eastAsia="宋体"/>
          <w:color w:val="000000"/>
        </w:rPr>
        <w:t>4T1 cells (3×10</w:t>
      </w:r>
      <w:r w:rsidRPr="002E7ABB">
        <w:rPr>
          <w:rFonts w:eastAsia="宋体"/>
          <w:color w:val="000000"/>
          <w:vertAlign w:val="superscript"/>
        </w:rPr>
        <w:t xml:space="preserve">5 </w:t>
      </w:r>
      <w:r w:rsidRPr="002E7ABB">
        <w:rPr>
          <w:rFonts w:eastAsia="宋体"/>
          <w:color w:val="000000"/>
        </w:rPr>
        <w:t>cells per well) were seeded in confocal dishes and cultured for overnight. The medium was replaced with fresh medium containing Pla, CD + Pla, PA + Pla, CPD + Pla and IGBN + Pla (Platelets : 4×10</w:t>
      </w:r>
      <w:r w:rsidRPr="002E7ABB">
        <w:rPr>
          <w:rFonts w:eastAsia="宋体"/>
          <w:color w:val="000000"/>
          <w:vertAlign w:val="superscript"/>
        </w:rPr>
        <w:t>6</w:t>
      </w:r>
      <w:r w:rsidRPr="002E7ABB">
        <w:rPr>
          <w:rFonts w:eastAsia="宋体"/>
          <w:color w:val="000000"/>
        </w:rPr>
        <w:t>; CD: 50 μg mL</w:t>
      </w:r>
      <w:r w:rsidRPr="002E7ABB">
        <w:rPr>
          <w:rFonts w:eastAsia="宋体"/>
          <w:color w:val="000000"/>
          <w:vertAlign w:val="superscript"/>
        </w:rPr>
        <w:t>-1</w:t>
      </w:r>
      <w:r w:rsidRPr="002E7ABB">
        <w:rPr>
          <w:rFonts w:eastAsia="宋体"/>
          <w:color w:val="000000"/>
        </w:rPr>
        <w:t>; PA or Pt: 2.5 μg mL</w:t>
      </w:r>
      <w:r w:rsidRPr="002E7ABB">
        <w:rPr>
          <w:rFonts w:eastAsia="宋体"/>
          <w:color w:val="000000"/>
          <w:vertAlign w:val="superscript"/>
        </w:rPr>
        <w:t>-1</w:t>
      </w:r>
      <w:r w:rsidRPr="002E7ABB">
        <w:rPr>
          <w:rFonts w:eastAsia="宋体"/>
          <w:color w:val="000000"/>
        </w:rPr>
        <w:t>) for 8 h. Washed with PBS to remove unattached platelets, stained with Hoechst 33342. After washing, platelet adhesion behaviours were observed by CLSM.</w:t>
      </w:r>
    </w:p>
    <w:p w14:paraId="28CEB6D0"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Wound Healing</w:t>
      </w:r>
      <w:r w:rsidRPr="002E7ABB">
        <w:rPr>
          <w:rFonts w:eastAsia="宋体"/>
          <w:b/>
          <w:color w:val="000000"/>
        </w:rPr>
        <w:t xml:space="preserve">: </w:t>
      </w:r>
      <w:r w:rsidRPr="002E7ABB">
        <w:rPr>
          <w:rFonts w:eastAsia="宋体"/>
          <w:color w:val="000000"/>
        </w:rPr>
        <w:t>4T1 cells (3×10</w:t>
      </w:r>
      <w:r w:rsidRPr="002E7ABB">
        <w:rPr>
          <w:rFonts w:eastAsia="宋体"/>
          <w:color w:val="000000"/>
          <w:vertAlign w:val="superscript"/>
        </w:rPr>
        <w:t>5</w:t>
      </w:r>
      <w:r w:rsidRPr="002E7ABB">
        <w:rPr>
          <w:rFonts w:eastAsia="宋体"/>
          <w:color w:val="000000"/>
        </w:rPr>
        <w:t xml:space="preserve"> cells per well) were seeded in a 6-well plate for 24 h with phenol red-free RPMI-1640 medium containing 10% charcoal-stripped fetal bovine serum. Then treated with PBS, Pla + E2, CD/ Pla + E2, PA/ Pla + E2, CPD/ Pla + E2 and IGBN/ Pla + E2 (E2: 10</w:t>
      </w:r>
      <w:r w:rsidRPr="002E7ABB">
        <w:rPr>
          <w:rFonts w:eastAsia="宋体"/>
          <w:color w:val="000000"/>
          <w:vertAlign w:val="superscript"/>
        </w:rPr>
        <w:t xml:space="preserve">-9  </w:t>
      </w:r>
      <w:r w:rsidRPr="002E7ABB">
        <w:rPr>
          <w:rFonts w:eastAsia="宋体"/>
          <w:color w:val="000000"/>
        </w:rPr>
        <w:t>M; Platelets: 4 × 10</w:t>
      </w:r>
      <w:r w:rsidRPr="002E7ABB">
        <w:rPr>
          <w:rFonts w:eastAsia="宋体"/>
          <w:color w:val="000000"/>
          <w:vertAlign w:val="superscript"/>
        </w:rPr>
        <w:t>6</w:t>
      </w:r>
      <w:r w:rsidRPr="002E7ABB">
        <w:rPr>
          <w:rFonts w:eastAsia="宋体"/>
          <w:color w:val="000000"/>
        </w:rPr>
        <w:t>; CD: 50 μg mL</w:t>
      </w:r>
      <w:r w:rsidRPr="002E7ABB">
        <w:rPr>
          <w:rFonts w:eastAsia="宋体"/>
          <w:color w:val="000000"/>
          <w:vertAlign w:val="superscript"/>
        </w:rPr>
        <w:t>-1</w:t>
      </w:r>
      <w:r w:rsidRPr="002E7ABB">
        <w:rPr>
          <w:rFonts w:eastAsia="宋体"/>
          <w:color w:val="000000"/>
        </w:rPr>
        <w:t>; PA or Pt: 2.5 μg mL</w:t>
      </w:r>
      <w:r w:rsidRPr="002E7ABB">
        <w:rPr>
          <w:rFonts w:eastAsia="宋体"/>
          <w:color w:val="000000"/>
          <w:vertAlign w:val="superscript"/>
        </w:rPr>
        <w:t>-1</w:t>
      </w:r>
      <w:r w:rsidRPr="002E7ABB">
        <w:rPr>
          <w:rFonts w:eastAsia="宋体"/>
          <w:color w:val="000000"/>
        </w:rPr>
        <w:t>). After scratching wound, healing conditions at different time were recorded with microscope.</w:t>
      </w:r>
    </w:p>
    <w:p w14:paraId="1D4818FD"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Transwell</w:t>
      </w:r>
      <w:r w:rsidRPr="002E7ABB">
        <w:rPr>
          <w:rFonts w:eastAsia="宋体"/>
          <w:b/>
          <w:color w:val="000000"/>
        </w:rPr>
        <w:t>:</w:t>
      </w:r>
      <w:r w:rsidRPr="002E7ABB">
        <w:rPr>
          <w:rFonts w:eastAsia="宋体"/>
          <w:color w:val="000000"/>
        </w:rPr>
        <w:t xml:space="preserve"> Transwell assay were used to detect the migration and invasion of tumor cells. 4T1 cells were diluted to 5×10</w:t>
      </w:r>
      <w:r w:rsidRPr="002E7ABB">
        <w:rPr>
          <w:rFonts w:eastAsia="宋体"/>
          <w:color w:val="000000"/>
          <w:vertAlign w:val="superscript"/>
        </w:rPr>
        <w:t>5</w:t>
      </w:r>
      <w:r w:rsidRPr="002E7ABB">
        <w:rPr>
          <w:rFonts w:eastAsia="宋体"/>
          <w:color w:val="000000"/>
        </w:rPr>
        <w:t xml:space="preserve"> per milliliter with serum-free culture medium and seeded to the upper chambers, then cultured with PBS, Pla, Pla + E2, IGBN/Pla + E2 and IGBN (Platelets:4×10</w:t>
      </w:r>
      <w:r w:rsidRPr="002E7ABB">
        <w:rPr>
          <w:rFonts w:eastAsia="宋体"/>
          <w:color w:val="000000"/>
          <w:vertAlign w:val="superscript"/>
        </w:rPr>
        <w:t>6</w:t>
      </w:r>
      <w:r w:rsidRPr="002E7ABB">
        <w:rPr>
          <w:rFonts w:eastAsia="宋体"/>
          <w:color w:val="000000"/>
        </w:rPr>
        <w:t>; E2:10</w:t>
      </w:r>
      <w:r w:rsidRPr="002E7ABB">
        <w:rPr>
          <w:rFonts w:eastAsia="宋体"/>
          <w:color w:val="000000"/>
          <w:vertAlign w:val="superscript"/>
        </w:rPr>
        <w:t xml:space="preserve">-9 </w:t>
      </w:r>
      <w:r w:rsidRPr="002E7ABB">
        <w:rPr>
          <w:rFonts w:eastAsia="宋体"/>
          <w:color w:val="000000"/>
        </w:rPr>
        <w:t>M; CD: 50 μg mL</w:t>
      </w:r>
      <w:r w:rsidRPr="002E7ABB">
        <w:rPr>
          <w:rFonts w:eastAsia="宋体"/>
          <w:color w:val="000000"/>
          <w:vertAlign w:val="superscript"/>
        </w:rPr>
        <w:t>-1</w:t>
      </w:r>
      <w:r w:rsidRPr="002E7ABB">
        <w:rPr>
          <w:rFonts w:eastAsia="宋体"/>
          <w:color w:val="000000"/>
        </w:rPr>
        <w:t>; PA: 2.5 μg mL</w:t>
      </w:r>
      <w:r w:rsidRPr="002E7ABB">
        <w:rPr>
          <w:rFonts w:eastAsia="宋体"/>
          <w:color w:val="000000"/>
          <w:vertAlign w:val="superscript"/>
        </w:rPr>
        <w:t>-1</w:t>
      </w:r>
      <w:r w:rsidRPr="002E7ABB">
        <w:rPr>
          <w:rFonts w:eastAsia="宋体"/>
          <w:color w:val="000000"/>
        </w:rPr>
        <w:t>). The RPMI 1640 medium containing 10% FBS were seeded to lower part of the chamber transwell chamber. After 24 h, cells were fixed with 4% paraformaldehyde and stained with 0.1% crystal violet for 15 min, photographs were taken by fluorescence microscope and counted positive area by Image</w:t>
      </w:r>
      <w:r w:rsidRPr="002E7ABB">
        <w:rPr>
          <w:rFonts w:eastAsia="宋体" w:hint="eastAsia"/>
          <w:color w:val="000000"/>
          <w:lang w:eastAsia="zh-CN"/>
        </w:rPr>
        <w:t xml:space="preserve"> </w:t>
      </w:r>
      <w:r w:rsidRPr="002E7ABB">
        <w:rPr>
          <w:rFonts w:eastAsia="宋体"/>
          <w:color w:val="000000"/>
        </w:rPr>
        <w:t>J.</w:t>
      </w:r>
    </w:p>
    <w:p w14:paraId="71F36A10"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 xml:space="preserve">In Vitro </w:t>
      </w:r>
      <w:r w:rsidRPr="002E7ABB">
        <w:rPr>
          <w:b/>
          <w:i/>
          <w:color w:val="000000"/>
          <w:lang w:val="en-US" w:eastAsia="zh-CN"/>
        </w:rPr>
        <w:t>A</w:t>
      </w:r>
      <w:r w:rsidRPr="002E7ABB">
        <w:rPr>
          <w:b/>
          <w:i/>
          <w:color w:val="000000"/>
          <w:lang w:val="en-US"/>
        </w:rPr>
        <w:t>ntitumor Efficacy</w:t>
      </w:r>
      <w:r w:rsidRPr="002E7ABB">
        <w:rPr>
          <w:rFonts w:eastAsia="宋体"/>
          <w:b/>
          <w:color w:val="000000"/>
        </w:rPr>
        <w:t>:</w:t>
      </w:r>
      <w:r w:rsidRPr="002E7ABB">
        <w:rPr>
          <w:rFonts w:eastAsia="宋体"/>
          <w:color w:val="000000"/>
        </w:rPr>
        <w:t xml:space="preserve"> Antitumor effect of IGBN </w:t>
      </w:r>
      <w:r w:rsidRPr="002E7ABB">
        <w:rPr>
          <w:rFonts w:eastAsia="宋体"/>
          <w:i/>
          <w:color w:val="000000"/>
        </w:rPr>
        <w:t>in vitro</w:t>
      </w:r>
      <w:r w:rsidRPr="002E7ABB">
        <w:rPr>
          <w:rFonts w:eastAsia="宋体"/>
          <w:color w:val="000000"/>
        </w:rPr>
        <w:t xml:space="preserve"> was investigated by CCK-8 assay. 4T1 cells (8×10</w:t>
      </w:r>
      <w:r w:rsidRPr="002E7ABB">
        <w:rPr>
          <w:rFonts w:eastAsia="宋体"/>
          <w:color w:val="000000"/>
          <w:vertAlign w:val="superscript"/>
        </w:rPr>
        <w:t xml:space="preserve">3 </w:t>
      </w:r>
      <w:r w:rsidRPr="002E7ABB">
        <w:rPr>
          <w:rFonts w:eastAsia="宋体"/>
          <w:color w:val="000000"/>
        </w:rPr>
        <w:t>cells per well) were seeded in 96-well plates. After overnight incubation, the cells were treated with different treatments (0-100 μg mL</w:t>
      </w:r>
      <w:r w:rsidRPr="002E7ABB">
        <w:rPr>
          <w:rFonts w:eastAsia="宋体"/>
          <w:color w:val="000000"/>
          <w:vertAlign w:val="superscript"/>
        </w:rPr>
        <w:t>-1</w:t>
      </w:r>
      <w:r w:rsidRPr="002E7ABB">
        <w:rPr>
          <w:rFonts w:eastAsia="宋体"/>
          <w:color w:val="000000"/>
        </w:rPr>
        <w:t>) for 24 h. Then incubated with CCK-8 solution for 2 h and the absorbance was measured at 450 nm.</w:t>
      </w:r>
    </w:p>
    <w:p w14:paraId="5AD2C10A" w14:textId="77777777" w:rsidR="00672EF9" w:rsidRDefault="00845E3F" w:rsidP="00020272">
      <w:pPr>
        <w:spacing w:line="480" w:lineRule="auto"/>
        <w:ind w:firstLineChars="100" w:firstLine="241"/>
        <w:jc w:val="both"/>
        <w:rPr>
          <w:rFonts w:eastAsia="Yu Mincho"/>
          <w:color w:val="000000"/>
        </w:rPr>
      </w:pPr>
      <w:r w:rsidRPr="002E7ABB">
        <w:rPr>
          <w:rFonts w:eastAsia="宋体"/>
          <w:b/>
          <w:i/>
          <w:color w:val="000000"/>
        </w:rPr>
        <w:t>Live/</w:t>
      </w:r>
      <w:r w:rsidRPr="002E7ABB">
        <w:rPr>
          <w:rFonts w:eastAsia="宋体"/>
          <w:b/>
          <w:i/>
          <w:color w:val="000000"/>
          <w:lang w:eastAsia="zh-CN"/>
        </w:rPr>
        <w:t>D</w:t>
      </w:r>
      <w:r w:rsidRPr="002E7ABB">
        <w:rPr>
          <w:rFonts w:eastAsia="宋体"/>
          <w:b/>
          <w:i/>
          <w:color w:val="000000"/>
        </w:rPr>
        <w:t xml:space="preserve">ead </w:t>
      </w:r>
      <w:r w:rsidRPr="002E7ABB">
        <w:rPr>
          <w:rFonts w:eastAsia="宋体"/>
          <w:b/>
          <w:i/>
          <w:color w:val="000000"/>
          <w:lang w:eastAsia="zh-CN"/>
        </w:rPr>
        <w:t>C</w:t>
      </w:r>
      <w:r w:rsidRPr="002E7ABB">
        <w:rPr>
          <w:rFonts w:eastAsia="宋体"/>
          <w:b/>
          <w:i/>
          <w:color w:val="000000"/>
        </w:rPr>
        <w:t xml:space="preserve">ell </w:t>
      </w:r>
      <w:r w:rsidRPr="002E7ABB">
        <w:rPr>
          <w:rFonts w:eastAsia="宋体"/>
          <w:b/>
          <w:i/>
          <w:color w:val="000000"/>
          <w:lang w:eastAsia="zh-CN"/>
        </w:rPr>
        <w:t>S</w:t>
      </w:r>
      <w:r w:rsidRPr="002E7ABB">
        <w:rPr>
          <w:rFonts w:eastAsia="宋体"/>
          <w:b/>
          <w:i/>
          <w:color w:val="000000"/>
        </w:rPr>
        <w:t xml:space="preserve">taining </w:t>
      </w:r>
      <w:r w:rsidRPr="002E7ABB">
        <w:rPr>
          <w:rFonts w:eastAsia="宋体"/>
          <w:b/>
          <w:i/>
          <w:color w:val="000000"/>
          <w:lang w:eastAsia="zh-CN"/>
        </w:rPr>
        <w:t>A</w:t>
      </w:r>
      <w:r w:rsidRPr="002E7ABB">
        <w:rPr>
          <w:rFonts w:eastAsia="宋体"/>
          <w:b/>
          <w:i/>
          <w:color w:val="000000"/>
        </w:rPr>
        <w:t>ssay</w:t>
      </w:r>
      <w:r w:rsidRPr="002E7ABB">
        <w:rPr>
          <w:rFonts w:eastAsia="宋体"/>
          <w:b/>
          <w:color w:val="000000"/>
        </w:rPr>
        <w:t xml:space="preserve">: </w:t>
      </w:r>
      <w:r w:rsidRPr="002E7ABB">
        <w:rPr>
          <w:rFonts w:eastAsia="宋体"/>
          <w:color w:val="000000"/>
        </w:rPr>
        <w:t>4T1 cells (2×10</w:t>
      </w:r>
      <w:r w:rsidRPr="002E7ABB">
        <w:rPr>
          <w:rFonts w:eastAsia="宋体"/>
          <w:color w:val="000000"/>
          <w:vertAlign w:val="superscript"/>
        </w:rPr>
        <w:t>5</w:t>
      </w:r>
      <w:r w:rsidRPr="002E7ABB">
        <w:rPr>
          <w:rFonts w:eastAsia="宋体"/>
          <w:color w:val="000000"/>
        </w:rPr>
        <w:t xml:space="preserve"> cells per well) were seeded in a 12-well plate for overnight. Then cultured with different treatments (CD: 50 μg mL</w:t>
      </w:r>
      <w:r w:rsidRPr="002E7ABB">
        <w:rPr>
          <w:rFonts w:eastAsia="宋体"/>
          <w:color w:val="000000"/>
          <w:vertAlign w:val="superscript"/>
        </w:rPr>
        <w:t>-1</w:t>
      </w:r>
      <w:r w:rsidRPr="002E7ABB">
        <w:rPr>
          <w:rFonts w:eastAsia="宋体"/>
          <w:color w:val="000000"/>
        </w:rPr>
        <w:t xml:space="preserve">; PA or Pt: 2.5 μg </w:t>
      </w:r>
      <w:r w:rsidRPr="002E7ABB">
        <w:rPr>
          <w:rFonts w:eastAsia="宋体"/>
          <w:color w:val="000000"/>
        </w:rPr>
        <w:lastRenderedPageBreak/>
        <w:t>mL</w:t>
      </w:r>
      <w:r w:rsidRPr="002E7ABB">
        <w:rPr>
          <w:rFonts w:eastAsia="宋体"/>
          <w:color w:val="000000"/>
          <w:vertAlign w:val="superscript"/>
        </w:rPr>
        <w:t>-1</w:t>
      </w:r>
      <w:r w:rsidRPr="002E7ABB">
        <w:rPr>
          <w:rFonts w:eastAsia="宋体"/>
          <w:color w:val="000000"/>
        </w:rPr>
        <w:t>) for 24 h. Live/dead cell staining assay of 4T1 cells was assessed using the calcein-AM/PI double stain kit, then fluorescence images of calcein AM (green, live cells) and PI (red, dead cells) were taken by fluorescence microscope.</w:t>
      </w:r>
    </w:p>
    <w:p w14:paraId="7BB3D893" w14:textId="316DC2B1" w:rsidR="00845E3F" w:rsidRPr="002E7ABB" w:rsidRDefault="00845E3F" w:rsidP="00020272">
      <w:pPr>
        <w:spacing w:line="480" w:lineRule="auto"/>
        <w:ind w:firstLineChars="100" w:firstLine="241"/>
        <w:jc w:val="both"/>
        <w:rPr>
          <w:rFonts w:eastAsia="宋体"/>
          <w:color w:val="000000"/>
        </w:rPr>
      </w:pPr>
      <w:r w:rsidRPr="002E7ABB">
        <w:rPr>
          <w:rFonts w:eastAsia="宋体"/>
          <w:b/>
          <w:i/>
          <w:color w:val="000000"/>
        </w:rPr>
        <w:t>Apoptosis Assay</w:t>
      </w:r>
      <w:r w:rsidRPr="002E7ABB">
        <w:rPr>
          <w:rFonts w:eastAsia="宋体"/>
          <w:b/>
          <w:color w:val="000000"/>
        </w:rPr>
        <w:t>:</w:t>
      </w:r>
      <w:r w:rsidRPr="002E7ABB">
        <w:rPr>
          <w:rFonts w:eastAsia="宋体"/>
          <w:color w:val="000000"/>
        </w:rPr>
        <w:t xml:space="preserve"> Cells (3×10</w:t>
      </w:r>
      <w:r w:rsidRPr="002E7ABB">
        <w:rPr>
          <w:rFonts w:eastAsia="宋体"/>
          <w:color w:val="000000"/>
          <w:vertAlign w:val="superscript"/>
        </w:rPr>
        <w:t>5</w:t>
      </w:r>
      <w:r w:rsidRPr="002E7ABB">
        <w:rPr>
          <w:rFonts w:eastAsia="宋体"/>
          <w:color w:val="000000"/>
        </w:rPr>
        <w:t xml:space="preserve"> cells per well) were incubated with PBS, CD, PA, CPD and IGBN (CD: 50 μg mL</w:t>
      </w:r>
      <w:r w:rsidRPr="002E7ABB">
        <w:rPr>
          <w:rFonts w:eastAsia="宋体"/>
          <w:color w:val="000000"/>
          <w:vertAlign w:val="superscript"/>
        </w:rPr>
        <w:t>-1</w:t>
      </w:r>
      <w:r w:rsidRPr="002E7ABB">
        <w:rPr>
          <w:rFonts w:eastAsia="宋体"/>
          <w:color w:val="000000"/>
        </w:rPr>
        <w:t>; PA or Pt: 2.5 μg mL</w:t>
      </w:r>
      <w:r w:rsidRPr="002E7ABB">
        <w:rPr>
          <w:rFonts w:eastAsia="宋体"/>
          <w:color w:val="000000"/>
          <w:vertAlign w:val="superscript"/>
        </w:rPr>
        <w:t>-1</w:t>
      </w:r>
      <w:r w:rsidRPr="002E7ABB">
        <w:rPr>
          <w:rFonts w:eastAsia="宋体"/>
          <w:color w:val="000000"/>
        </w:rPr>
        <w:t>) for 24 h. After washing, cells were harvested using trypsin-EDTA and stained with annexin V-FITC/PI for 15 min, the apoptotic detect of 4T1 cells by flow cytomet</w:t>
      </w:r>
      <w:r w:rsidRPr="002E7ABB">
        <w:rPr>
          <w:rFonts w:eastAsia="宋体"/>
          <w:color w:val="000000"/>
          <w:lang w:eastAsia="zh-CN"/>
        </w:rPr>
        <w:t>er</w:t>
      </w:r>
      <w:r w:rsidRPr="002E7ABB">
        <w:rPr>
          <w:rFonts w:eastAsia="宋体"/>
          <w:color w:val="000000"/>
        </w:rPr>
        <w:t>.</w:t>
      </w:r>
    </w:p>
    <w:p w14:paraId="3D88763D"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In Vivo Biodistribution</w:t>
      </w:r>
      <w:r w:rsidRPr="002E7ABB">
        <w:rPr>
          <w:rFonts w:eastAsia="宋体"/>
          <w:b/>
          <w:color w:val="000000"/>
        </w:rPr>
        <w:t>:</w:t>
      </w:r>
      <w:r w:rsidRPr="002E7ABB">
        <w:rPr>
          <w:rFonts w:eastAsia="宋体"/>
          <w:color w:val="000000"/>
        </w:rPr>
        <w:t xml:space="preserve"> The </w:t>
      </w:r>
      <w:r w:rsidRPr="002E7ABB">
        <w:rPr>
          <w:rFonts w:eastAsia="宋体"/>
          <w:i/>
          <w:color w:val="000000"/>
        </w:rPr>
        <w:t>in vivo</w:t>
      </w:r>
      <w:r w:rsidRPr="002E7ABB">
        <w:rPr>
          <w:rFonts w:eastAsia="宋体"/>
          <w:color w:val="000000"/>
        </w:rPr>
        <w:t xml:space="preserve"> biodistribution of IGBN was observed by near-infrared ﬂuorescence imaging. Brieﬂy, 4T1 tumor-bearing mice were intravenously injected with IR783 and IR783-labeled IGBN (equivalent IR783 concentration, 1.0 mg kg</w:t>
      </w:r>
      <w:r w:rsidRPr="002E7ABB">
        <w:rPr>
          <w:rFonts w:eastAsia="宋体"/>
          <w:color w:val="000000"/>
          <w:vertAlign w:val="superscript"/>
        </w:rPr>
        <w:t xml:space="preserve">-1 </w:t>
      </w:r>
      <w:r w:rsidRPr="002E7ABB">
        <w:rPr>
          <w:rFonts w:eastAsia="宋体"/>
          <w:color w:val="000000"/>
        </w:rPr>
        <w:t xml:space="preserve">body weight), respectively. Fluorescence imaging was performed at predetermined times, and the mice were sacrificed at 48 h of post-injection. Tumor and main organs were harvested and washed with saline for </w:t>
      </w:r>
      <w:r w:rsidRPr="002E7ABB">
        <w:rPr>
          <w:rFonts w:eastAsia="宋体"/>
          <w:i/>
          <w:color w:val="000000"/>
        </w:rPr>
        <w:t>ex vivo</w:t>
      </w:r>
      <w:r w:rsidRPr="002E7ABB">
        <w:rPr>
          <w:rFonts w:eastAsia="宋体"/>
          <w:color w:val="000000"/>
        </w:rPr>
        <w:t xml:space="preserve"> imaging.</w:t>
      </w:r>
    </w:p>
    <w:p w14:paraId="372CDF4C"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 xml:space="preserve">In </w:t>
      </w:r>
      <w:r w:rsidRPr="002E7ABB">
        <w:rPr>
          <w:b/>
          <w:i/>
          <w:color w:val="000000"/>
          <w:lang w:val="en-US" w:eastAsia="zh-CN"/>
        </w:rPr>
        <w:t>V</w:t>
      </w:r>
      <w:r w:rsidRPr="002E7ABB">
        <w:rPr>
          <w:b/>
          <w:i/>
          <w:color w:val="000000"/>
          <w:lang w:val="en-US"/>
        </w:rPr>
        <w:t xml:space="preserve">ivo </w:t>
      </w:r>
      <w:r w:rsidRPr="002E7ABB">
        <w:rPr>
          <w:b/>
          <w:i/>
          <w:color w:val="000000"/>
          <w:lang w:val="en-US" w:eastAsia="zh-CN"/>
        </w:rPr>
        <w:t>A</w:t>
      </w:r>
      <w:r w:rsidRPr="002E7ABB">
        <w:rPr>
          <w:b/>
          <w:i/>
          <w:color w:val="000000"/>
          <w:lang w:val="en-US"/>
        </w:rPr>
        <w:t xml:space="preserve">ntitumor and </w:t>
      </w:r>
      <w:r w:rsidRPr="002E7ABB">
        <w:rPr>
          <w:b/>
          <w:i/>
          <w:color w:val="000000"/>
          <w:lang w:val="en-US" w:eastAsia="zh-CN"/>
        </w:rPr>
        <w:t>A</w:t>
      </w:r>
      <w:r w:rsidRPr="002E7ABB">
        <w:rPr>
          <w:b/>
          <w:i/>
          <w:color w:val="000000"/>
          <w:lang w:val="en-US"/>
        </w:rPr>
        <w:t xml:space="preserve">ntimetastatic </w:t>
      </w:r>
      <w:r w:rsidRPr="002E7ABB">
        <w:rPr>
          <w:b/>
          <w:i/>
          <w:color w:val="000000"/>
          <w:lang w:val="en-US" w:eastAsia="zh-CN"/>
        </w:rPr>
        <w:t>E</w:t>
      </w:r>
      <w:r w:rsidRPr="002E7ABB">
        <w:rPr>
          <w:b/>
          <w:i/>
          <w:color w:val="000000"/>
          <w:lang w:val="en-US"/>
        </w:rPr>
        <w:t>fficacy</w:t>
      </w:r>
      <w:r w:rsidRPr="002E7ABB">
        <w:rPr>
          <w:rFonts w:eastAsia="宋体"/>
          <w:b/>
          <w:color w:val="000000"/>
        </w:rPr>
        <w:t>:</w:t>
      </w:r>
      <w:r w:rsidRPr="002E7ABB">
        <w:rPr>
          <w:rFonts w:eastAsia="宋体"/>
          <w:color w:val="000000"/>
        </w:rPr>
        <w:t xml:space="preserve"> The therapeutic efficacy of IGBN was evaluated utilizing 4T1 tumor-bearing BALB/c mice. Two weeks after tumor inoculation, the 4T1 tumor-bearing BALB/c mice were randomly divided into five groups (n=5) and treated with saline, PA, CD, CPD, or IGBN (200 μL; Pt or PA: 1 mg kg</w:t>
      </w:r>
      <w:r w:rsidRPr="002E7ABB">
        <w:rPr>
          <w:rFonts w:eastAsia="宋体"/>
          <w:color w:val="000000"/>
          <w:vertAlign w:val="superscript"/>
        </w:rPr>
        <w:t>-1</w:t>
      </w:r>
      <w:r w:rsidRPr="002E7ABB">
        <w:rPr>
          <w:rFonts w:eastAsia="宋体"/>
          <w:color w:val="000000"/>
        </w:rPr>
        <w:t xml:space="preserve">), all the treatments were performed via tail vein injection every other day. The tumor volumes </w:t>
      </w:r>
      <w:r w:rsidRPr="002E7ABB">
        <w:rPr>
          <w:color w:val="000000"/>
        </w:rPr>
        <w:t>were calculated by the (length × width</w:t>
      </w:r>
      <w:r w:rsidRPr="002E7ABB">
        <w:rPr>
          <w:color w:val="000000"/>
          <w:vertAlign w:val="superscript"/>
        </w:rPr>
        <w:t>2</w:t>
      </w:r>
      <w:r w:rsidRPr="002E7ABB">
        <w:rPr>
          <w:color w:val="000000"/>
        </w:rPr>
        <w:t>)/2</w:t>
      </w:r>
      <w:r w:rsidRPr="002E7ABB">
        <w:rPr>
          <w:rFonts w:eastAsia="宋体"/>
          <w:color w:val="000000"/>
        </w:rPr>
        <w:t xml:space="preserve"> and mice weights were recorded during the treatment, respectively. The mice were euthanized at 14 days post-treatment and representative tumor images of each group were taken. </w:t>
      </w:r>
    </w:p>
    <w:p w14:paraId="4F7F37FB" w14:textId="77777777" w:rsidR="00845E3F" w:rsidRPr="002E7ABB" w:rsidRDefault="00845E3F" w:rsidP="00020272">
      <w:pPr>
        <w:spacing w:line="480" w:lineRule="auto"/>
        <w:ind w:firstLineChars="100" w:firstLine="240"/>
        <w:jc w:val="both"/>
        <w:rPr>
          <w:rFonts w:eastAsia="宋体"/>
          <w:color w:val="000000"/>
        </w:rPr>
      </w:pPr>
      <w:r w:rsidRPr="002E7ABB">
        <w:rPr>
          <w:rFonts w:eastAsia="宋体"/>
          <w:color w:val="000000"/>
        </w:rPr>
        <w:t>To evaluate the antimetastasis efficacy, lungs were harvested, the numbers of tumor nodules were observed and recorded, then stained with Bouin’s Fluid and H&amp;E. The metastatic nodules appear as white nodules on the yellow lung surface after staining and representative lungs of each group were photographed.</w:t>
      </w:r>
    </w:p>
    <w:p w14:paraId="5E937C10" w14:textId="191DE873" w:rsidR="00845E3F" w:rsidRPr="002E7ABB" w:rsidRDefault="00845E3F" w:rsidP="00020272">
      <w:pPr>
        <w:spacing w:line="480" w:lineRule="auto"/>
        <w:ind w:firstLineChars="100" w:firstLine="240"/>
        <w:jc w:val="both"/>
        <w:rPr>
          <w:rFonts w:eastAsia="宋体"/>
          <w:color w:val="000000"/>
        </w:rPr>
      </w:pPr>
      <w:r w:rsidRPr="002E7ABB">
        <w:rPr>
          <w:rFonts w:eastAsia="宋体"/>
          <w:color w:val="000000"/>
        </w:rPr>
        <w:lastRenderedPageBreak/>
        <w:t xml:space="preserve">In addition, the tumor tissues were prepared for H&amp;E and TUNEL staining, MMP-2, ROS, NO, N-cadherin and E-cadherin immunofluorescence staining, Capn4, P-selectin, TGF-β immunohistochemistry were performed. The corresponding fluorescence analyzed were obtained by Image J. </w:t>
      </w:r>
    </w:p>
    <w:p w14:paraId="5B0B5085"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 xml:space="preserve">Tumor </w:t>
      </w:r>
      <w:r w:rsidRPr="002E7ABB">
        <w:rPr>
          <w:b/>
          <w:i/>
          <w:color w:val="000000"/>
          <w:lang w:val="en-US" w:eastAsia="zh-CN"/>
        </w:rPr>
        <w:t>E</w:t>
      </w:r>
      <w:r w:rsidRPr="002E7ABB">
        <w:rPr>
          <w:b/>
          <w:i/>
          <w:color w:val="000000"/>
          <w:lang w:val="en-US"/>
        </w:rPr>
        <w:t xml:space="preserve">stradiol </w:t>
      </w:r>
      <w:r w:rsidRPr="002E7ABB">
        <w:rPr>
          <w:b/>
          <w:i/>
          <w:color w:val="000000"/>
          <w:lang w:val="en-US" w:eastAsia="zh-CN"/>
        </w:rPr>
        <w:t>D</w:t>
      </w:r>
      <w:r w:rsidRPr="002E7ABB">
        <w:rPr>
          <w:b/>
          <w:i/>
          <w:color w:val="000000"/>
          <w:lang w:val="en-US"/>
        </w:rPr>
        <w:t>etection</w:t>
      </w:r>
      <w:r w:rsidRPr="002E7ABB">
        <w:rPr>
          <w:rFonts w:eastAsia="宋体"/>
          <w:b/>
          <w:color w:val="000000"/>
        </w:rPr>
        <w:t>:</w:t>
      </w:r>
      <w:r w:rsidRPr="002E7ABB">
        <w:rPr>
          <w:rFonts w:eastAsia="宋体"/>
          <w:color w:val="000000"/>
        </w:rPr>
        <w:t xml:space="preserve"> The tumor tissue after treatment were harvested, weighed, and homogenized with pyrolysis liquid (1:100, Solarbio). Intratumoral quantification of E2 levels were detected by ELISA kits (No. 501890, Cayman, USA). </w:t>
      </w:r>
    </w:p>
    <w:p w14:paraId="5C1CEEEF" w14:textId="77777777" w:rsidR="00845E3F" w:rsidRPr="002E7ABB" w:rsidRDefault="00845E3F" w:rsidP="00020272">
      <w:pPr>
        <w:spacing w:line="480" w:lineRule="auto"/>
        <w:ind w:firstLineChars="100" w:firstLine="241"/>
        <w:jc w:val="both"/>
        <w:rPr>
          <w:i/>
          <w:color w:val="000000"/>
          <w:lang w:val="en-US"/>
        </w:rPr>
      </w:pPr>
      <w:r w:rsidRPr="002E7ABB">
        <w:rPr>
          <w:b/>
          <w:i/>
          <w:color w:val="000000"/>
          <w:lang w:val="en-US"/>
        </w:rPr>
        <w:t>Biosafety Assessment</w:t>
      </w:r>
      <w:r w:rsidRPr="002E7ABB">
        <w:rPr>
          <w:rFonts w:eastAsia="宋体"/>
          <w:b/>
          <w:color w:val="000000"/>
        </w:rPr>
        <w:t>:</w:t>
      </w:r>
      <w:r w:rsidRPr="002E7ABB">
        <w:rPr>
          <w:rFonts w:eastAsia="宋体"/>
          <w:color w:val="000000"/>
        </w:rPr>
        <w:t xml:space="preserve"> The major organs of the 4T1 tumor-bearing BALB/c mice were collected after antitumor therapy for tissue histological examination (H&amp;E staining). The whole blood was collected on day 1 and day 14 for blood routine examination and blood biochemistry. </w:t>
      </w:r>
    </w:p>
    <w:p w14:paraId="5D0720E3" w14:textId="77777777" w:rsidR="00845E3F" w:rsidRPr="0013225C" w:rsidRDefault="00845E3F" w:rsidP="00020272">
      <w:pPr>
        <w:spacing w:line="480" w:lineRule="auto"/>
        <w:ind w:firstLineChars="100" w:firstLine="241"/>
        <w:jc w:val="both"/>
        <w:rPr>
          <w:rFonts w:eastAsia="Yu Mincho"/>
          <w:color w:val="000000"/>
        </w:rPr>
      </w:pPr>
      <w:r w:rsidRPr="002E7ABB">
        <w:rPr>
          <w:b/>
          <w:i/>
          <w:color w:val="000000"/>
          <w:lang w:val="en-US"/>
        </w:rPr>
        <w:t>Statistical Analysis</w:t>
      </w:r>
      <w:r w:rsidRPr="002E7ABB">
        <w:rPr>
          <w:rFonts w:eastAsia="宋体"/>
          <w:b/>
          <w:color w:val="000000"/>
          <w:lang w:eastAsia="zh-CN"/>
        </w:rPr>
        <w:t xml:space="preserve">: </w:t>
      </w:r>
      <w:r w:rsidRPr="002E7ABB">
        <w:rPr>
          <w:rFonts w:eastAsia="宋体"/>
          <w:color w:val="000000"/>
        </w:rPr>
        <w:t>All results were reported as the mean ± standard deviation (SD) of at least three samples. All statistical analysis was evaluated by Student’s t-test. The *p &lt; 0.05 was defined as statistically significant, whereas, the threshold for highly and extremely significance were *p &lt; 0.0</w:t>
      </w:r>
      <w:r w:rsidRPr="002E7ABB">
        <w:rPr>
          <w:rFonts w:eastAsia="宋体"/>
          <w:color w:val="000000"/>
          <w:lang w:eastAsia="zh-CN"/>
        </w:rPr>
        <w:t xml:space="preserve">5, </w:t>
      </w:r>
      <w:r w:rsidRPr="002E7ABB">
        <w:rPr>
          <w:rFonts w:eastAsia="宋体"/>
          <w:color w:val="000000"/>
        </w:rPr>
        <w:t>**p &lt; 0.01, ***p &lt; 0.001 and ****p &lt; 0.0001.</w:t>
      </w:r>
    </w:p>
    <w:p w14:paraId="17FCDB10" w14:textId="77777777" w:rsidR="006D49B3" w:rsidRPr="00845E3F" w:rsidRDefault="006D49B3" w:rsidP="00020272">
      <w:pPr>
        <w:pStyle w:val="Addresses"/>
        <w:spacing w:line="480" w:lineRule="auto"/>
        <w:rPr>
          <w:rFonts w:eastAsia="宋体"/>
          <w:color w:val="000000" w:themeColor="text1"/>
          <w:lang w:val="de-DE"/>
        </w:rPr>
      </w:pPr>
    </w:p>
    <w:p w14:paraId="1E5A85AC" w14:textId="3E9DB925" w:rsidR="00F70A60" w:rsidRDefault="00F70A60" w:rsidP="00020272">
      <w:pPr>
        <w:spacing w:line="480" w:lineRule="auto"/>
        <w:rPr>
          <w:rFonts w:eastAsiaTheme="minorEastAsia"/>
          <w:lang w:val="en-US" w:eastAsia="zh-CN"/>
        </w:rPr>
      </w:pPr>
      <w:r>
        <w:br w:type="page"/>
      </w:r>
    </w:p>
    <w:p w14:paraId="7936402C" w14:textId="6C754389" w:rsidR="00E236C1" w:rsidRDefault="00E236C1" w:rsidP="00020272">
      <w:pPr>
        <w:spacing w:line="480" w:lineRule="auto"/>
        <w:jc w:val="center"/>
      </w:pPr>
      <w:r w:rsidRPr="00FB000A">
        <w:rPr>
          <w:noProof/>
          <w:lang w:val="en-US" w:eastAsia="zh-CN"/>
        </w:rPr>
        <w:lastRenderedPageBreak/>
        <w:drawing>
          <wp:inline distT="0" distB="0" distL="0" distR="0" wp14:anchorId="5E41A535" wp14:editId="11719F2B">
            <wp:extent cx="2282952" cy="1712976"/>
            <wp:effectExtent l="0" t="0" r="3175"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S3.FTIR.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2952" cy="1712976"/>
                    </a:xfrm>
                    <a:prstGeom prst="rect">
                      <a:avLst/>
                    </a:prstGeom>
                  </pic:spPr>
                </pic:pic>
              </a:graphicData>
            </a:graphic>
          </wp:inline>
        </w:drawing>
      </w:r>
    </w:p>
    <w:p w14:paraId="3D38AD97" w14:textId="77777777" w:rsidR="00FB000A" w:rsidRPr="00FB000A" w:rsidRDefault="00FB000A" w:rsidP="00020272">
      <w:pPr>
        <w:spacing w:line="480" w:lineRule="auto"/>
        <w:jc w:val="center"/>
      </w:pPr>
    </w:p>
    <w:p w14:paraId="3148D45E" w14:textId="2EC7FCE9" w:rsidR="00E236C1" w:rsidRPr="00FB000A" w:rsidRDefault="004748F8" w:rsidP="00020272">
      <w:pPr>
        <w:spacing w:line="480" w:lineRule="auto"/>
        <w:jc w:val="both"/>
      </w:pPr>
      <w:r w:rsidRPr="00473AB3">
        <w:rPr>
          <w:b/>
          <w:bCs/>
          <w:color w:val="000000"/>
        </w:rPr>
        <w:t>Fig</w:t>
      </w:r>
      <w:r w:rsidR="00473AB3" w:rsidRPr="00473AB3">
        <w:rPr>
          <w:rFonts w:eastAsiaTheme="minorEastAsia"/>
          <w:b/>
          <w:bCs/>
          <w:color w:val="000000"/>
          <w:lang w:eastAsia="zh-CN"/>
        </w:rPr>
        <w:t>ure</w:t>
      </w:r>
      <w:r w:rsidRPr="00FB000A">
        <w:rPr>
          <w:b/>
          <w:bCs/>
          <w:color w:val="000000"/>
        </w:rPr>
        <w:t xml:space="preserve"> S1</w:t>
      </w:r>
      <w:r w:rsidR="00473AB3">
        <w:rPr>
          <w:rFonts w:asciiTheme="minorEastAsia" w:eastAsiaTheme="minorEastAsia" w:hAnsiTheme="minorEastAsia" w:hint="eastAsia"/>
          <w:b/>
          <w:bCs/>
          <w:color w:val="000000"/>
          <w:lang w:eastAsia="zh-CN"/>
        </w:rPr>
        <w:t>.</w:t>
      </w:r>
      <w:r w:rsidRPr="00FB000A">
        <w:rPr>
          <w:b/>
          <w:bCs/>
          <w:color w:val="000000"/>
        </w:rPr>
        <w:t xml:space="preserve"> </w:t>
      </w:r>
      <w:r w:rsidRPr="00FB000A">
        <w:t>FTIR spectra of Pt, Arg and PA</w:t>
      </w:r>
    </w:p>
    <w:p w14:paraId="3ACC2E02" w14:textId="054B3E63" w:rsidR="008173FD" w:rsidRPr="00FB000A" w:rsidRDefault="008173FD" w:rsidP="00020272">
      <w:pPr>
        <w:spacing w:line="480" w:lineRule="auto"/>
        <w:jc w:val="center"/>
        <w:rPr>
          <w:rFonts w:eastAsiaTheme="minorEastAsia"/>
          <w:noProof/>
          <w:lang w:val="en-US" w:eastAsia="zh-CN"/>
        </w:rPr>
      </w:pPr>
      <w:r w:rsidRPr="00FB000A">
        <w:rPr>
          <w:noProof/>
        </w:rPr>
        <w:drawing>
          <wp:inline distT="0" distB="0" distL="0" distR="0" wp14:anchorId="7D769137" wp14:editId="773641F1">
            <wp:extent cx="5760720" cy="138037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380379"/>
                    </a:xfrm>
                    <a:prstGeom prst="rect">
                      <a:avLst/>
                    </a:prstGeom>
                    <a:noFill/>
                    <a:ln>
                      <a:noFill/>
                    </a:ln>
                  </pic:spPr>
                </pic:pic>
              </a:graphicData>
            </a:graphic>
          </wp:inline>
        </w:drawing>
      </w:r>
    </w:p>
    <w:p w14:paraId="32A50B2C" w14:textId="77777777" w:rsidR="008173FD" w:rsidRPr="00FB000A" w:rsidRDefault="008173FD" w:rsidP="00020272">
      <w:pPr>
        <w:spacing w:line="480" w:lineRule="auto"/>
        <w:jc w:val="center"/>
        <w:rPr>
          <w:rFonts w:eastAsiaTheme="minorEastAsia"/>
          <w:noProof/>
          <w:lang w:val="en-US" w:eastAsia="zh-CN"/>
        </w:rPr>
      </w:pPr>
    </w:p>
    <w:p w14:paraId="2FA38F70" w14:textId="6A05E3F1" w:rsidR="008173FD"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Pr="00FB000A">
        <w:rPr>
          <w:b/>
        </w:rPr>
        <w:t xml:space="preserve"> </w:t>
      </w:r>
      <w:r w:rsidR="008173FD" w:rsidRPr="00FB000A">
        <w:rPr>
          <w:b/>
        </w:rPr>
        <w:t>S2</w:t>
      </w:r>
      <w:r>
        <w:rPr>
          <w:b/>
        </w:rPr>
        <w:t>.</w:t>
      </w:r>
      <w:r w:rsidR="008173FD" w:rsidRPr="00FB000A">
        <w:t xml:space="preserve"> (</w:t>
      </w:r>
      <w:r w:rsidR="008173FD" w:rsidRPr="00FB000A">
        <w:rPr>
          <w:b/>
        </w:rPr>
        <w:t>a</w:t>
      </w:r>
      <w:r w:rsidR="008173FD" w:rsidRPr="00FB000A">
        <w:t>) Transmission electron micrographs (TEM) of Cu-GA and (</w:t>
      </w:r>
      <w:r w:rsidR="008173FD" w:rsidRPr="00FB000A">
        <w:rPr>
          <w:b/>
        </w:rPr>
        <w:t>b</w:t>
      </w:r>
      <w:r w:rsidR="008173FD" w:rsidRPr="00FB000A">
        <w:t>) CPA  nanoparticles</w:t>
      </w:r>
    </w:p>
    <w:p w14:paraId="01A38847" w14:textId="043CE5E8" w:rsidR="0072205B" w:rsidRPr="00FB000A" w:rsidRDefault="00E236C1" w:rsidP="00020272">
      <w:pPr>
        <w:spacing w:line="480" w:lineRule="auto"/>
      </w:pPr>
      <w:r w:rsidRPr="00FB000A">
        <w:rPr>
          <w:noProof/>
          <w:lang w:val="en-US" w:eastAsia="zh-CN"/>
        </w:rPr>
        <w:drawing>
          <wp:anchor distT="0" distB="0" distL="114300" distR="114300" simplePos="0" relativeHeight="251655168" behindDoc="0" locked="0" layoutInCell="1" allowOverlap="1" wp14:anchorId="3E9F845B" wp14:editId="024CEDFE">
            <wp:simplePos x="0" y="0"/>
            <wp:positionH relativeFrom="margin">
              <wp:align>center</wp:align>
            </wp:positionH>
            <wp:positionV relativeFrom="paragraph">
              <wp:posOffset>217831</wp:posOffset>
            </wp:positionV>
            <wp:extent cx="2231136" cy="1761744"/>
            <wp:effectExtent l="0" t="0" r="0" b="0"/>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S2.XPS.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31136" cy="1761744"/>
                    </a:xfrm>
                    <a:prstGeom prst="rect">
                      <a:avLst/>
                    </a:prstGeom>
                  </pic:spPr>
                </pic:pic>
              </a:graphicData>
            </a:graphic>
          </wp:anchor>
        </w:drawing>
      </w:r>
    </w:p>
    <w:p w14:paraId="1853BE58" w14:textId="77777777" w:rsidR="0072205B" w:rsidRPr="00FB000A" w:rsidRDefault="0072205B" w:rsidP="00020272">
      <w:pPr>
        <w:spacing w:line="480" w:lineRule="auto"/>
      </w:pPr>
    </w:p>
    <w:p w14:paraId="5BFA3D6C" w14:textId="2B222A77" w:rsidR="004748F8"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S3</w:t>
      </w:r>
      <w:r>
        <w:rPr>
          <w:b/>
          <w:bCs/>
          <w:color w:val="000000"/>
        </w:rPr>
        <w:t>.</w:t>
      </w:r>
      <w:r w:rsidR="004748F8" w:rsidRPr="00FB000A">
        <w:t xml:space="preserve"> XPS spectra of Cu-GA</w:t>
      </w:r>
    </w:p>
    <w:p w14:paraId="41FE2054" w14:textId="5540197E" w:rsidR="004748F8" w:rsidRPr="00FB000A" w:rsidRDefault="00E236C1" w:rsidP="00020272">
      <w:pPr>
        <w:spacing w:line="480" w:lineRule="auto"/>
        <w:jc w:val="center"/>
        <w:rPr>
          <w:color w:val="000000"/>
        </w:rPr>
      </w:pPr>
      <w:r w:rsidRPr="00FB000A">
        <w:rPr>
          <w:noProof/>
          <w:color w:val="000000"/>
          <w:lang w:val="en-US" w:eastAsia="zh-CN"/>
        </w:rPr>
        <w:lastRenderedPageBreak/>
        <w:drawing>
          <wp:inline distT="0" distB="0" distL="0" distR="0" wp14:anchorId="171ED735" wp14:editId="673444DF">
            <wp:extent cx="2436158" cy="1558138"/>
            <wp:effectExtent l="0" t="0" r="254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4.稳定性.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41322" cy="1561441"/>
                    </a:xfrm>
                    <a:prstGeom prst="rect">
                      <a:avLst/>
                    </a:prstGeom>
                  </pic:spPr>
                </pic:pic>
              </a:graphicData>
            </a:graphic>
          </wp:inline>
        </w:drawing>
      </w:r>
    </w:p>
    <w:p w14:paraId="61F74D3E" w14:textId="77777777" w:rsidR="00E236C1" w:rsidRPr="00FB000A" w:rsidRDefault="00E236C1" w:rsidP="00020272">
      <w:pPr>
        <w:spacing w:line="480" w:lineRule="auto"/>
        <w:jc w:val="center"/>
        <w:rPr>
          <w:color w:val="000000"/>
        </w:rPr>
      </w:pPr>
    </w:p>
    <w:p w14:paraId="4D2B009F" w14:textId="2C71E9B4" w:rsidR="004748F8" w:rsidRPr="00FB000A" w:rsidRDefault="00473AB3" w:rsidP="00020272">
      <w:pPr>
        <w:spacing w:line="480" w:lineRule="auto"/>
        <w:jc w:val="both"/>
        <w:rPr>
          <w:noProof/>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S4</w:t>
      </w:r>
      <w:r>
        <w:rPr>
          <w:b/>
          <w:bCs/>
          <w:color w:val="000000"/>
        </w:rPr>
        <w:t>.</w:t>
      </w:r>
      <w:r w:rsidR="004748F8" w:rsidRPr="00FB000A">
        <w:rPr>
          <w:b/>
          <w:bCs/>
          <w:color w:val="000000"/>
        </w:rPr>
        <w:t xml:space="preserve"> </w:t>
      </w:r>
      <w:r w:rsidR="004748F8" w:rsidRPr="00FB000A">
        <w:rPr>
          <w:color w:val="000000"/>
        </w:rPr>
        <w:t xml:space="preserve">The long-term stability of </w:t>
      </w:r>
      <w:r w:rsidR="00CA0B92" w:rsidRPr="00FB000A">
        <w:rPr>
          <w:color w:val="000000"/>
        </w:rPr>
        <w:t>IGBN</w:t>
      </w:r>
      <w:r w:rsidR="004748F8" w:rsidRPr="00FB000A">
        <w:rPr>
          <w:color w:val="000000"/>
        </w:rPr>
        <w:t xml:space="preserve"> in </w:t>
      </w:r>
      <w:r w:rsidR="004748F8" w:rsidRPr="00FB000A">
        <w:t xml:space="preserve">FBS </w:t>
      </w:r>
      <w:r w:rsidR="004748F8" w:rsidRPr="00FB000A">
        <w:rPr>
          <w:color w:val="000000"/>
        </w:rPr>
        <w:t>at 4</w:t>
      </w:r>
      <w:r w:rsidR="004748F8" w:rsidRPr="00FB000A">
        <w:rPr>
          <w:rFonts w:eastAsia="宋体"/>
          <w:color w:val="000000"/>
        </w:rPr>
        <w:t>℃</w:t>
      </w:r>
      <w:r w:rsidR="003F69F2" w:rsidRPr="00FB000A">
        <w:rPr>
          <w:rFonts w:eastAsia="宋体"/>
          <w:color w:val="000000"/>
          <w:lang w:eastAsia="zh-CN"/>
        </w:rPr>
        <w:t xml:space="preserve"> </w:t>
      </w:r>
      <w:r w:rsidR="004748F8" w:rsidRPr="00FB000A">
        <w:rPr>
          <w:color w:val="000000"/>
        </w:rPr>
        <w:t>during 7 days measu</w:t>
      </w:r>
      <w:r w:rsidR="003F69F2" w:rsidRPr="00FB000A">
        <w:rPr>
          <w:color w:val="000000"/>
        </w:rPr>
        <w:t>red</w:t>
      </w:r>
      <w:r w:rsidR="003F69F2" w:rsidRPr="00FB000A">
        <w:rPr>
          <w:color w:val="000000"/>
        </w:rPr>
        <w:br/>
        <w:t>by dynamic light scattering</w:t>
      </w:r>
      <w:r w:rsidR="004748F8" w:rsidRPr="00FB000A">
        <w:rPr>
          <w:color w:val="000000"/>
        </w:rPr>
        <w:t xml:space="preserve"> (n = 3)</w:t>
      </w:r>
    </w:p>
    <w:p w14:paraId="0732DACD" w14:textId="0C4DA123" w:rsidR="004748F8" w:rsidRPr="00FB000A" w:rsidRDefault="008173FD" w:rsidP="00020272">
      <w:pPr>
        <w:spacing w:line="480" w:lineRule="auto"/>
        <w:jc w:val="center"/>
        <w:rPr>
          <w:rFonts w:eastAsiaTheme="minorEastAsia"/>
          <w:noProof/>
          <w:lang w:eastAsia="zh-CN"/>
        </w:rPr>
      </w:pPr>
      <w:r w:rsidRPr="00FB000A">
        <w:rPr>
          <w:noProof/>
        </w:rPr>
        <w:drawing>
          <wp:inline distT="0" distB="0" distL="0" distR="0" wp14:anchorId="54B94465" wp14:editId="6D7A6A51">
            <wp:extent cx="5760720" cy="1560073"/>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560073"/>
                    </a:xfrm>
                    <a:prstGeom prst="rect">
                      <a:avLst/>
                    </a:prstGeom>
                    <a:noFill/>
                    <a:ln>
                      <a:noFill/>
                    </a:ln>
                  </pic:spPr>
                </pic:pic>
              </a:graphicData>
            </a:graphic>
          </wp:inline>
        </w:drawing>
      </w:r>
    </w:p>
    <w:p w14:paraId="332EEB62" w14:textId="77777777" w:rsidR="0020705C" w:rsidRPr="00FB000A" w:rsidRDefault="0020705C" w:rsidP="00020272">
      <w:pPr>
        <w:spacing w:line="480" w:lineRule="auto"/>
        <w:jc w:val="center"/>
        <w:rPr>
          <w:rFonts w:eastAsiaTheme="minorEastAsia"/>
          <w:noProof/>
          <w:lang w:eastAsia="zh-CN"/>
        </w:rPr>
      </w:pPr>
    </w:p>
    <w:p w14:paraId="23871231" w14:textId="42B4C370" w:rsidR="0020705C" w:rsidRPr="00FB000A" w:rsidRDefault="00473AB3" w:rsidP="00020272">
      <w:pPr>
        <w:spacing w:line="480" w:lineRule="auto"/>
        <w:jc w:val="both"/>
        <w:rPr>
          <w:rFonts w:eastAsiaTheme="minorEastAsia"/>
          <w:color w:val="000000"/>
          <w:lang w:eastAsia="zh-CN"/>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S5</w:t>
      </w:r>
      <w:r>
        <w:rPr>
          <w:b/>
          <w:bCs/>
          <w:color w:val="000000"/>
        </w:rPr>
        <w:t>.</w:t>
      </w:r>
      <w:r w:rsidR="004748F8" w:rsidRPr="00FB000A">
        <w:rPr>
          <w:b/>
          <w:bCs/>
          <w:color w:val="000000"/>
        </w:rPr>
        <w:t xml:space="preserve"> </w:t>
      </w:r>
      <w:r w:rsidR="008173FD" w:rsidRPr="00FB000A">
        <w:rPr>
          <w:color w:val="000000"/>
        </w:rPr>
        <w:t>(</w:t>
      </w:r>
      <w:r w:rsidR="008173FD" w:rsidRPr="00FB000A">
        <w:rPr>
          <w:b/>
          <w:color w:val="000000"/>
        </w:rPr>
        <w:t>a</w:t>
      </w:r>
      <w:r w:rsidR="008173FD" w:rsidRPr="00FB000A">
        <w:rPr>
          <w:color w:val="000000"/>
        </w:rPr>
        <w:t>)</w:t>
      </w:r>
      <w:r w:rsidR="0072205B" w:rsidRPr="00FB000A">
        <w:rPr>
          <w:color w:val="000000"/>
        </w:rPr>
        <w:t xml:space="preserve"> </w:t>
      </w:r>
      <w:r w:rsidR="004748F8" w:rsidRPr="00FB000A">
        <w:rPr>
          <w:color w:val="000000"/>
        </w:rPr>
        <w:t>Cumulative Cu</w:t>
      </w:r>
      <w:r w:rsidR="004748F8" w:rsidRPr="00FB000A">
        <w:rPr>
          <w:color w:val="000000"/>
          <w:vertAlign w:val="superscript"/>
        </w:rPr>
        <w:t>2+</w:t>
      </w:r>
      <w:r w:rsidR="004748F8" w:rsidRPr="00FB000A">
        <w:rPr>
          <w:color w:val="000000"/>
        </w:rPr>
        <w:t xml:space="preserve"> and </w:t>
      </w:r>
      <w:r w:rsidR="008173FD" w:rsidRPr="00FB000A">
        <w:rPr>
          <w:color w:val="000000"/>
        </w:rPr>
        <w:t>(</w:t>
      </w:r>
      <w:r w:rsidR="008173FD" w:rsidRPr="00FB000A">
        <w:rPr>
          <w:b/>
          <w:color w:val="000000"/>
        </w:rPr>
        <w:t>b</w:t>
      </w:r>
      <w:r w:rsidR="008173FD" w:rsidRPr="00FB000A">
        <w:rPr>
          <w:color w:val="000000"/>
        </w:rPr>
        <w:t>)</w:t>
      </w:r>
      <w:r w:rsidR="0072205B" w:rsidRPr="00FB000A">
        <w:rPr>
          <w:color w:val="000000"/>
        </w:rPr>
        <w:t xml:space="preserve"> </w:t>
      </w:r>
      <w:r w:rsidR="004748F8" w:rsidRPr="00FB000A">
        <w:rPr>
          <w:color w:val="000000"/>
        </w:rPr>
        <w:t>P</w:t>
      </w:r>
      <w:r w:rsidR="0072205B" w:rsidRPr="00FB000A">
        <w:rPr>
          <w:color w:val="000000"/>
        </w:rPr>
        <w:t>A</w:t>
      </w:r>
      <w:r w:rsidR="004748F8" w:rsidRPr="00FB000A">
        <w:rPr>
          <w:color w:val="000000"/>
        </w:rPr>
        <w:t xml:space="preserve"> release from </w:t>
      </w:r>
      <w:r w:rsidR="00CA0B92" w:rsidRPr="00FB000A">
        <w:rPr>
          <w:color w:val="000000"/>
        </w:rPr>
        <w:t>IGBN</w:t>
      </w:r>
      <w:r w:rsidR="003F69F2" w:rsidRPr="00FB000A">
        <w:rPr>
          <w:color w:val="000000"/>
        </w:rPr>
        <w:t xml:space="preserve"> with different pH values</w:t>
      </w:r>
      <w:r w:rsidR="003F69F2" w:rsidRPr="00FB000A">
        <w:rPr>
          <w:rFonts w:eastAsiaTheme="minorEastAsia"/>
          <w:color w:val="000000"/>
          <w:lang w:eastAsia="zh-CN"/>
        </w:rPr>
        <w:t xml:space="preserve"> </w:t>
      </w:r>
      <w:r w:rsidR="004748F8" w:rsidRPr="00FB000A">
        <w:rPr>
          <w:color w:val="000000"/>
        </w:rPr>
        <w:t>(n=3)</w:t>
      </w:r>
    </w:p>
    <w:p w14:paraId="3E92F0B2" w14:textId="02B4D23F" w:rsidR="004748F8" w:rsidRPr="00FB000A" w:rsidRDefault="00E236C1" w:rsidP="00020272">
      <w:pPr>
        <w:spacing w:line="480" w:lineRule="auto"/>
        <w:jc w:val="center"/>
        <w:rPr>
          <w:rFonts w:eastAsiaTheme="minorEastAsia"/>
          <w:color w:val="000000"/>
          <w:lang w:eastAsia="zh-CN"/>
        </w:rPr>
      </w:pPr>
      <w:r w:rsidRPr="00FB000A">
        <w:rPr>
          <w:noProof/>
          <w:color w:val="000000"/>
          <w:lang w:val="en-US" w:eastAsia="zh-CN"/>
        </w:rPr>
        <w:drawing>
          <wp:inline distT="0" distB="0" distL="0" distR="0" wp14:anchorId="6DF2728E" wp14:editId="70EFEEF0">
            <wp:extent cx="2301240" cy="1545336"/>
            <wp:effectExtent l="0" t="0" r="381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S7.GSH-NO.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1240" cy="1545336"/>
                    </a:xfrm>
                    <a:prstGeom prst="rect">
                      <a:avLst/>
                    </a:prstGeom>
                  </pic:spPr>
                </pic:pic>
              </a:graphicData>
            </a:graphic>
          </wp:inline>
        </w:drawing>
      </w:r>
    </w:p>
    <w:p w14:paraId="2A08DBB4" w14:textId="77777777" w:rsidR="0020705C" w:rsidRPr="00FB000A" w:rsidRDefault="0020705C" w:rsidP="00020272">
      <w:pPr>
        <w:spacing w:line="480" w:lineRule="auto"/>
        <w:jc w:val="center"/>
        <w:rPr>
          <w:rFonts w:eastAsiaTheme="minorEastAsia"/>
          <w:color w:val="000000"/>
          <w:lang w:eastAsia="zh-CN"/>
        </w:rPr>
      </w:pPr>
    </w:p>
    <w:p w14:paraId="2628C005" w14:textId="45742411" w:rsidR="004748F8"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S6</w:t>
      </w:r>
      <w:r>
        <w:rPr>
          <w:b/>
          <w:bCs/>
          <w:color w:val="000000"/>
        </w:rPr>
        <w:t>.</w:t>
      </w:r>
      <w:r w:rsidR="004748F8" w:rsidRPr="00FB000A">
        <w:rPr>
          <w:b/>
          <w:bCs/>
          <w:color w:val="000000"/>
        </w:rPr>
        <w:t xml:space="preserve"> </w:t>
      </w:r>
      <w:r w:rsidR="004748F8" w:rsidRPr="00FB000A">
        <w:t xml:space="preserve">NO producing ability of PA </w:t>
      </w:r>
      <w:r w:rsidR="003F69F2" w:rsidRPr="00FB000A">
        <w:t>in the present or absent of GSH</w:t>
      </w:r>
      <w:r w:rsidR="004748F8" w:rsidRPr="00FB000A">
        <w:t xml:space="preserve"> (n=3)</w:t>
      </w:r>
    </w:p>
    <w:p w14:paraId="069D1052" w14:textId="1176C5DC" w:rsidR="006A592F" w:rsidRPr="00FB000A" w:rsidRDefault="008173FD" w:rsidP="00020272">
      <w:pPr>
        <w:spacing w:line="480" w:lineRule="auto"/>
        <w:jc w:val="center"/>
        <w:rPr>
          <w:color w:val="000000"/>
        </w:rPr>
      </w:pPr>
      <w:r w:rsidRPr="00FB000A">
        <w:rPr>
          <w:noProof/>
        </w:rPr>
        <w:lastRenderedPageBreak/>
        <w:drawing>
          <wp:inline distT="0" distB="0" distL="0" distR="0" wp14:anchorId="2B423380" wp14:editId="7FA253D3">
            <wp:extent cx="5760720" cy="165759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1657593"/>
                    </a:xfrm>
                    <a:prstGeom prst="rect">
                      <a:avLst/>
                    </a:prstGeom>
                    <a:noFill/>
                    <a:ln>
                      <a:noFill/>
                    </a:ln>
                  </pic:spPr>
                </pic:pic>
              </a:graphicData>
            </a:graphic>
          </wp:inline>
        </w:drawing>
      </w:r>
    </w:p>
    <w:p w14:paraId="4F568B40" w14:textId="77777777" w:rsidR="008173FD" w:rsidRPr="00FB000A" w:rsidRDefault="008173FD" w:rsidP="00020272">
      <w:pPr>
        <w:spacing w:line="480" w:lineRule="auto"/>
        <w:jc w:val="center"/>
        <w:rPr>
          <w:color w:val="000000"/>
        </w:rPr>
      </w:pPr>
    </w:p>
    <w:p w14:paraId="4E7CD7B3" w14:textId="5B7946FD" w:rsidR="004748F8" w:rsidRPr="00FB000A" w:rsidRDefault="00473AB3" w:rsidP="00020272">
      <w:pPr>
        <w:spacing w:line="480" w:lineRule="auto"/>
        <w:jc w:val="both"/>
        <w:rPr>
          <w:color w:val="000000"/>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S7</w:t>
      </w:r>
      <w:r>
        <w:rPr>
          <w:b/>
          <w:bCs/>
          <w:color w:val="000000"/>
        </w:rPr>
        <w:t>.</w:t>
      </w:r>
      <w:r w:rsidR="004748F8" w:rsidRPr="00FB000A">
        <w:rPr>
          <w:b/>
          <w:bCs/>
          <w:color w:val="000000"/>
        </w:rPr>
        <w:t xml:space="preserve"> </w:t>
      </w:r>
      <w:r w:rsidR="008173FD" w:rsidRPr="00FB000A">
        <w:rPr>
          <w:color w:val="000000"/>
        </w:rPr>
        <w:t>(</w:t>
      </w:r>
      <w:r w:rsidR="008173FD" w:rsidRPr="00FB000A">
        <w:rPr>
          <w:b/>
          <w:color w:val="000000"/>
        </w:rPr>
        <w:t>a</w:t>
      </w:r>
      <w:r w:rsidR="008173FD" w:rsidRPr="00FB000A">
        <w:rPr>
          <w:color w:val="000000"/>
        </w:rPr>
        <w:t>)</w:t>
      </w:r>
      <w:r w:rsidR="00590A5F" w:rsidRPr="00FB000A">
        <w:rPr>
          <w:color w:val="000000"/>
        </w:rPr>
        <w:t xml:space="preserve"> </w:t>
      </w:r>
      <w:r w:rsidR="004748F8" w:rsidRPr="00FB000A">
        <w:rPr>
          <w:color w:val="000000"/>
        </w:rPr>
        <w:t xml:space="preserve">The cell viability of 4T1 cells with exposed to </w:t>
      </w:r>
      <w:r w:rsidR="004748F8" w:rsidRPr="00FB000A">
        <w:t>E2</w:t>
      </w:r>
      <w:r w:rsidR="00590A5F" w:rsidRPr="00FB000A">
        <w:rPr>
          <w:color w:val="000000" w:themeColor="text1"/>
        </w:rPr>
        <w:t xml:space="preserve"> </w:t>
      </w:r>
      <w:r w:rsidR="004748F8" w:rsidRPr="00FB000A">
        <w:rPr>
          <w:color w:val="000000" w:themeColor="text1"/>
        </w:rPr>
        <w:t xml:space="preserve">and </w:t>
      </w:r>
      <w:r w:rsidR="008173FD" w:rsidRPr="00FB000A">
        <w:rPr>
          <w:color w:val="000000" w:themeColor="text1"/>
        </w:rPr>
        <w:t>(</w:t>
      </w:r>
      <w:r w:rsidR="008173FD" w:rsidRPr="00FB000A">
        <w:rPr>
          <w:b/>
          <w:color w:val="000000" w:themeColor="text1"/>
        </w:rPr>
        <w:t>b</w:t>
      </w:r>
      <w:r w:rsidR="008173FD" w:rsidRPr="00FB000A">
        <w:rPr>
          <w:color w:val="000000" w:themeColor="text1"/>
        </w:rPr>
        <w:t>)</w:t>
      </w:r>
      <w:r w:rsidR="00590A5F" w:rsidRPr="00FB000A">
        <w:rPr>
          <w:color w:val="000000" w:themeColor="text1"/>
        </w:rPr>
        <w:t xml:space="preserve"> Pt</w:t>
      </w:r>
      <w:r w:rsidR="004748F8" w:rsidRPr="00FB000A">
        <w:rPr>
          <w:color w:val="000000" w:themeColor="text1"/>
        </w:rPr>
        <w:t xml:space="preserve"> </w:t>
      </w:r>
      <w:r w:rsidR="004748F8" w:rsidRPr="00FB000A">
        <w:t>at</w:t>
      </w:r>
      <w:r w:rsidR="004748F8" w:rsidRPr="00FB000A">
        <w:rPr>
          <w:color w:val="000000"/>
        </w:rPr>
        <w:t xml:space="preserve"> different concentrations. Data are presented as the mean ± SD (n = 6)</w:t>
      </w:r>
    </w:p>
    <w:p w14:paraId="7EDD8FFA" w14:textId="4439CEDA" w:rsidR="006A592F" w:rsidRPr="00FB000A" w:rsidRDefault="008173FD" w:rsidP="00020272">
      <w:pPr>
        <w:spacing w:line="480" w:lineRule="auto"/>
        <w:jc w:val="center"/>
        <w:rPr>
          <w:rFonts w:eastAsiaTheme="minorEastAsia"/>
          <w:color w:val="000000"/>
          <w:lang w:eastAsia="zh-CN"/>
        </w:rPr>
      </w:pPr>
      <w:r w:rsidRPr="00FB000A">
        <w:rPr>
          <w:noProof/>
        </w:rPr>
        <w:drawing>
          <wp:inline distT="0" distB="0" distL="0" distR="0" wp14:anchorId="40CE55EC" wp14:editId="74766336">
            <wp:extent cx="5760720" cy="1540861"/>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1540861"/>
                    </a:xfrm>
                    <a:prstGeom prst="rect">
                      <a:avLst/>
                    </a:prstGeom>
                    <a:noFill/>
                    <a:ln>
                      <a:noFill/>
                    </a:ln>
                  </pic:spPr>
                </pic:pic>
              </a:graphicData>
            </a:graphic>
          </wp:inline>
        </w:drawing>
      </w:r>
    </w:p>
    <w:p w14:paraId="14E978F0" w14:textId="77777777" w:rsidR="006A592F" w:rsidRPr="00FB000A" w:rsidRDefault="006A592F" w:rsidP="00020272">
      <w:pPr>
        <w:spacing w:line="480" w:lineRule="auto"/>
        <w:jc w:val="center"/>
        <w:rPr>
          <w:rFonts w:eastAsiaTheme="minorEastAsia"/>
          <w:color w:val="000000"/>
          <w:lang w:eastAsia="zh-CN"/>
        </w:rPr>
      </w:pPr>
    </w:p>
    <w:p w14:paraId="44F328C7" w14:textId="2359546E" w:rsidR="004748F8"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S8</w:t>
      </w:r>
      <w:r>
        <w:rPr>
          <w:b/>
          <w:bCs/>
          <w:color w:val="000000"/>
        </w:rPr>
        <w:t>.</w:t>
      </w:r>
      <w:r w:rsidR="004748F8" w:rsidRPr="00FB000A">
        <w:rPr>
          <w:b/>
          <w:bCs/>
          <w:color w:val="000000" w:themeColor="text1"/>
        </w:rPr>
        <w:t xml:space="preserve"> </w:t>
      </w:r>
      <w:r w:rsidR="008173FD" w:rsidRPr="00FB000A">
        <w:rPr>
          <w:bCs/>
          <w:color w:val="000000" w:themeColor="text1"/>
        </w:rPr>
        <w:t>(</w:t>
      </w:r>
      <w:r w:rsidR="008173FD" w:rsidRPr="00FB000A">
        <w:rPr>
          <w:b/>
          <w:bCs/>
          <w:color w:val="000000" w:themeColor="text1"/>
        </w:rPr>
        <w:t>a</w:t>
      </w:r>
      <w:r w:rsidR="008173FD" w:rsidRPr="00FB000A">
        <w:rPr>
          <w:bCs/>
          <w:color w:val="000000" w:themeColor="text1"/>
        </w:rPr>
        <w:t>)</w:t>
      </w:r>
      <w:r w:rsidR="004748F8" w:rsidRPr="00FB000A">
        <w:rPr>
          <w:bCs/>
          <w:color w:val="000000" w:themeColor="text1"/>
        </w:rPr>
        <w:t xml:space="preserve"> </w:t>
      </w:r>
      <w:r w:rsidR="004748F8" w:rsidRPr="00FB000A">
        <w:t>Qualitative Western blot data of Capn4 and MMP-2 in 4T1 cells after different concentrations of E2 treated for 24 h.</w:t>
      </w:r>
      <w:r w:rsidR="004748F8" w:rsidRPr="00FB000A">
        <w:rPr>
          <w:color w:val="000000" w:themeColor="text1"/>
        </w:rPr>
        <w:t xml:space="preserve"> </w:t>
      </w:r>
      <w:r w:rsidR="008173FD" w:rsidRPr="00FB000A">
        <w:rPr>
          <w:color w:val="000000" w:themeColor="text1"/>
        </w:rPr>
        <w:t>(</w:t>
      </w:r>
      <w:r w:rsidR="008173FD" w:rsidRPr="00FB000A">
        <w:rPr>
          <w:b/>
          <w:color w:val="000000" w:themeColor="text1"/>
        </w:rPr>
        <w:t>b</w:t>
      </w:r>
      <w:r w:rsidR="008173FD" w:rsidRPr="00FB000A">
        <w:rPr>
          <w:color w:val="000000" w:themeColor="text1"/>
        </w:rPr>
        <w:t>)</w:t>
      </w:r>
      <w:r w:rsidR="004748F8" w:rsidRPr="00FB000A">
        <w:rPr>
          <w:color w:val="000000" w:themeColor="text1"/>
        </w:rPr>
        <w:t xml:space="preserve"> C</w:t>
      </w:r>
      <w:r w:rsidR="004748F8" w:rsidRPr="00FB000A">
        <w:t>orresponding quantification of Capn-4 and MMP-2 calculated by Image J (n = 3)</w:t>
      </w:r>
    </w:p>
    <w:p w14:paraId="6B224514" w14:textId="186F70DD" w:rsidR="00C30355" w:rsidRPr="00FB000A" w:rsidRDefault="006A592F" w:rsidP="00020272">
      <w:pPr>
        <w:spacing w:line="480" w:lineRule="auto"/>
        <w:jc w:val="center"/>
        <w:rPr>
          <w:rFonts w:eastAsiaTheme="minorEastAsia"/>
          <w:lang w:eastAsia="zh-CN"/>
        </w:rPr>
      </w:pPr>
      <w:r w:rsidRPr="00FB000A">
        <w:rPr>
          <w:noProof/>
          <w:lang w:val="en-US" w:eastAsia="zh-CN"/>
        </w:rPr>
        <w:drawing>
          <wp:inline distT="0" distB="0" distL="0" distR="0" wp14:anchorId="6126A5E7" wp14:editId="429D6516">
            <wp:extent cx="5668756" cy="1080000"/>
            <wp:effectExtent l="0" t="0" r="0" b="635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FigS9.细胞EMT形态.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68756" cy="1080000"/>
                    </a:xfrm>
                    <a:prstGeom prst="rect">
                      <a:avLst/>
                    </a:prstGeom>
                  </pic:spPr>
                </pic:pic>
              </a:graphicData>
            </a:graphic>
          </wp:inline>
        </w:drawing>
      </w:r>
    </w:p>
    <w:p w14:paraId="06497D45" w14:textId="77777777" w:rsidR="008173FD" w:rsidRPr="00FB000A" w:rsidRDefault="008173FD" w:rsidP="00020272">
      <w:pPr>
        <w:spacing w:line="480" w:lineRule="auto"/>
        <w:jc w:val="center"/>
        <w:rPr>
          <w:rFonts w:eastAsiaTheme="minorEastAsia"/>
          <w:lang w:eastAsia="zh-CN"/>
        </w:rPr>
      </w:pPr>
    </w:p>
    <w:p w14:paraId="514A2E78" w14:textId="5E6B11C3" w:rsidR="004748F8"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S9</w:t>
      </w:r>
      <w:r>
        <w:rPr>
          <w:b/>
          <w:bCs/>
          <w:color w:val="000000"/>
        </w:rPr>
        <w:t>.</w:t>
      </w:r>
      <w:r w:rsidR="004748F8" w:rsidRPr="00FB000A">
        <w:rPr>
          <w:b/>
          <w:bCs/>
          <w:color w:val="000000"/>
        </w:rPr>
        <w:t xml:space="preserve"> </w:t>
      </w:r>
      <w:r w:rsidR="004748F8" w:rsidRPr="00FB000A">
        <w:t xml:space="preserve">Representative morphology of 4T1 tumor cells with different treatments. </w:t>
      </w:r>
      <w:r w:rsidR="00CA0B92" w:rsidRPr="00FB000A">
        <w:t>IGBN</w:t>
      </w:r>
      <w:r w:rsidR="004748F8" w:rsidRPr="00FB000A">
        <w:t xml:space="preserve"> inhibited the platelet-induced EMT by </w:t>
      </w:r>
      <w:r w:rsidR="004748F8" w:rsidRPr="00FB000A">
        <w:rPr>
          <w:rStyle w:val="fontstyle01"/>
          <w:rFonts w:ascii="Times New Roman" w:hAnsi="Times New Roman"/>
          <w:b w:val="0"/>
          <w:bCs w:val="0"/>
        </w:rPr>
        <w:t>producing NO.</w:t>
      </w:r>
      <w:r w:rsidR="004748F8" w:rsidRPr="00FB000A">
        <w:rPr>
          <w:b/>
          <w:bCs/>
        </w:rPr>
        <w:t xml:space="preserve"> </w:t>
      </w:r>
      <w:r w:rsidR="004748F8" w:rsidRPr="00FB000A">
        <w:t>Pla: platelets. Scale bar: 50 μm</w:t>
      </w:r>
    </w:p>
    <w:p w14:paraId="25E582E5" w14:textId="77777777" w:rsidR="004748F8" w:rsidRPr="00FB000A" w:rsidRDefault="004748F8" w:rsidP="00020272">
      <w:pPr>
        <w:spacing w:line="480" w:lineRule="auto"/>
      </w:pPr>
    </w:p>
    <w:p w14:paraId="70DB41BD" w14:textId="0B9D368B" w:rsidR="004748F8" w:rsidRPr="00FB000A" w:rsidRDefault="00F33F83" w:rsidP="00020272">
      <w:pPr>
        <w:spacing w:line="480" w:lineRule="auto"/>
        <w:jc w:val="center"/>
      </w:pPr>
      <w:r w:rsidRPr="00FB000A">
        <w:rPr>
          <w:noProof/>
        </w:rPr>
        <w:lastRenderedPageBreak/>
        <w:drawing>
          <wp:inline distT="0" distB="0" distL="0" distR="0" wp14:anchorId="5BBE5736" wp14:editId="18FBB6B7">
            <wp:extent cx="5760720" cy="14737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1473740"/>
                    </a:xfrm>
                    <a:prstGeom prst="rect">
                      <a:avLst/>
                    </a:prstGeom>
                    <a:noFill/>
                    <a:ln>
                      <a:noFill/>
                    </a:ln>
                  </pic:spPr>
                </pic:pic>
              </a:graphicData>
            </a:graphic>
          </wp:inline>
        </w:drawing>
      </w:r>
    </w:p>
    <w:p w14:paraId="06A86E8F" w14:textId="77777777" w:rsidR="006A592F" w:rsidRPr="00FB000A" w:rsidRDefault="006A592F" w:rsidP="00020272">
      <w:pPr>
        <w:spacing w:line="480" w:lineRule="auto"/>
      </w:pPr>
    </w:p>
    <w:p w14:paraId="2675D27E" w14:textId="2B534723" w:rsidR="004748F8"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S10</w:t>
      </w:r>
      <w:r>
        <w:rPr>
          <w:b/>
          <w:bCs/>
          <w:color w:val="000000"/>
        </w:rPr>
        <w:t>.</w:t>
      </w:r>
      <w:r w:rsidR="004748F8" w:rsidRPr="00FB000A">
        <w:t xml:space="preserve"> </w:t>
      </w:r>
      <w:r w:rsidR="008173FD" w:rsidRPr="00FB000A">
        <w:t>(</w:t>
      </w:r>
      <w:r w:rsidR="008173FD" w:rsidRPr="00FB000A">
        <w:rPr>
          <w:b/>
        </w:rPr>
        <w:t>a</w:t>
      </w:r>
      <w:r w:rsidR="008173FD" w:rsidRPr="00FB000A">
        <w:t>)</w:t>
      </w:r>
      <w:r w:rsidR="00590A5F" w:rsidRPr="00FB000A">
        <w:t xml:space="preserve"> </w:t>
      </w:r>
      <w:r w:rsidR="004748F8" w:rsidRPr="00FB000A">
        <w:t>The corresponding mean fluorescence intensity of H</w:t>
      </w:r>
      <w:r w:rsidR="004748F8" w:rsidRPr="00FB000A">
        <w:rPr>
          <w:vertAlign w:val="subscript"/>
        </w:rPr>
        <w:t>2</w:t>
      </w:r>
      <w:r w:rsidR="004748F8" w:rsidRPr="00FB000A">
        <w:t>O</w:t>
      </w:r>
      <w:r w:rsidR="004748F8" w:rsidRPr="00FB000A">
        <w:rPr>
          <w:vertAlign w:val="subscript"/>
        </w:rPr>
        <w:t>2</w:t>
      </w:r>
      <w:r w:rsidR="004748F8" w:rsidRPr="00FB000A">
        <w:t xml:space="preserve"> and </w:t>
      </w:r>
      <w:r w:rsidR="008173FD" w:rsidRPr="00FB000A">
        <w:t>(</w:t>
      </w:r>
      <w:r w:rsidR="008173FD" w:rsidRPr="00FB000A">
        <w:rPr>
          <w:b/>
        </w:rPr>
        <w:t>b</w:t>
      </w:r>
      <w:r w:rsidR="008173FD" w:rsidRPr="00FB000A">
        <w:t>)</w:t>
      </w:r>
      <w:r w:rsidR="00590A5F" w:rsidRPr="00FB000A">
        <w:t xml:space="preserve"> </w:t>
      </w:r>
      <w:r w:rsidR="004748F8" w:rsidRPr="00FB000A">
        <w:t xml:space="preserve">NO in 4T1 cells with different treatments (n=3), </w:t>
      </w:r>
      <w:r w:rsidR="004748F8" w:rsidRPr="00FB000A">
        <w:rPr>
          <w:color w:val="000000" w:themeColor="text1"/>
        </w:rPr>
        <w:t>****p &lt; 0.0001</w:t>
      </w:r>
    </w:p>
    <w:p w14:paraId="4B690D51" w14:textId="478DA198" w:rsidR="005173F4" w:rsidRPr="00FB000A" w:rsidRDefault="005173F4" w:rsidP="00020272">
      <w:pPr>
        <w:spacing w:line="480" w:lineRule="auto"/>
      </w:pPr>
      <w:r w:rsidRPr="00FB000A">
        <w:rPr>
          <w:noProof/>
          <w:lang w:val="en-US" w:eastAsia="zh-CN"/>
        </w:rPr>
        <w:drawing>
          <wp:anchor distT="0" distB="0" distL="114300" distR="114300" simplePos="0" relativeHeight="251659264" behindDoc="0" locked="0" layoutInCell="1" allowOverlap="1" wp14:anchorId="1247191A" wp14:editId="40D69F31">
            <wp:simplePos x="0" y="0"/>
            <wp:positionH relativeFrom="column">
              <wp:posOffset>568585</wp:posOffset>
            </wp:positionH>
            <wp:positionV relativeFrom="paragraph">
              <wp:posOffset>15069</wp:posOffset>
            </wp:positionV>
            <wp:extent cx="5087685" cy="1542823"/>
            <wp:effectExtent l="0" t="0" r="0"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4D-WB定量-0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87685" cy="1542823"/>
                    </a:xfrm>
                    <a:prstGeom prst="rect">
                      <a:avLst/>
                    </a:prstGeom>
                  </pic:spPr>
                </pic:pic>
              </a:graphicData>
            </a:graphic>
            <wp14:sizeRelH relativeFrom="page">
              <wp14:pctWidth>0</wp14:pctWidth>
            </wp14:sizeRelH>
            <wp14:sizeRelV relativeFrom="page">
              <wp14:pctHeight>0</wp14:pctHeight>
            </wp14:sizeRelV>
          </wp:anchor>
        </w:drawing>
      </w:r>
    </w:p>
    <w:p w14:paraId="1830C6D4" w14:textId="595C818F" w:rsidR="005173F4" w:rsidRPr="00FB000A" w:rsidRDefault="005173F4" w:rsidP="00020272">
      <w:pPr>
        <w:spacing w:line="480" w:lineRule="auto"/>
      </w:pPr>
    </w:p>
    <w:p w14:paraId="22486F43" w14:textId="77777777" w:rsidR="005173F4" w:rsidRPr="00FB000A" w:rsidRDefault="005173F4" w:rsidP="00020272">
      <w:pPr>
        <w:spacing w:line="480" w:lineRule="auto"/>
      </w:pPr>
    </w:p>
    <w:p w14:paraId="4FE11250" w14:textId="77777777" w:rsidR="005173F4" w:rsidRPr="00FB000A" w:rsidRDefault="005173F4" w:rsidP="00020272">
      <w:pPr>
        <w:spacing w:line="480" w:lineRule="auto"/>
      </w:pPr>
    </w:p>
    <w:p w14:paraId="08887104" w14:textId="2C4657F0" w:rsidR="005173F4" w:rsidRPr="00FB000A" w:rsidRDefault="005173F4" w:rsidP="00020272">
      <w:pPr>
        <w:spacing w:line="480" w:lineRule="auto"/>
      </w:pPr>
    </w:p>
    <w:p w14:paraId="756453C8" w14:textId="77777777" w:rsidR="005173F4" w:rsidRPr="00FB000A" w:rsidRDefault="005173F4" w:rsidP="00020272">
      <w:pPr>
        <w:spacing w:line="480" w:lineRule="auto"/>
      </w:pPr>
    </w:p>
    <w:p w14:paraId="24EF1BBD" w14:textId="77777777" w:rsidR="005173F4" w:rsidRPr="00FB000A" w:rsidRDefault="005173F4" w:rsidP="00020272">
      <w:pPr>
        <w:spacing w:line="480" w:lineRule="auto"/>
      </w:pPr>
    </w:p>
    <w:p w14:paraId="0407F3B6" w14:textId="7656A049" w:rsidR="005173F4" w:rsidRPr="00FB000A" w:rsidRDefault="005173F4" w:rsidP="00020272">
      <w:pPr>
        <w:spacing w:line="480" w:lineRule="auto"/>
      </w:pPr>
    </w:p>
    <w:p w14:paraId="74500089" w14:textId="3C3176E4" w:rsidR="008173FD" w:rsidRPr="00FB000A" w:rsidRDefault="008173FD" w:rsidP="00020272">
      <w:pPr>
        <w:spacing w:line="480" w:lineRule="auto"/>
      </w:pPr>
    </w:p>
    <w:p w14:paraId="50AACAB0" w14:textId="77777777" w:rsidR="008173FD" w:rsidRPr="00FB000A" w:rsidRDefault="008173FD" w:rsidP="00020272">
      <w:pPr>
        <w:spacing w:line="480" w:lineRule="auto"/>
      </w:pPr>
    </w:p>
    <w:p w14:paraId="23DE99CC" w14:textId="30227F82" w:rsidR="005173F4" w:rsidRPr="00FB000A" w:rsidRDefault="00473AB3" w:rsidP="00020272">
      <w:pPr>
        <w:spacing w:line="480" w:lineRule="auto"/>
        <w:jc w:val="both"/>
        <w:rPr>
          <w:color w:val="000000" w:themeColor="text1"/>
        </w:rPr>
      </w:pPr>
      <w:r w:rsidRPr="00473AB3">
        <w:rPr>
          <w:b/>
          <w:bCs/>
          <w:color w:val="000000"/>
        </w:rPr>
        <w:t>Fig</w:t>
      </w:r>
      <w:r w:rsidRPr="00473AB3">
        <w:rPr>
          <w:rFonts w:eastAsiaTheme="minorEastAsia"/>
          <w:b/>
          <w:bCs/>
          <w:color w:val="000000"/>
          <w:lang w:eastAsia="zh-CN"/>
        </w:rPr>
        <w:t>ure</w:t>
      </w:r>
      <w:r w:rsidR="005173F4" w:rsidRPr="00FB000A">
        <w:rPr>
          <w:b/>
          <w:bCs/>
          <w:color w:val="000000"/>
        </w:rPr>
        <w:t xml:space="preserve"> S11</w:t>
      </w:r>
      <w:r>
        <w:rPr>
          <w:b/>
          <w:bCs/>
          <w:color w:val="000000"/>
        </w:rPr>
        <w:t>.</w:t>
      </w:r>
      <w:r w:rsidR="005173F4" w:rsidRPr="00FB000A">
        <w:t xml:space="preserve"> </w:t>
      </w:r>
      <w:r w:rsidR="00851271" w:rsidRPr="00FB000A">
        <w:t xml:space="preserve">The corresponding gray analysis of E-cadherin, N-cadherin, and </w:t>
      </w:r>
      <w:r w:rsidR="004D616C" w:rsidRPr="00FB000A">
        <w:rPr>
          <w:rFonts w:eastAsiaTheme="minorEastAsia"/>
          <w:lang w:eastAsia="zh-CN"/>
        </w:rPr>
        <w:t>V</w:t>
      </w:r>
      <w:r w:rsidR="004D616C" w:rsidRPr="00FB000A">
        <w:t xml:space="preserve">imentin </w:t>
      </w:r>
      <w:r w:rsidR="00851271" w:rsidRPr="00FB000A">
        <w:t>by ImageJ (n=3)</w:t>
      </w:r>
      <w:r w:rsidR="005173F4" w:rsidRPr="00FB000A">
        <w:t>,</w:t>
      </w:r>
      <w:r w:rsidR="00851271" w:rsidRPr="00FB000A">
        <w:rPr>
          <w:color w:val="000000" w:themeColor="text1"/>
        </w:rPr>
        <w:t xml:space="preserve"> *p &lt; 0.05, </w:t>
      </w:r>
      <w:r w:rsidR="005173F4" w:rsidRPr="00FB000A">
        <w:rPr>
          <w:color w:val="000000" w:themeColor="text1"/>
        </w:rPr>
        <w:t>**p &lt; 0.01</w:t>
      </w:r>
    </w:p>
    <w:p w14:paraId="093D8CC8" w14:textId="6C98F5D3" w:rsidR="00AD3673" w:rsidRPr="00FB000A" w:rsidRDefault="00AD3673" w:rsidP="00020272">
      <w:pPr>
        <w:spacing w:line="480" w:lineRule="auto"/>
        <w:jc w:val="both"/>
        <w:rPr>
          <w:color w:val="000000" w:themeColor="text1"/>
        </w:rPr>
      </w:pPr>
      <w:r w:rsidRPr="00FB000A">
        <w:rPr>
          <w:noProof/>
        </w:rPr>
        <w:drawing>
          <wp:inline distT="0" distB="0" distL="0" distR="0" wp14:anchorId="46517118" wp14:editId="4FB0AA59">
            <wp:extent cx="5760720" cy="143580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1435803"/>
                    </a:xfrm>
                    <a:prstGeom prst="rect">
                      <a:avLst/>
                    </a:prstGeom>
                    <a:noFill/>
                    <a:ln>
                      <a:noFill/>
                    </a:ln>
                  </pic:spPr>
                </pic:pic>
              </a:graphicData>
            </a:graphic>
          </wp:inline>
        </w:drawing>
      </w:r>
    </w:p>
    <w:p w14:paraId="20B4EB30" w14:textId="64E89CF2" w:rsidR="00AD3673"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AD3673" w:rsidRPr="00FB000A">
        <w:rPr>
          <w:b/>
          <w:bCs/>
          <w:color w:val="000000"/>
        </w:rPr>
        <w:t xml:space="preserve"> S12</w:t>
      </w:r>
      <w:r>
        <w:rPr>
          <w:b/>
          <w:bCs/>
          <w:color w:val="000000"/>
        </w:rPr>
        <w:t>.</w:t>
      </w:r>
      <w:r w:rsidR="00AD3673" w:rsidRPr="00FB000A">
        <w:rPr>
          <w:b/>
          <w:bCs/>
          <w:color w:val="000000"/>
        </w:rPr>
        <w:t xml:space="preserve"> </w:t>
      </w:r>
      <w:r w:rsidR="00AD3673" w:rsidRPr="00FB000A">
        <w:rPr>
          <w:rFonts w:eastAsia="宋体"/>
          <w:kern w:val="2"/>
          <w:lang w:val="en-US" w:eastAsia="zh-CN"/>
        </w:rPr>
        <w:t>Cell viability of 4T1 cells after treated with CD, CPD, IGBN, respectively (n=6)</w:t>
      </w:r>
    </w:p>
    <w:p w14:paraId="2A722D53" w14:textId="1F8718BB" w:rsidR="004748F8" w:rsidRPr="00FB000A" w:rsidRDefault="008173FD" w:rsidP="00020272">
      <w:pPr>
        <w:spacing w:line="480" w:lineRule="auto"/>
        <w:jc w:val="center"/>
        <w:rPr>
          <w:noProof/>
        </w:rPr>
      </w:pPr>
      <w:r w:rsidRPr="00FB000A">
        <w:rPr>
          <w:noProof/>
        </w:rPr>
        <w:lastRenderedPageBreak/>
        <w:drawing>
          <wp:inline distT="0" distB="0" distL="0" distR="0" wp14:anchorId="743470C4" wp14:editId="21D413D1">
            <wp:extent cx="5760720" cy="2696507"/>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696507"/>
                    </a:xfrm>
                    <a:prstGeom prst="rect">
                      <a:avLst/>
                    </a:prstGeom>
                    <a:noFill/>
                    <a:ln>
                      <a:noFill/>
                    </a:ln>
                  </pic:spPr>
                </pic:pic>
              </a:graphicData>
            </a:graphic>
          </wp:inline>
        </w:drawing>
      </w:r>
    </w:p>
    <w:p w14:paraId="794194AD" w14:textId="06A607FF" w:rsidR="004748F8" w:rsidRPr="00FB000A" w:rsidRDefault="004748F8" w:rsidP="00020272">
      <w:pPr>
        <w:spacing w:line="480" w:lineRule="auto"/>
        <w:jc w:val="center"/>
      </w:pPr>
    </w:p>
    <w:p w14:paraId="63F1B4A5" w14:textId="185CB064" w:rsidR="004748F8" w:rsidRPr="00FB000A" w:rsidRDefault="00473AB3" w:rsidP="00020272">
      <w:pPr>
        <w:spacing w:line="480" w:lineRule="auto"/>
        <w:jc w:val="both"/>
        <w:rPr>
          <w:bCs/>
          <w:color w:val="000000"/>
        </w:rPr>
      </w:pPr>
      <w:r w:rsidRPr="00473AB3">
        <w:rPr>
          <w:b/>
          <w:bCs/>
          <w:color w:val="000000"/>
        </w:rPr>
        <w:t>Fig</w:t>
      </w:r>
      <w:r w:rsidRPr="00473AB3">
        <w:rPr>
          <w:rFonts w:eastAsiaTheme="minorEastAsia"/>
          <w:b/>
          <w:bCs/>
          <w:color w:val="000000"/>
          <w:lang w:eastAsia="zh-CN"/>
        </w:rPr>
        <w:t>ure</w:t>
      </w:r>
      <w:r w:rsidRPr="00FB000A">
        <w:rPr>
          <w:b/>
          <w:bCs/>
          <w:color w:val="000000"/>
        </w:rPr>
        <w:t xml:space="preserve"> </w:t>
      </w:r>
      <w:r w:rsidR="004748F8" w:rsidRPr="00FB000A">
        <w:rPr>
          <w:b/>
          <w:bCs/>
          <w:color w:val="000000"/>
        </w:rPr>
        <w:t>S1</w:t>
      </w:r>
      <w:r w:rsidR="00FE4BA4" w:rsidRPr="00FB000A">
        <w:rPr>
          <w:b/>
          <w:bCs/>
          <w:color w:val="000000"/>
        </w:rPr>
        <w:t>3</w:t>
      </w:r>
      <w:r>
        <w:rPr>
          <w:b/>
          <w:bCs/>
          <w:color w:val="000000"/>
        </w:rPr>
        <w:t>.</w:t>
      </w:r>
      <w:r w:rsidR="004748F8" w:rsidRPr="00FB000A">
        <w:rPr>
          <w:b/>
          <w:bCs/>
          <w:color w:val="000000"/>
        </w:rPr>
        <w:t xml:space="preserve"> </w:t>
      </w:r>
      <w:r w:rsidR="008173FD" w:rsidRPr="00FB000A">
        <w:rPr>
          <w:bCs/>
          <w:color w:val="000000" w:themeColor="text1"/>
        </w:rPr>
        <w:t>(</w:t>
      </w:r>
      <w:r w:rsidR="008173FD" w:rsidRPr="00FB000A">
        <w:rPr>
          <w:b/>
          <w:bCs/>
          <w:color w:val="000000" w:themeColor="text1"/>
        </w:rPr>
        <w:t>a</w:t>
      </w:r>
      <w:r w:rsidR="008173FD" w:rsidRPr="00FB000A">
        <w:rPr>
          <w:bCs/>
          <w:color w:val="000000" w:themeColor="text1"/>
        </w:rPr>
        <w:t>)</w:t>
      </w:r>
      <w:r w:rsidR="004748F8" w:rsidRPr="00FB000A">
        <w:rPr>
          <w:bCs/>
          <w:color w:val="000000" w:themeColor="text1"/>
        </w:rPr>
        <w:t xml:space="preserve"> T</w:t>
      </w:r>
      <w:r w:rsidR="004748F8" w:rsidRPr="00FB000A">
        <w:rPr>
          <w:bCs/>
          <w:color w:val="000000"/>
        </w:rPr>
        <w:t>he fluorescent imaging of 4T1 tumor-bearing mice were administered a single intravenous injection of free IR783 (upper panel) or CIR783D (lower panel) at 1, 3, 6, 9, 12, 24, 48 h post-injection. White circle: tumor site</w:t>
      </w:r>
      <w:r w:rsidR="004748F8" w:rsidRPr="00FB000A">
        <w:rPr>
          <w:bCs/>
          <w:color w:val="000000" w:themeColor="text1"/>
        </w:rPr>
        <w:t>.</w:t>
      </w:r>
      <w:r w:rsidR="00590A5F" w:rsidRPr="00FB000A">
        <w:rPr>
          <w:bCs/>
          <w:color w:val="000000" w:themeColor="text1"/>
        </w:rPr>
        <w:t xml:space="preserve"> </w:t>
      </w:r>
      <w:r w:rsidR="008173FD" w:rsidRPr="00FB000A">
        <w:rPr>
          <w:bCs/>
          <w:color w:val="000000" w:themeColor="text1"/>
        </w:rPr>
        <w:t>(</w:t>
      </w:r>
      <w:r w:rsidR="008173FD" w:rsidRPr="00FB000A">
        <w:rPr>
          <w:b/>
          <w:bCs/>
          <w:color w:val="000000" w:themeColor="text1"/>
        </w:rPr>
        <w:t>b</w:t>
      </w:r>
      <w:r w:rsidR="008173FD" w:rsidRPr="00FB000A">
        <w:rPr>
          <w:bCs/>
          <w:color w:val="000000" w:themeColor="text1"/>
        </w:rPr>
        <w:t>)</w:t>
      </w:r>
      <w:r w:rsidR="004748F8" w:rsidRPr="00FB000A">
        <w:rPr>
          <w:bCs/>
          <w:color w:val="000000" w:themeColor="text1"/>
        </w:rPr>
        <w:t xml:space="preserve"> </w:t>
      </w:r>
      <w:r w:rsidR="004748F8" w:rsidRPr="00FB000A">
        <w:rPr>
          <w:i/>
          <w:color w:val="000000" w:themeColor="text1"/>
        </w:rPr>
        <w:t>Ex vivo</w:t>
      </w:r>
      <w:r w:rsidR="004748F8" w:rsidRPr="00FB000A">
        <w:rPr>
          <w:color w:val="000000" w:themeColor="text1"/>
        </w:rPr>
        <w:t xml:space="preserve"> images of the tumor and major organs after injection for 48 h</w:t>
      </w:r>
    </w:p>
    <w:p w14:paraId="1876C73A" w14:textId="40D9B845" w:rsidR="004748F8" w:rsidRPr="00FB000A" w:rsidRDefault="006A592F" w:rsidP="00020272">
      <w:pPr>
        <w:spacing w:line="480" w:lineRule="auto"/>
      </w:pPr>
      <w:r w:rsidRPr="00FB000A">
        <w:rPr>
          <w:b/>
          <w:bCs/>
          <w:noProof/>
          <w:color w:val="000000"/>
          <w:lang w:val="en-US" w:eastAsia="zh-CN"/>
        </w:rPr>
        <w:drawing>
          <wp:anchor distT="0" distB="0" distL="114300" distR="114300" simplePos="0" relativeHeight="251657216" behindDoc="0" locked="0" layoutInCell="1" allowOverlap="1" wp14:anchorId="6558AE18" wp14:editId="6B61CC86">
            <wp:simplePos x="0" y="0"/>
            <wp:positionH relativeFrom="column">
              <wp:posOffset>1696085</wp:posOffset>
            </wp:positionH>
            <wp:positionV relativeFrom="paragraph">
              <wp:posOffset>262890</wp:posOffset>
            </wp:positionV>
            <wp:extent cx="2359025" cy="1541780"/>
            <wp:effectExtent l="0" t="0" r="3175" b="1270"/>
            <wp:wrapTopAndBottom/>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FigS13.TUNEL荧光定量.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59025" cy="1541780"/>
                    </a:xfrm>
                    <a:prstGeom prst="rect">
                      <a:avLst/>
                    </a:prstGeom>
                  </pic:spPr>
                </pic:pic>
              </a:graphicData>
            </a:graphic>
            <wp14:sizeRelH relativeFrom="page">
              <wp14:pctWidth>0</wp14:pctWidth>
            </wp14:sizeRelH>
            <wp14:sizeRelV relativeFrom="page">
              <wp14:pctHeight>0</wp14:pctHeight>
            </wp14:sizeRelV>
          </wp:anchor>
        </w:drawing>
      </w:r>
    </w:p>
    <w:p w14:paraId="009AE581" w14:textId="77777777" w:rsidR="00C30355" w:rsidRPr="00FB000A" w:rsidRDefault="00C30355" w:rsidP="00020272">
      <w:pPr>
        <w:spacing w:line="480" w:lineRule="auto"/>
        <w:rPr>
          <w:b/>
          <w:bCs/>
          <w:color w:val="000000"/>
        </w:rPr>
      </w:pPr>
    </w:p>
    <w:p w14:paraId="11A26E4B" w14:textId="5C47B9D0" w:rsidR="00C30355" w:rsidRPr="00FB000A" w:rsidRDefault="00473AB3" w:rsidP="00020272">
      <w:pPr>
        <w:spacing w:line="480" w:lineRule="auto"/>
        <w:jc w:val="both"/>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S1</w:t>
      </w:r>
      <w:r w:rsidR="00FE4BA4" w:rsidRPr="00FB000A">
        <w:rPr>
          <w:b/>
          <w:bCs/>
          <w:color w:val="000000"/>
        </w:rPr>
        <w:t>4</w:t>
      </w:r>
      <w:r>
        <w:rPr>
          <w:b/>
          <w:bCs/>
          <w:color w:val="000000"/>
        </w:rPr>
        <w:t>.</w:t>
      </w:r>
      <w:r w:rsidR="004748F8" w:rsidRPr="00FB000A">
        <w:rPr>
          <w:color w:val="000000" w:themeColor="text1"/>
        </w:rPr>
        <w:t xml:space="preserve"> </w:t>
      </w:r>
      <w:r w:rsidR="004748F8" w:rsidRPr="00FB000A">
        <w:t>Corresponding mean fluorescence intensity analysis of TUNEL staining in tumors on day 14 after treatments (n=</w:t>
      </w:r>
      <w:r w:rsidR="00590A5F" w:rsidRPr="00FB000A">
        <w:t>5</w:t>
      </w:r>
      <w:r w:rsidR="004748F8" w:rsidRPr="00FB000A">
        <w:t>)</w:t>
      </w:r>
    </w:p>
    <w:p w14:paraId="0C7C35B7" w14:textId="77777777" w:rsidR="00C30355" w:rsidRPr="00FB000A" w:rsidRDefault="00C30355" w:rsidP="00020272">
      <w:pPr>
        <w:spacing w:line="480" w:lineRule="auto"/>
        <w:jc w:val="both"/>
      </w:pPr>
    </w:p>
    <w:p w14:paraId="142572CB" w14:textId="50FB292F" w:rsidR="00C30355" w:rsidRPr="00FB000A" w:rsidRDefault="006A592F" w:rsidP="00020272">
      <w:pPr>
        <w:spacing w:line="480" w:lineRule="auto"/>
        <w:jc w:val="center"/>
        <w:rPr>
          <w:rFonts w:eastAsiaTheme="minorEastAsia"/>
          <w:lang w:eastAsia="zh-CN"/>
        </w:rPr>
      </w:pPr>
      <w:r w:rsidRPr="00FB000A">
        <w:rPr>
          <w:noProof/>
          <w:lang w:val="en-US" w:eastAsia="zh-CN"/>
        </w:rPr>
        <w:lastRenderedPageBreak/>
        <w:drawing>
          <wp:inline distT="0" distB="0" distL="0" distR="0" wp14:anchorId="5ED481E9" wp14:editId="7BAA9354">
            <wp:extent cx="2353056" cy="1652460"/>
            <wp:effectExtent l="0" t="0" r="9525" b="508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FigS12.小鼠体重.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3056" cy="1652460"/>
                    </a:xfrm>
                    <a:prstGeom prst="rect">
                      <a:avLst/>
                    </a:prstGeom>
                  </pic:spPr>
                </pic:pic>
              </a:graphicData>
            </a:graphic>
          </wp:inline>
        </w:drawing>
      </w:r>
    </w:p>
    <w:p w14:paraId="03E10788" w14:textId="77777777" w:rsidR="00C30355" w:rsidRPr="00FB000A" w:rsidRDefault="00C30355" w:rsidP="00020272">
      <w:pPr>
        <w:spacing w:line="480" w:lineRule="auto"/>
      </w:pPr>
    </w:p>
    <w:p w14:paraId="6AEAAAAB" w14:textId="63B64686" w:rsidR="00C30355" w:rsidRPr="00FB000A" w:rsidRDefault="00473AB3" w:rsidP="00020272">
      <w:pPr>
        <w:spacing w:line="480" w:lineRule="auto"/>
        <w:jc w:val="both"/>
        <w:rPr>
          <w:b/>
          <w:bCs/>
          <w:color w:val="000000"/>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S1</w:t>
      </w:r>
      <w:r w:rsidR="00FE4BA4" w:rsidRPr="00FB000A">
        <w:rPr>
          <w:b/>
          <w:bCs/>
          <w:color w:val="000000"/>
        </w:rPr>
        <w:t>5</w:t>
      </w:r>
      <w:r>
        <w:rPr>
          <w:b/>
          <w:bCs/>
          <w:color w:val="000000"/>
        </w:rPr>
        <w:t>.</w:t>
      </w:r>
      <w:r w:rsidR="004748F8" w:rsidRPr="00FB000A">
        <w:rPr>
          <w:bCs/>
          <w:color w:val="000000"/>
        </w:rPr>
        <w:t xml:space="preserve"> Changes in body weights of 4T1 tumor-bearing mice treated with Saline, CD, PA, CPD and </w:t>
      </w:r>
      <w:r w:rsidR="00CA0B92" w:rsidRPr="00FB000A">
        <w:rPr>
          <w:bCs/>
          <w:color w:val="000000"/>
        </w:rPr>
        <w:t>IGBN</w:t>
      </w:r>
      <w:r w:rsidR="004748F8" w:rsidRPr="00FB000A">
        <w:rPr>
          <w:bCs/>
          <w:color w:val="000000"/>
        </w:rPr>
        <w:t xml:space="preserve"> (n=</w:t>
      </w:r>
      <w:r w:rsidR="00590A5F" w:rsidRPr="00FB000A">
        <w:rPr>
          <w:bCs/>
          <w:color w:val="000000"/>
        </w:rPr>
        <w:t>5</w:t>
      </w:r>
      <w:r w:rsidR="004748F8" w:rsidRPr="00FB000A">
        <w:rPr>
          <w:bCs/>
          <w:color w:val="000000"/>
        </w:rPr>
        <w:t>)</w:t>
      </w:r>
    </w:p>
    <w:p w14:paraId="47A26026" w14:textId="30E15EB6" w:rsidR="00C30355" w:rsidRPr="00FB000A" w:rsidRDefault="006A592F" w:rsidP="00020272">
      <w:pPr>
        <w:spacing w:line="480" w:lineRule="auto"/>
        <w:jc w:val="center"/>
        <w:rPr>
          <w:rFonts w:eastAsiaTheme="minorEastAsia"/>
          <w:lang w:eastAsia="zh-CN"/>
        </w:rPr>
      </w:pPr>
      <w:r w:rsidRPr="00FB000A">
        <w:rPr>
          <w:noProof/>
          <w:lang w:val="en-US" w:eastAsia="zh-CN"/>
        </w:rPr>
        <w:drawing>
          <wp:inline distT="0" distB="0" distL="0" distR="0" wp14:anchorId="7C6C15B8" wp14:editId="0FDD54F8">
            <wp:extent cx="4928616" cy="2754833"/>
            <wp:effectExtent l="0" t="0" r="5715" b="762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FigS15.HE.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28616" cy="2754833"/>
                    </a:xfrm>
                    <a:prstGeom prst="rect">
                      <a:avLst/>
                    </a:prstGeom>
                  </pic:spPr>
                </pic:pic>
              </a:graphicData>
            </a:graphic>
          </wp:inline>
        </w:drawing>
      </w:r>
    </w:p>
    <w:p w14:paraId="2E87B450" w14:textId="77777777" w:rsidR="006A592F" w:rsidRPr="00FB000A" w:rsidRDefault="006A592F" w:rsidP="00020272">
      <w:pPr>
        <w:spacing w:line="480" w:lineRule="auto"/>
        <w:jc w:val="center"/>
      </w:pPr>
    </w:p>
    <w:p w14:paraId="618F3135" w14:textId="117A9A11" w:rsidR="004748F8" w:rsidRPr="00FB000A" w:rsidRDefault="00473AB3" w:rsidP="00020272">
      <w:pPr>
        <w:spacing w:line="480" w:lineRule="auto"/>
        <w:jc w:val="both"/>
        <w:rPr>
          <w:color w:val="000000" w:themeColor="text1"/>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S1</w:t>
      </w:r>
      <w:r w:rsidR="00FE4BA4" w:rsidRPr="00FB000A">
        <w:rPr>
          <w:b/>
          <w:bCs/>
          <w:color w:val="000000"/>
        </w:rPr>
        <w:t>6</w:t>
      </w:r>
      <w:r>
        <w:rPr>
          <w:b/>
          <w:bCs/>
          <w:color w:val="000000"/>
        </w:rPr>
        <w:t>.</w:t>
      </w:r>
      <w:r w:rsidR="004748F8" w:rsidRPr="00FB000A">
        <w:rPr>
          <w:b/>
          <w:bCs/>
          <w:color w:val="000000"/>
        </w:rPr>
        <w:t xml:space="preserve"> </w:t>
      </w:r>
      <w:r w:rsidR="004748F8" w:rsidRPr="00FB000A">
        <w:rPr>
          <w:color w:val="000000"/>
        </w:rPr>
        <w:t>Major organs (heart, liver, spleen and kidney) harvested from the mice after the last treatment were subjected to H&amp;E staining pathological analysis.</w:t>
      </w:r>
      <w:r w:rsidR="004748F8" w:rsidRPr="00FB000A">
        <w:rPr>
          <w:color w:val="FF0000"/>
        </w:rPr>
        <w:t xml:space="preserve"> </w:t>
      </w:r>
      <w:r w:rsidR="004748F8" w:rsidRPr="00FB000A">
        <w:rPr>
          <w:color w:val="000000" w:themeColor="text1"/>
        </w:rPr>
        <w:t>Scale bar: 100 μm</w:t>
      </w:r>
    </w:p>
    <w:p w14:paraId="4D5FB923" w14:textId="77777777" w:rsidR="004748F8" w:rsidRPr="00FB000A" w:rsidRDefault="004748F8" w:rsidP="00020272">
      <w:pPr>
        <w:spacing w:line="480" w:lineRule="auto"/>
      </w:pPr>
    </w:p>
    <w:p w14:paraId="12611981" w14:textId="76362D5D" w:rsidR="004748F8" w:rsidRPr="00FB000A" w:rsidRDefault="006A592F" w:rsidP="00020272">
      <w:pPr>
        <w:spacing w:line="480" w:lineRule="auto"/>
      </w:pPr>
      <w:r w:rsidRPr="00FB000A">
        <w:rPr>
          <w:noProof/>
          <w:lang w:val="en-US" w:eastAsia="zh-CN"/>
        </w:rPr>
        <w:lastRenderedPageBreak/>
        <w:drawing>
          <wp:inline distT="0" distB="0" distL="0" distR="0" wp14:anchorId="17774EC2" wp14:editId="6B2F2BD4">
            <wp:extent cx="5760720" cy="2958078"/>
            <wp:effectExtent l="0" t="0" r="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FigS16.血液生化指标.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958078"/>
                    </a:xfrm>
                    <a:prstGeom prst="rect">
                      <a:avLst/>
                    </a:prstGeom>
                  </pic:spPr>
                </pic:pic>
              </a:graphicData>
            </a:graphic>
          </wp:inline>
        </w:drawing>
      </w:r>
    </w:p>
    <w:p w14:paraId="321C1DA4" w14:textId="77777777" w:rsidR="004748F8" w:rsidRPr="00FB000A" w:rsidRDefault="004748F8" w:rsidP="00020272">
      <w:pPr>
        <w:spacing w:line="480" w:lineRule="auto"/>
      </w:pPr>
    </w:p>
    <w:p w14:paraId="71B2C4E6" w14:textId="425BDF98" w:rsidR="004748F8" w:rsidRPr="00FB000A" w:rsidRDefault="00473AB3" w:rsidP="00020272">
      <w:pPr>
        <w:spacing w:line="480" w:lineRule="auto"/>
        <w:jc w:val="both"/>
        <w:rPr>
          <w:color w:val="000000"/>
        </w:rPr>
      </w:pPr>
      <w:r w:rsidRPr="00473AB3">
        <w:rPr>
          <w:b/>
          <w:bCs/>
          <w:color w:val="000000"/>
        </w:rPr>
        <w:t>Fig</w:t>
      </w:r>
      <w:r w:rsidRPr="00473AB3">
        <w:rPr>
          <w:rFonts w:eastAsiaTheme="minorEastAsia"/>
          <w:b/>
          <w:bCs/>
          <w:color w:val="000000"/>
          <w:lang w:eastAsia="zh-CN"/>
        </w:rPr>
        <w:t>ure</w:t>
      </w:r>
      <w:r w:rsidR="004748F8" w:rsidRPr="00FB000A">
        <w:rPr>
          <w:b/>
          <w:bCs/>
          <w:color w:val="000000"/>
        </w:rPr>
        <w:t xml:space="preserve"> S1</w:t>
      </w:r>
      <w:r w:rsidR="00FE4BA4" w:rsidRPr="00FB000A">
        <w:rPr>
          <w:b/>
          <w:bCs/>
          <w:color w:val="000000"/>
        </w:rPr>
        <w:t>7</w:t>
      </w:r>
      <w:r>
        <w:rPr>
          <w:b/>
          <w:bCs/>
          <w:color w:val="000000"/>
        </w:rPr>
        <w:t>.</w:t>
      </w:r>
      <w:r w:rsidR="004748F8" w:rsidRPr="00FB000A">
        <w:rPr>
          <w:b/>
          <w:bCs/>
          <w:color w:val="000000"/>
        </w:rPr>
        <w:t xml:space="preserve"> </w:t>
      </w:r>
      <w:r w:rsidR="004748F8" w:rsidRPr="00FB000A">
        <w:rPr>
          <w:shd w:val="clear" w:color="auto" w:fill="FFFFFF"/>
        </w:rPr>
        <w:t xml:space="preserve">Blood routine examination and </w:t>
      </w:r>
      <w:r w:rsidR="004748F8" w:rsidRPr="00FB000A">
        <w:t>blood biochemistry analysis. B</w:t>
      </w:r>
      <w:r w:rsidR="004748F8" w:rsidRPr="00FB000A">
        <w:rPr>
          <w:color w:val="000000"/>
        </w:rPr>
        <w:t>lood was collected after the last treatment and un-injected mice served as control group. Alanine aminotransferase (ALT), albumin (ALB), uera (UREA), creatinine (CREA), white blood cells (WBCs), red blood cells (RBCs), hemoglobin (HGB), hematocrit (HCT), mean corpuscular volume (MCV), mean corpuscular hemoglobin (MCH), mean corpuscular hemoglobin concentration (MCHC) and platelet (PLT) levels (n=3)</w:t>
      </w:r>
      <w:bookmarkEnd w:id="0"/>
    </w:p>
    <w:sectPr w:rsidR="004748F8" w:rsidRPr="00FB000A" w:rsidSect="00F85728">
      <w:footerReference w:type="default" r:id="rId29"/>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E28A" w14:textId="77777777" w:rsidR="00B8293F" w:rsidRDefault="00B8293F">
      <w:r>
        <w:separator/>
      </w:r>
    </w:p>
  </w:endnote>
  <w:endnote w:type="continuationSeparator" w:id="0">
    <w:p w14:paraId="7B03A23B" w14:textId="77777777" w:rsidR="00B8293F" w:rsidRDefault="00B82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ScalaSansLF-Bold">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889076"/>
      <w:docPartObj>
        <w:docPartGallery w:val="Page Numbers (Bottom of Page)"/>
        <w:docPartUnique/>
      </w:docPartObj>
    </w:sdtPr>
    <w:sdtEndPr/>
    <w:sdtContent>
      <w:p w14:paraId="4B2E74AE" w14:textId="20D9963D" w:rsidR="00A47853" w:rsidRDefault="00A47853">
        <w:pPr>
          <w:pStyle w:val="a7"/>
          <w:jc w:val="right"/>
        </w:pPr>
        <w:r>
          <w:fldChar w:fldCharType="begin"/>
        </w:r>
        <w:r>
          <w:instrText>PAGE   \* MERGEFORMAT</w:instrText>
        </w:r>
        <w:r>
          <w:fldChar w:fldCharType="separate"/>
        </w:r>
        <w:r>
          <w:rPr>
            <w:lang w:val="zh-CN" w:eastAsia="zh-CN"/>
          </w:rPr>
          <w:t>2</w:t>
        </w:r>
        <w:r>
          <w:fldChar w:fldCharType="end"/>
        </w:r>
      </w:p>
    </w:sdtContent>
  </w:sdt>
  <w:p w14:paraId="65E7129B" w14:textId="77777777" w:rsidR="00975A25" w:rsidRDefault="00975A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63F2" w14:textId="77777777" w:rsidR="00B8293F" w:rsidRDefault="00B8293F">
      <w:r>
        <w:separator/>
      </w:r>
    </w:p>
  </w:footnote>
  <w:footnote w:type="continuationSeparator" w:id="0">
    <w:p w14:paraId="2FCA4D5F" w14:textId="77777777" w:rsidR="00B8293F" w:rsidRDefault="00B829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6A0"/>
    <w:rsid w:val="000003BB"/>
    <w:rsid w:val="0000374D"/>
    <w:rsid w:val="00004A23"/>
    <w:rsid w:val="00006A0A"/>
    <w:rsid w:val="0000703E"/>
    <w:rsid w:val="000112FC"/>
    <w:rsid w:val="000118B0"/>
    <w:rsid w:val="00011F40"/>
    <w:rsid w:val="0001454A"/>
    <w:rsid w:val="0001683C"/>
    <w:rsid w:val="000172E7"/>
    <w:rsid w:val="00020272"/>
    <w:rsid w:val="000214A8"/>
    <w:rsid w:val="00023F64"/>
    <w:rsid w:val="00027FB5"/>
    <w:rsid w:val="000314D2"/>
    <w:rsid w:val="0003318F"/>
    <w:rsid w:val="00035522"/>
    <w:rsid w:val="00035917"/>
    <w:rsid w:val="0004094E"/>
    <w:rsid w:val="00040B7B"/>
    <w:rsid w:val="000415FB"/>
    <w:rsid w:val="000419BC"/>
    <w:rsid w:val="00041A24"/>
    <w:rsid w:val="00041C1B"/>
    <w:rsid w:val="000437F7"/>
    <w:rsid w:val="0004675B"/>
    <w:rsid w:val="00050985"/>
    <w:rsid w:val="0005501E"/>
    <w:rsid w:val="00055883"/>
    <w:rsid w:val="0006044D"/>
    <w:rsid w:val="00060D37"/>
    <w:rsid w:val="00062324"/>
    <w:rsid w:val="00063C0E"/>
    <w:rsid w:val="00072EA7"/>
    <w:rsid w:val="00076EAD"/>
    <w:rsid w:val="000813CB"/>
    <w:rsid w:val="000817A6"/>
    <w:rsid w:val="0008287E"/>
    <w:rsid w:val="00083031"/>
    <w:rsid w:val="00086324"/>
    <w:rsid w:val="0008740B"/>
    <w:rsid w:val="000904D3"/>
    <w:rsid w:val="0009309C"/>
    <w:rsid w:val="00093F1B"/>
    <w:rsid w:val="000A1F4B"/>
    <w:rsid w:val="000A21A9"/>
    <w:rsid w:val="000A3E93"/>
    <w:rsid w:val="000A472C"/>
    <w:rsid w:val="000A4C76"/>
    <w:rsid w:val="000A5773"/>
    <w:rsid w:val="000A682F"/>
    <w:rsid w:val="000B05A0"/>
    <w:rsid w:val="000B33EE"/>
    <w:rsid w:val="000B4293"/>
    <w:rsid w:val="000B5035"/>
    <w:rsid w:val="000C259E"/>
    <w:rsid w:val="000C3E0C"/>
    <w:rsid w:val="000C6252"/>
    <w:rsid w:val="000C6F8A"/>
    <w:rsid w:val="000C70B4"/>
    <w:rsid w:val="000D2D4B"/>
    <w:rsid w:val="000D45F4"/>
    <w:rsid w:val="000D5AB4"/>
    <w:rsid w:val="000D66DB"/>
    <w:rsid w:val="000D7EBA"/>
    <w:rsid w:val="000E3C30"/>
    <w:rsid w:val="000E788B"/>
    <w:rsid w:val="000E7A5B"/>
    <w:rsid w:val="000E7BBA"/>
    <w:rsid w:val="000F512F"/>
    <w:rsid w:val="001013F4"/>
    <w:rsid w:val="001054D4"/>
    <w:rsid w:val="0010686C"/>
    <w:rsid w:val="00107C5F"/>
    <w:rsid w:val="00107CCC"/>
    <w:rsid w:val="00110011"/>
    <w:rsid w:val="001105BD"/>
    <w:rsid w:val="00110FCE"/>
    <w:rsid w:val="00116C82"/>
    <w:rsid w:val="00120E85"/>
    <w:rsid w:val="00122F98"/>
    <w:rsid w:val="00123ADA"/>
    <w:rsid w:val="00125573"/>
    <w:rsid w:val="0012642A"/>
    <w:rsid w:val="00126D17"/>
    <w:rsid w:val="00127BA4"/>
    <w:rsid w:val="001305BF"/>
    <w:rsid w:val="00131D58"/>
    <w:rsid w:val="001370B1"/>
    <w:rsid w:val="001377CA"/>
    <w:rsid w:val="00140B94"/>
    <w:rsid w:val="001450FB"/>
    <w:rsid w:val="0014658A"/>
    <w:rsid w:val="0014696A"/>
    <w:rsid w:val="00147DB8"/>
    <w:rsid w:val="00151083"/>
    <w:rsid w:val="00151683"/>
    <w:rsid w:val="0015392F"/>
    <w:rsid w:val="0015563E"/>
    <w:rsid w:val="00155F66"/>
    <w:rsid w:val="00157E71"/>
    <w:rsid w:val="0016390D"/>
    <w:rsid w:val="00164057"/>
    <w:rsid w:val="00165B37"/>
    <w:rsid w:val="00170369"/>
    <w:rsid w:val="00171E0B"/>
    <w:rsid w:val="00173757"/>
    <w:rsid w:val="00174176"/>
    <w:rsid w:val="00181D92"/>
    <w:rsid w:val="001823B6"/>
    <w:rsid w:val="001848EB"/>
    <w:rsid w:val="00187DB9"/>
    <w:rsid w:val="0019077D"/>
    <w:rsid w:val="0019194D"/>
    <w:rsid w:val="0019723B"/>
    <w:rsid w:val="001A4240"/>
    <w:rsid w:val="001A6821"/>
    <w:rsid w:val="001A734D"/>
    <w:rsid w:val="001B00F1"/>
    <w:rsid w:val="001B0BF6"/>
    <w:rsid w:val="001B4224"/>
    <w:rsid w:val="001B7472"/>
    <w:rsid w:val="001C10AC"/>
    <w:rsid w:val="001C11FB"/>
    <w:rsid w:val="001C55FB"/>
    <w:rsid w:val="001C682D"/>
    <w:rsid w:val="001D12BC"/>
    <w:rsid w:val="001D561D"/>
    <w:rsid w:val="001D78FC"/>
    <w:rsid w:val="001E18CC"/>
    <w:rsid w:val="001E3D2D"/>
    <w:rsid w:val="001E4605"/>
    <w:rsid w:val="001E5F4E"/>
    <w:rsid w:val="001F2689"/>
    <w:rsid w:val="001F2AB7"/>
    <w:rsid w:val="001F3C9B"/>
    <w:rsid w:val="001F3E77"/>
    <w:rsid w:val="001F45B6"/>
    <w:rsid w:val="001F4BD1"/>
    <w:rsid w:val="001F5110"/>
    <w:rsid w:val="001F5702"/>
    <w:rsid w:val="001F65A2"/>
    <w:rsid w:val="002002FC"/>
    <w:rsid w:val="00201F71"/>
    <w:rsid w:val="00203934"/>
    <w:rsid w:val="0020446B"/>
    <w:rsid w:val="00204BA7"/>
    <w:rsid w:val="002063A3"/>
    <w:rsid w:val="0020705C"/>
    <w:rsid w:val="002072AB"/>
    <w:rsid w:val="00210140"/>
    <w:rsid w:val="00211942"/>
    <w:rsid w:val="00214D95"/>
    <w:rsid w:val="00215531"/>
    <w:rsid w:val="002162B2"/>
    <w:rsid w:val="00216F54"/>
    <w:rsid w:val="00220933"/>
    <w:rsid w:val="00220C72"/>
    <w:rsid w:val="0022540C"/>
    <w:rsid w:val="00226AA4"/>
    <w:rsid w:val="00233C8A"/>
    <w:rsid w:val="00234699"/>
    <w:rsid w:val="00236036"/>
    <w:rsid w:val="002375C6"/>
    <w:rsid w:val="00240D90"/>
    <w:rsid w:val="002412A4"/>
    <w:rsid w:val="00243570"/>
    <w:rsid w:val="002503E8"/>
    <w:rsid w:val="00253CB1"/>
    <w:rsid w:val="002543F9"/>
    <w:rsid w:val="00257ADD"/>
    <w:rsid w:val="00263723"/>
    <w:rsid w:val="00263CF8"/>
    <w:rsid w:val="00265635"/>
    <w:rsid w:val="00266389"/>
    <w:rsid w:val="002675F7"/>
    <w:rsid w:val="002725A5"/>
    <w:rsid w:val="00273115"/>
    <w:rsid w:val="0027314F"/>
    <w:rsid w:val="0028289F"/>
    <w:rsid w:val="00284157"/>
    <w:rsid w:val="00284592"/>
    <w:rsid w:val="00285631"/>
    <w:rsid w:val="002908B1"/>
    <w:rsid w:val="00290D94"/>
    <w:rsid w:val="0029203C"/>
    <w:rsid w:val="00294873"/>
    <w:rsid w:val="002A352C"/>
    <w:rsid w:val="002A3719"/>
    <w:rsid w:val="002A4A81"/>
    <w:rsid w:val="002A73A2"/>
    <w:rsid w:val="002A7CE8"/>
    <w:rsid w:val="002B0671"/>
    <w:rsid w:val="002B262F"/>
    <w:rsid w:val="002B3553"/>
    <w:rsid w:val="002B394C"/>
    <w:rsid w:val="002B5E06"/>
    <w:rsid w:val="002B62F0"/>
    <w:rsid w:val="002C0CFF"/>
    <w:rsid w:val="002C319E"/>
    <w:rsid w:val="002C735D"/>
    <w:rsid w:val="002D09B9"/>
    <w:rsid w:val="002D16A0"/>
    <w:rsid w:val="002D2930"/>
    <w:rsid w:val="002D2DFF"/>
    <w:rsid w:val="002D3D6D"/>
    <w:rsid w:val="002D5BF8"/>
    <w:rsid w:val="002D6700"/>
    <w:rsid w:val="002D7ECC"/>
    <w:rsid w:val="002E1B8F"/>
    <w:rsid w:val="002E2DEF"/>
    <w:rsid w:val="002E3EDD"/>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215C"/>
    <w:rsid w:val="00322D5B"/>
    <w:rsid w:val="00325AC2"/>
    <w:rsid w:val="00326A1C"/>
    <w:rsid w:val="00327FDC"/>
    <w:rsid w:val="00332AD7"/>
    <w:rsid w:val="003360E3"/>
    <w:rsid w:val="003371D5"/>
    <w:rsid w:val="003376CD"/>
    <w:rsid w:val="003452C3"/>
    <w:rsid w:val="003468D3"/>
    <w:rsid w:val="00347573"/>
    <w:rsid w:val="003501A7"/>
    <w:rsid w:val="0035048A"/>
    <w:rsid w:val="0036263B"/>
    <w:rsid w:val="0036301E"/>
    <w:rsid w:val="00363B62"/>
    <w:rsid w:val="00364039"/>
    <w:rsid w:val="003645B0"/>
    <w:rsid w:val="003647B5"/>
    <w:rsid w:val="00364B2C"/>
    <w:rsid w:val="003664F1"/>
    <w:rsid w:val="00367E3F"/>
    <w:rsid w:val="00373C13"/>
    <w:rsid w:val="00377D0A"/>
    <w:rsid w:val="00377EA5"/>
    <w:rsid w:val="00377F77"/>
    <w:rsid w:val="00383073"/>
    <w:rsid w:val="0038438F"/>
    <w:rsid w:val="00387C67"/>
    <w:rsid w:val="00387D98"/>
    <w:rsid w:val="00390A65"/>
    <w:rsid w:val="00390B0F"/>
    <w:rsid w:val="00390B38"/>
    <w:rsid w:val="00390B6B"/>
    <w:rsid w:val="00391CFE"/>
    <w:rsid w:val="0039353B"/>
    <w:rsid w:val="0039393E"/>
    <w:rsid w:val="00394F9E"/>
    <w:rsid w:val="00395426"/>
    <w:rsid w:val="00395B91"/>
    <w:rsid w:val="00396615"/>
    <w:rsid w:val="0039700D"/>
    <w:rsid w:val="00397089"/>
    <w:rsid w:val="003978A8"/>
    <w:rsid w:val="003A0F30"/>
    <w:rsid w:val="003A25ED"/>
    <w:rsid w:val="003A2F6C"/>
    <w:rsid w:val="003A4567"/>
    <w:rsid w:val="003A4C44"/>
    <w:rsid w:val="003A5AD0"/>
    <w:rsid w:val="003A6CE3"/>
    <w:rsid w:val="003A7899"/>
    <w:rsid w:val="003B051D"/>
    <w:rsid w:val="003B15EE"/>
    <w:rsid w:val="003B3F8F"/>
    <w:rsid w:val="003B517D"/>
    <w:rsid w:val="003B60EC"/>
    <w:rsid w:val="003C00ED"/>
    <w:rsid w:val="003C1C0A"/>
    <w:rsid w:val="003C35DF"/>
    <w:rsid w:val="003C4A68"/>
    <w:rsid w:val="003C554F"/>
    <w:rsid w:val="003C61DD"/>
    <w:rsid w:val="003D620B"/>
    <w:rsid w:val="003D63E7"/>
    <w:rsid w:val="003D70CE"/>
    <w:rsid w:val="003E001E"/>
    <w:rsid w:val="003E05F1"/>
    <w:rsid w:val="003E113B"/>
    <w:rsid w:val="003E373E"/>
    <w:rsid w:val="003E5092"/>
    <w:rsid w:val="003E715D"/>
    <w:rsid w:val="003F103E"/>
    <w:rsid w:val="003F2E48"/>
    <w:rsid w:val="003F440C"/>
    <w:rsid w:val="003F525A"/>
    <w:rsid w:val="003F69F2"/>
    <w:rsid w:val="003F7636"/>
    <w:rsid w:val="003F7BE6"/>
    <w:rsid w:val="004006A9"/>
    <w:rsid w:val="004020F8"/>
    <w:rsid w:val="00404548"/>
    <w:rsid w:val="004052AE"/>
    <w:rsid w:val="0040569F"/>
    <w:rsid w:val="00407AE8"/>
    <w:rsid w:val="004118A5"/>
    <w:rsid w:val="00413672"/>
    <w:rsid w:val="00413A81"/>
    <w:rsid w:val="00414041"/>
    <w:rsid w:val="00414465"/>
    <w:rsid w:val="00414729"/>
    <w:rsid w:val="00414C80"/>
    <w:rsid w:val="00414F4B"/>
    <w:rsid w:val="00415EF9"/>
    <w:rsid w:val="00416629"/>
    <w:rsid w:val="00417DA1"/>
    <w:rsid w:val="0042008D"/>
    <w:rsid w:val="00422623"/>
    <w:rsid w:val="00423478"/>
    <w:rsid w:val="00425B76"/>
    <w:rsid w:val="00426095"/>
    <w:rsid w:val="004260A2"/>
    <w:rsid w:val="00426FC6"/>
    <w:rsid w:val="004273BC"/>
    <w:rsid w:val="00427C5F"/>
    <w:rsid w:val="00430B30"/>
    <w:rsid w:val="0043163F"/>
    <w:rsid w:val="00437DB0"/>
    <w:rsid w:val="00444F7A"/>
    <w:rsid w:val="004507E5"/>
    <w:rsid w:val="00450FD1"/>
    <w:rsid w:val="004519AD"/>
    <w:rsid w:val="00451FFD"/>
    <w:rsid w:val="0045459A"/>
    <w:rsid w:val="004545DB"/>
    <w:rsid w:val="0045786A"/>
    <w:rsid w:val="00460F76"/>
    <w:rsid w:val="00462F12"/>
    <w:rsid w:val="00463050"/>
    <w:rsid w:val="0046340F"/>
    <w:rsid w:val="00466168"/>
    <w:rsid w:val="0046778B"/>
    <w:rsid w:val="004714D4"/>
    <w:rsid w:val="0047323D"/>
    <w:rsid w:val="00473AB3"/>
    <w:rsid w:val="004748F8"/>
    <w:rsid w:val="00475712"/>
    <w:rsid w:val="00476CBE"/>
    <w:rsid w:val="00480905"/>
    <w:rsid w:val="00480CCE"/>
    <w:rsid w:val="00482FAA"/>
    <w:rsid w:val="004842B8"/>
    <w:rsid w:val="0049075F"/>
    <w:rsid w:val="00492DA8"/>
    <w:rsid w:val="004A0888"/>
    <w:rsid w:val="004A2B81"/>
    <w:rsid w:val="004A43B6"/>
    <w:rsid w:val="004A70EE"/>
    <w:rsid w:val="004A774E"/>
    <w:rsid w:val="004A7D3E"/>
    <w:rsid w:val="004A7FF9"/>
    <w:rsid w:val="004B379D"/>
    <w:rsid w:val="004B5F0C"/>
    <w:rsid w:val="004B6031"/>
    <w:rsid w:val="004C046E"/>
    <w:rsid w:val="004C1609"/>
    <w:rsid w:val="004C216B"/>
    <w:rsid w:val="004C28AA"/>
    <w:rsid w:val="004C5DD3"/>
    <w:rsid w:val="004C7555"/>
    <w:rsid w:val="004C7943"/>
    <w:rsid w:val="004D30F9"/>
    <w:rsid w:val="004D4A32"/>
    <w:rsid w:val="004D616C"/>
    <w:rsid w:val="004D64AB"/>
    <w:rsid w:val="004E7CE8"/>
    <w:rsid w:val="004F271D"/>
    <w:rsid w:val="004F5114"/>
    <w:rsid w:val="004F756C"/>
    <w:rsid w:val="005001FA"/>
    <w:rsid w:val="005019AF"/>
    <w:rsid w:val="005043B1"/>
    <w:rsid w:val="0050488D"/>
    <w:rsid w:val="00504D12"/>
    <w:rsid w:val="0050527A"/>
    <w:rsid w:val="0050535A"/>
    <w:rsid w:val="005106F5"/>
    <w:rsid w:val="00511192"/>
    <w:rsid w:val="0051143F"/>
    <w:rsid w:val="005118AD"/>
    <w:rsid w:val="00512353"/>
    <w:rsid w:val="005173F4"/>
    <w:rsid w:val="005220C2"/>
    <w:rsid w:val="00522E88"/>
    <w:rsid w:val="00523369"/>
    <w:rsid w:val="005233E8"/>
    <w:rsid w:val="0052398F"/>
    <w:rsid w:val="005276FF"/>
    <w:rsid w:val="00532960"/>
    <w:rsid w:val="00537CC2"/>
    <w:rsid w:val="00545A73"/>
    <w:rsid w:val="00546DEB"/>
    <w:rsid w:val="00546F0F"/>
    <w:rsid w:val="005477E7"/>
    <w:rsid w:val="00550159"/>
    <w:rsid w:val="00550DBB"/>
    <w:rsid w:val="00551897"/>
    <w:rsid w:val="00551FFD"/>
    <w:rsid w:val="00552A0F"/>
    <w:rsid w:val="005551ED"/>
    <w:rsid w:val="00556419"/>
    <w:rsid w:val="005572B4"/>
    <w:rsid w:val="005572DD"/>
    <w:rsid w:val="00557D02"/>
    <w:rsid w:val="00560564"/>
    <w:rsid w:val="00562E2B"/>
    <w:rsid w:val="005630AD"/>
    <w:rsid w:val="00564668"/>
    <w:rsid w:val="00570353"/>
    <w:rsid w:val="005715F5"/>
    <w:rsid w:val="0057171E"/>
    <w:rsid w:val="00571C46"/>
    <w:rsid w:val="00571EEC"/>
    <w:rsid w:val="00572666"/>
    <w:rsid w:val="0057267E"/>
    <w:rsid w:val="005726BD"/>
    <w:rsid w:val="00574A5A"/>
    <w:rsid w:val="00574D46"/>
    <w:rsid w:val="005753B8"/>
    <w:rsid w:val="00575DF5"/>
    <w:rsid w:val="005772CA"/>
    <w:rsid w:val="00583ED5"/>
    <w:rsid w:val="0058591F"/>
    <w:rsid w:val="00587437"/>
    <w:rsid w:val="00590A5F"/>
    <w:rsid w:val="00592678"/>
    <w:rsid w:val="00594644"/>
    <w:rsid w:val="0059526F"/>
    <w:rsid w:val="00596F36"/>
    <w:rsid w:val="005A1741"/>
    <w:rsid w:val="005A235F"/>
    <w:rsid w:val="005A64D7"/>
    <w:rsid w:val="005A751F"/>
    <w:rsid w:val="005A7719"/>
    <w:rsid w:val="005A77C2"/>
    <w:rsid w:val="005B1DBE"/>
    <w:rsid w:val="005B291B"/>
    <w:rsid w:val="005B3B6A"/>
    <w:rsid w:val="005B76C5"/>
    <w:rsid w:val="005B7AF0"/>
    <w:rsid w:val="005B7B8A"/>
    <w:rsid w:val="005C09C6"/>
    <w:rsid w:val="005C0ED3"/>
    <w:rsid w:val="005C458D"/>
    <w:rsid w:val="005C491E"/>
    <w:rsid w:val="005C5C27"/>
    <w:rsid w:val="005C5E0A"/>
    <w:rsid w:val="005C6C0C"/>
    <w:rsid w:val="005D2276"/>
    <w:rsid w:val="005D25FD"/>
    <w:rsid w:val="005D2808"/>
    <w:rsid w:val="005D70F2"/>
    <w:rsid w:val="005E0858"/>
    <w:rsid w:val="005E26B4"/>
    <w:rsid w:val="005E2794"/>
    <w:rsid w:val="005E3CBF"/>
    <w:rsid w:val="005E6F9D"/>
    <w:rsid w:val="005E7B5A"/>
    <w:rsid w:val="005F01FC"/>
    <w:rsid w:val="005F0C89"/>
    <w:rsid w:val="005F3351"/>
    <w:rsid w:val="005F3701"/>
    <w:rsid w:val="005F41DF"/>
    <w:rsid w:val="005F4521"/>
    <w:rsid w:val="005F5478"/>
    <w:rsid w:val="006006FC"/>
    <w:rsid w:val="006045BA"/>
    <w:rsid w:val="0060583A"/>
    <w:rsid w:val="00607068"/>
    <w:rsid w:val="00611649"/>
    <w:rsid w:val="00611A0E"/>
    <w:rsid w:val="00614154"/>
    <w:rsid w:val="00614BD3"/>
    <w:rsid w:val="00623A77"/>
    <w:rsid w:val="006256F5"/>
    <w:rsid w:val="006277E1"/>
    <w:rsid w:val="0063097B"/>
    <w:rsid w:val="00632554"/>
    <w:rsid w:val="00633A31"/>
    <w:rsid w:val="006364B8"/>
    <w:rsid w:val="00636A64"/>
    <w:rsid w:val="00636B93"/>
    <w:rsid w:val="006376B0"/>
    <w:rsid w:val="00640550"/>
    <w:rsid w:val="0064326A"/>
    <w:rsid w:val="00644D5D"/>
    <w:rsid w:val="00646DC7"/>
    <w:rsid w:val="006511FB"/>
    <w:rsid w:val="00651A9D"/>
    <w:rsid w:val="00654C93"/>
    <w:rsid w:val="00656092"/>
    <w:rsid w:val="0065741C"/>
    <w:rsid w:val="00660B85"/>
    <w:rsid w:val="00662DCE"/>
    <w:rsid w:val="00664F6D"/>
    <w:rsid w:val="006650B8"/>
    <w:rsid w:val="00666329"/>
    <w:rsid w:val="006672EE"/>
    <w:rsid w:val="0067011F"/>
    <w:rsid w:val="0067015E"/>
    <w:rsid w:val="00672EF9"/>
    <w:rsid w:val="0067399E"/>
    <w:rsid w:val="00673D1E"/>
    <w:rsid w:val="00680453"/>
    <w:rsid w:val="00681171"/>
    <w:rsid w:val="00682526"/>
    <w:rsid w:val="00683555"/>
    <w:rsid w:val="00685C01"/>
    <w:rsid w:val="00686F1D"/>
    <w:rsid w:val="00687CC8"/>
    <w:rsid w:val="00692F7A"/>
    <w:rsid w:val="00695E06"/>
    <w:rsid w:val="00696315"/>
    <w:rsid w:val="006A0D51"/>
    <w:rsid w:val="006A0DA8"/>
    <w:rsid w:val="006A1C05"/>
    <w:rsid w:val="006A225B"/>
    <w:rsid w:val="006A30D2"/>
    <w:rsid w:val="006A369F"/>
    <w:rsid w:val="006A42BC"/>
    <w:rsid w:val="006A592F"/>
    <w:rsid w:val="006A5A6A"/>
    <w:rsid w:val="006A5FE3"/>
    <w:rsid w:val="006A639C"/>
    <w:rsid w:val="006B23B2"/>
    <w:rsid w:val="006B2665"/>
    <w:rsid w:val="006B4845"/>
    <w:rsid w:val="006B635C"/>
    <w:rsid w:val="006C1708"/>
    <w:rsid w:val="006C1C29"/>
    <w:rsid w:val="006C2319"/>
    <w:rsid w:val="006C3782"/>
    <w:rsid w:val="006C3CDE"/>
    <w:rsid w:val="006C4745"/>
    <w:rsid w:val="006C59D7"/>
    <w:rsid w:val="006D0EE8"/>
    <w:rsid w:val="006D3162"/>
    <w:rsid w:val="006D37E7"/>
    <w:rsid w:val="006D49B3"/>
    <w:rsid w:val="006D5146"/>
    <w:rsid w:val="006D59D6"/>
    <w:rsid w:val="006D5C04"/>
    <w:rsid w:val="006D7508"/>
    <w:rsid w:val="006E0F2F"/>
    <w:rsid w:val="006E19D7"/>
    <w:rsid w:val="006E71B9"/>
    <w:rsid w:val="006F0C5B"/>
    <w:rsid w:val="006F39B2"/>
    <w:rsid w:val="006F5384"/>
    <w:rsid w:val="006F6604"/>
    <w:rsid w:val="006F71D8"/>
    <w:rsid w:val="006F7D1A"/>
    <w:rsid w:val="00700FAB"/>
    <w:rsid w:val="00702F6F"/>
    <w:rsid w:val="0070346C"/>
    <w:rsid w:val="007051A0"/>
    <w:rsid w:val="00706496"/>
    <w:rsid w:val="00711A12"/>
    <w:rsid w:val="00711F11"/>
    <w:rsid w:val="00712694"/>
    <w:rsid w:val="007154C4"/>
    <w:rsid w:val="00715DB9"/>
    <w:rsid w:val="007174BE"/>
    <w:rsid w:val="007218A0"/>
    <w:rsid w:val="0072205B"/>
    <w:rsid w:val="00722880"/>
    <w:rsid w:val="007238AF"/>
    <w:rsid w:val="00723CB2"/>
    <w:rsid w:val="00726908"/>
    <w:rsid w:val="007270C7"/>
    <w:rsid w:val="00730F3A"/>
    <w:rsid w:val="007348C3"/>
    <w:rsid w:val="00735F34"/>
    <w:rsid w:val="00736944"/>
    <w:rsid w:val="00741200"/>
    <w:rsid w:val="00741333"/>
    <w:rsid w:val="00742FF2"/>
    <w:rsid w:val="00744D6A"/>
    <w:rsid w:val="00746138"/>
    <w:rsid w:val="0074620A"/>
    <w:rsid w:val="00751D50"/>
    <w:rsid w:val="007527D5"/>
    <w:rsid w:val="00752F3C"/>
    <w:rsid w:val="007561FC"/>
    <w:rsid w:val="00757384"/>
    <w:rsid w:val="00761D34"/>
    <w:rsid w:val="00762D2D"/>
    <w:rsid w:val="00764622"/>
    <w:rsid w:val="00764CAD"/>
    <w:rsid w:val="00770FA1"/>
    <w:rsid w:val="00773884"/>
    <w:rsid w:val="00774447"/>
    <w:rsid w:val="00774813"/>
    <w:rsid w:val="0078052A"/>
    <w:rsid w:val="007812FB"/>
    <w:rsid w:val="00784032"/>
    <w:rsid w:val="007855E8"/>
    <w:rsid w:val="0078611C"/>
    <w:rsid w:val="00786E79"/>
    <w:rsid w:val="00787925"/>
    <w:rsid w:val="00790E31"/>
    <w:rsid w:val="00793B87"/>
    <w:rsid w:val="0079566E"/>
    <w:rsid w:val="00796509"/>
    <w:rsid w:val="0079691E"/>
    <w:rsid w:val="00797723"/>
    <w:rsid w:val="007A2CDA"/>
    <w:rsid w:val="007B1EEE"/>
    <w:rsid w:val="007B249B"/>
    <w:rsid w:val="007B538E"/>
    <w:rsid w:val="007B6BB3"/>
    <w:rsid w:val="007B6D4D"/>
    <w:rsid w:val="007B6FAF"/>
    <w:rsid w:val="007B7A09"/>
    <w:rsid w:val="007C0F7A"/>
    <w:rsid w:val="007D24A9"/>
    <w:rsid w:val="007D27FA"/>
    <w:rsid w:val="007D30B5"/>
    <w:rsid w:val="007D6218"/>
    <w:rsid w:val="007D6699"/>
    <w:rsid w:val="007D7E30"/>
    <w:rsid w:val="007E6419"/>
    <w:rsid w:val="007E6B18"/>
    <w:rsid w:val="007F29ED"/>
    <w:rsid w:val="007F3B49"/>
    <w:rsid w:val="007F6815"/>
    <w:rsid w:val="007F6BA8"/>
    <w:rsid w:val="0080681B"/>
    <w:rsid w:val="0080738C"/>
    <w:rsid w:val="00810B77"/>
    <w:rsid w:val="008173FD"/>
    <w:rsid w:val="00817436"/>
    <w:rsid w:val="00822217"/>
    <w:rsid w:val="0082542D"/>
    <w:rsid w:val="00827834"/>
    <w:rsid w:val="00832835"/>
    <w:rsid w:val="00835110"/>
    <w:rsid w:val="008351FC"/>
    <w:rsid w:val="00841F50"/>
    <w:rsid w:val="00843A0E"/>
    <w:rsid w:val="00845DFE"/>
    <w:rsid w:val="00845E3F"/>
    <w:rsid w:val="00846E17"/>
    <w:rsid w:val="008473C0"/>
    <w:rsid w:val="00851271"/>
    <w:rsid w:val="0085200A"/>
    <w:rsid w:val="00854283"/>
    <w:rsid w:val="008573E3"/>
    <w:rsid w:val="0086171F"/>
    <w:rsid w:val="00861E81"/>
    <w:rsid w:val="00864543"/>
    <w:rsid w:val="008645FF"/>
    <w:rsid w:val="00865F16"/>
    <w:rsid w:val="00866D42"/>
    <w:rsid w:val="0087030E"/>
    <w:rsid w:val="0087092D"/>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74A"/>
    <w:rsid w:val="00895E48"/>
    <w:rsid w:val="00896687"/>
    <w:rsid w:val="008971F4"/>
    <w:rsid w:val="00897FF3"/>
    <w:rsid w:val="008A0E7D"/>
    <w:rsid w:val="008A3023"/>
    <w:rsid w:val="008A403F"/>
    <w:rsid w:val="008A4802"/>
    <w:rsid w:val="008A6815"/>
    <w:rsid w:val="008B1031"/>
    <w:rsid w:val="008B2303"/>
    <w:rsid w:val="008B34A0"/>
    <w:rsid w:val="008B4A3D"/>
    <w:rsid w:val="008B5740"/>
    <w:rsid w:val="008C0B84"/>
    <w:rsid w:val="008C2AEA"/>
    <w:rsid w:val="008C41DA"/>
    <w:rsid w:val="008C519D"/>
    <w:rsid w:val="008C553A"/>
    <w:rsid w:val="008C588E"/>
    <w:rsid w:val="008C7226"/>
    <w:rsid w:val="008D7B80"/>
    <w:rsid w:val="008E4184"/>
    <w:rsid w:val="008E549F"/>
    <w:rsid w:val="008E6301"/>
    <w:rsid w:val="008E6D35"/>
    <w:rsid w:val="008E7FB1"/>
    <w:rsid w:val="008F10BC"/>
    <w:rsid w:val="008F2052"/>
    <w:rsid w:val="008F26ED"/>
    <w:rsid w:val="008F2A38"/>
    <w:rsid w:val="008F2CD4"/>
    <w:rsid w:val="008F3012"/>
    <w:rsid w:val="008F592B"/>
    <w:rsid w:val="0090184E"/>
    <w:rsid w:val="00901D14"/>
    <w:rsid w:val="00902F87"/>
    <w:rsid w:val="00903775"/>
    <w:rsid w:val="0090493D"/>
    <w:rsid w:val="009109F7"/>
    <w:rsid w:val="00912137"/>
    <w:rsid w:val="00915BED"/>
    <w:rsid w:val="00916B64"/>
    <w:rsid w:val="0092145D"/>
    <w:rsid w:val="00921EED"/>
    <w:rsid w:val="009245DE"/>
    <w:rsid w:val="00930762"/>
    <w:rsid w:val="00930C0C"/>
    <w:rsid w:val="00933668"/>
    <w:rsid w:val="00936B81"/>
    <w:rsid w:val="009377E5"/>
    <w:rsid w:val="00943653"/>
    <w:rsid w:val="00944701"/>
    <w:rsid w:val="00950ED1"/>
    <w:rsid w:val="00952A7A"/>
    <w:rsid w:val="00953A02"/>
    <w:rsid w:val="0095444E"/>
    <w:rsid w:val="009547EF"/>
    <w:rsid w:val="00955C67"/>
    <w:rsid w:val="00957B65"/>
    <w:rsid w:val="00960AFF"/>
    <w:rsid w:val="00963F62"/>
    <w:rsid w:val="00965EFC"/>
    <w:rsid w:val="0097161B"/>
    <w:rsid w:val="00975A25"/>
    <w:rsid w:val="009762D2"/>
    <w:rsid w:val="009762F1"/>
    <w:rsid w:val="0097692D"/>
    <w:rsid w:val="009776D2"/>
    <w:rsid w:val="00977EA8"/>
    <w:rsid w:val="0098140D"/>
    <w:rsid w:val="00981CED"/>
    <w:rsid w:val="00987225"/>
    <w:rsid w:val="00987BE2"/>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C4319"/>
    <w:rsid w:val="009D109E"/>
    <w:rsid w:val="009D1CD9"/>
    <w:rsid w:val="009D1F28"/>
    <w:rsid w:val="009D4830"/>
    <w:rsid w:val="009D797A"/>
    <w:rsid w:val="009D798B"/>
    <w:rsid w:val="009E026A"/>
    <w:rsid w:val="009E3B56"/>
    <w:rsid w:val="009E49B5"/>
    <w:rsid w:val="009E551E"/>
    <w:rsid w:val="009E7066"/>
    <w:rsid w:val="009E75CB"/>
    <w:rsid w:val="009F1E07"/>
    <w:rsid w:val="009F1EF8"/>
    <w:rsid w:val="009F4604"/>
    <w:rsid w:val="009F4B78"/>
    <w:rsid w:val="009F606B"/>
    <w:rsid w:val="009F6D7D"/>
    <w:rsid w:val="009F6E66"/>
    <w:rsid w:val="00A025BF"/>
    <w:rsid w:val="00A02AC3"/>
    <w:rsid w:val="00A039BC"/>
    <w:rsid w:val="00A039E8"/>
    <w:rsid w:val="00A056B4"/>
    <w:rsid w:val="00A06840"/>
    <w:rsid w:val="00A06EAD"/>
    <w:rsid w:val="00A1143E"/>
    <w:rsid w:val="00A1293C"/>
    <w:rsid w:val="00A14F9B"/>
    <w:rsid w:val="00A1611D"/>
    <w:rsid w:val="00A167CC"/>
    <w:rsid w:val="00A167F1"/>
    <w:rsid w:val="00A2085F"/>
    <w:rsid w:val="00A20EC0"/>
    <w:rsid w:val="00A2150B"/>
    <w:rsid w:val="00A215D9"/>
    <w:rsid w:val="00A2187F"/>
    <w:rsid w:val="00A2292C"/>
    <w:rsid w:val="00A23FC3"/>
    <w:rsid w:val="00A24621"/>
    <w:rsid w:val="00A25A92"/>
    <w:rsid w:val="00A25F1B"/>
    <w:rsid w:val="00A3288D"/>
    <w:rsid w:val="00A329DC"/>
    <w:rsid w:val="00A34F53"/>
    <w:rsid w:val="00A35DF6"/>
    <w:rsid w:val="00A41135"/>
    <w:rsid w:val="00A41FEB"/>
    <w:rsid w:val="00A42FBA"/>
    <w:rsid w:val="00A43678"/>
    <w:rsid w:val="00A43B52"/>
    <w:rsid w:val="00A44DA6"/>
    <w:rsid w:val="00A47853"/>
    <w:rsid w:val="00A50921"/>
    <w:rsid w:val="00A5160D"/>
    <w:rsid w:val="00A56CA4"/>
    <w:rsid w:val="00A56F17"/>
    <w:rsid w:val="00A63491"/>
    <w:rsid w:val="00A65F04"/>
    <w:rsid w:val="00A65F2E"/>
    <w:rsid w:val="00A66F53"/>
    <w:rsid w:val="00A71AD5"/>
    <w:rsid w:val="00A72E98"/>
    <w:rsid w:val="00A75CC9"/>
    <w:rsid w:val="00A8073E"/>
    <w:rsid w:val="00A80883"/>
    <w:rsid w:val="00A81BED"/>
    <w:rsid w:val="00A82FC6"/>
    <w:rsid w:val="00A85A0D"/>
    <w:rsid w:val="00A92270"/>
    <w:rsid w:val="00AA10AE"/>
    <w:rsid w:val="00AA178A"/>
    <w:rsid w:val="00AA329F"/>
    <w:rsid w:val="00AA71EA"/>
    <w:rsid w:val="00AA7B6A"/>
    <w:rsid w:val="00AB2BB8"/>
    <w:rsid w:val="00AB593E"/>
    <w:rsid w:val="00AB5D37"/>
    <w:rsid w:val="00AB683F"/>
    <w:rsid w:val="00AB74B0"/>
    <w:rsid w:val="00AC4A2E"/>
    <w:rsid w:val="00AD1885"/>
    <w:rsid w:val="00AD3673"/>
    <w:rsid w:val="00AD50BA"/>
    <w:rsid w:val="00AE02E7"/>
    <w:rsid w:val="00AE0F75"/>
    <w:rsid w:val="00AE319E"/>
    <w:rsid w:val="00AE3B2C"/>
    <w:rsid w:val="00AE3B4E"/>
    <w:rsid w:val="00AE676F"/>
    <w:rsid w:val="00AE709C"/>
    <w:rsid w:val="00AE7DD9"/>
    <w:rsid w:val="00AF2B38"/>
    <w:rsid w:val="00AF32B3"/>
    <w:rsid w:val="00AF7D86"/>
    <w:rsid w:val="00B004C1"/>
    <w:rsid w:val="00B0168B"/>
    <w:rsid w:val="00B02683"/>
    <w:rsid w:val="00B03458"/>
    <w:rsid w:val="00B04B8E"/>
    <w:rsid w:val="00B0627C"/>
    <w:rsid w:val="00B07542"/>
    <w:rsid w:val="00B1072F"/>
    <w:rsid w:val="00B15820"/>
    <w:rsid w:val="00B179B4"/>
    <w:rsid w:val="00B215D8"/>
    <w:rsid w:val="00B2218A"/>
    <w:rsid w:val="00B22FEE"/>
    <w:rsid w:val="00B238C9"/>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110"/>
    <w:rsid w:val="00B63559"/>
    <w:rsid w:val="00B64CEE"/>
    <w:rsid w:val="00B73979"/>
    <w:rsid w:val="00B751B0"/>
    <w:rsid w:val="00B762E0"/>
    <w:rsid w:val="00B8293F"/>
    <w:rsid w:val="00B86C54"/>
    <w:rsid w:val="00B874C4"/>
    <w:rsid w:val="00B909FF"/>
    <w:rsid w:val="00B91999"/>
    <w:rsid w:val="00B97AA2"/>
    <w:rsid w:val="00B97B8E"/>
    <w:rsid w:val="00BA00A8"/>
    <w:rsid w:val="00BA0378"/>
    <w:rsid w:val="00BA0447"/>
    <w:rsid w:val="00BA16CD"/>
    <w:rsid w:val="00BA33A3"/>
    <w:rsid w:val="00BA37A4"/>
    <w:rsid w:val="00BA4FB0"/>
    <w:rsid w:val="00BA6138"/>
    <w:rsid w:val="00BB1930"/>
    <w:rsid w:val="00BB3478"/>
    <w:rsid w:val="00BC2247"/>
    <w:rsid w:val="00BC5572"/>
    <w:rsid w:val="00BC607B"/>
    <w:rsid w:val="00BC6462"/>
    <w:rsid w:val="00BD386A"/>
    <w:rsid w:val="00BD497C"/>
    <w:rsid w:val="00BD57EE"/>
    <w:rsid w:val="00BD6F9D"/>
    <w:rsid w:val="00BD7AA1"/>
    <w:rsid w:val="00BE4E8A"/>
    <w:rsid w:val="00BF2A79"/>
    <w:rsid w:val="00BF34CD"/>
    <w:rsid w:val="00BF375F"/>
    <w:rsid w:val="00C02372"/>
    <w:rsid w:val="00C03AAB"/>
    <w:rsid w:val="00C044C3"/>
    <w:rsid w:val="00C10453"/>
    <w:rsid w:val="00C13BCA"/>
    <w:rsid w:val="00C141B9"/>
    <w:rsid w:val="00C14594"/>
    <w:rsid w:val="00C158CF"/>
    <w:rsid w:val="00C16518"/>
    <w:rsid w:val="00C1787D"/>
    <w:rsid w:val="00C20F14"/>
    <w:rsid w:val="00C22B7C"/>
    <w:rsid w:val="00C23B8E"/>
    <w:rsid w:val="00C30355"/>
    <w:rsid w:val="00C3184D"/>
    <w:rsid w:val="00C331FD"/>
    <w:rsid w:val="00C34DCB"/>
    <w:rsid w:val="00C36D0C"/>
    <w:rsid w:val="00C36DA3"/>
    <w:rsid w:val="00C3708D"/>
    <w:rsid w:val="00C4138A"/>
    <w:rsid w:val="00C440B4"/>
    <w:rsid w:val="00C446F9"/>
    <w:rsid w:val="00C44F63"/>
    <w:rsid w:val="00C462CB"/>
    <w:rsid w:val="00C46F39"/>
    <w:rsid w:val="00C47AFE"/>
    <w:rsid w:val="00C5067F"/>
    <w:rsid w:val="00C515C3"/>
    <w:rsid w:val="00C51AA2"/>
    <w:rsid w:val="00C51D86"/>
    <w:rsid w:val="00C52E43"/>
    <w:rsid w:val="00C562FF"/>
    <w:rsid w:val="00C56CD4"/>
    <w:rsid w:val="00C57500"/>
    <w:rsid w:val="00C609C3"/>
    <w:rsid w:val="00C60E16"/>
    <w:rsid w:val="00C65E4E"/>
    <w:rsid w:val="00C66610"/>
    <w:rsid w:val="00C66648"/>
    <w:rsid w:val="00C66FEF"/>
    <w:rsid w:val="00C70CB4"/>
    <w:rsid w:val="00C727A7"/>
    <w:rsid w:val="00C728D5"/>
    <w:rsid w:val="00C72CF7"/>
    <w:rsid w:val="00C75119"/>
    <w:rsid w:val="00C76DD6"/>
    <w:rsid w:val="00C80AA8"/>
    <w:rsid w:val="00C844A0"/>
    <w:rsid w:val="00C86B52"/>
    <w:rsid w:val="00C905BE"/>
    <w:rsid w:val="00C90B62"/>
    <w:rsid w:val="00C91C08"/>
    <w:rsid w:val="00C95430"/>
    <w:rsid w:val="00C9759D"/>
    <w:rsid w:val="00C97F0E"/>
    <w:rsid w:val="00CA06AC"/>
    <w:rsid w:val="00CA0B92"/>
    <w:rsid w:val="00CA1D9E"/>
    <w:rsid w:val="00CA242A"/>
    <w:rsid w:val="00CA27BD"/>
    <w:rsid w:val="00CA2AB6"/>
    <w:rsid w:val="00CA4A79"/>
    <w:rsid w:val="00CA4BCC"/>
    <w:rsid w:val="00CA5C17"/>
    <w:rsid w:val="00CA6967"/>
    <w:rsid w:val="00CB01D6"/>
    <w:rsid w:val="00CB1EFE"/>
    <w:rsid w:val="00CB2E96"/>
    <w:rsid w:val="00CB311E"/>
    <w:rsid w:val="00CB3B5F"/>
    <w:rsid w:val="00CB5BCA"/>
    <w:rsid w:val="00CB71E1"/>
    <w:rsid w:val="00CC0ED3"/>
    <w:rsid w:val="00CC1894"/>
    <w:rsid w:val="00CC2EE2"/>
    <w:rsid w:val="00CC3D03"/>
    <w:rsid w:val="00CC45DB"/>
    <w:rsid w:val="00CC5651"/>
    <w:rsid w:val="00CC73FF"/>
    <w:rsid w:val="00CD12DF"/>
    <w:rsid w:val="00CD141E"/>
    <w:rsid w:val="00CD45DA"/>
    <w:rsid w:val="00CE1F1C"/>
    <w:rsid w:val="00CE2EA4"/>
    <w:rsid w:val="00CE5714"/>
    <w:rsid w:val="00CE6138"/>
    <w:rsid w:val="00CE6F59"/>
    <w:rsid w:val="00CE7AAB"/>
    <w:rsid w:val="00CF2673"/>
    <w:rsid w:val="00CF2DA1"/>
    <w:rsid w:val="00CF43B1"/>
    <w:rsid w:val="00CF53F2"/>
    <w:rsid w:val="00CF6A62"/>
    <w:rsid w:val="00D0614B"/>
    <w:rsid w:val="00D06AD1"/>
    <w:rsid w:val="00D11A86"/>
    <w:rsid w:val="00D14A68"/>
    <w:rsid w:val="00D17549"/>
    <w:rsid w:val="00D200A0"/>
    <w:rsid w:val="00D22B82"/>
    <w:rsid w:val="00D24D97"/>
    <w:rsid w:val="00D275F5"/>
    <w:rsid w:val="00D33F83"/>
    <w:rsid w:val="00D35849"/>
    <w:rsid w:val="00D376F1"/>
    <w:rsid w:val="00D43CA8"/>
    <w:rsid w:val="00D44DA0"/>
    <w:rsid w:val="00D4523D"/>
    <w:rsid w:val="00D4593F"/>
    <w:rsid w:val="00D45BD4"/>
    <w:rsid w:val="00D4775B"/>
    <w:rsid w:val="00D47AB8"/>
    <w:rsid w:val="00D555EF"/>
    <w:rsid w:val="00D55D94"/>
    <w:rsid w:val="00D56566"/>
    <w:rsid w:val="00D619DC"/>
    <w:rsid w:val="00D61D07"/>
    <w:rsid w:val="00D647A4"/>
    <w:rsid w:val="00D6487A"/>
    <w:rsid w:val="00D648BB"/>
    <w:rsid w:val="00D64E04"/>
    <w:rsid w:val="00D64F4D"/>
    <w:rsid w:val="00D65A5E"/>
    <w:rsid w:val="00D669D1"/>
    <w:rsid w:val="00D67189"/>
    <w:rsid w:val="00D7049A"/>
    <w:rsid w:val="00D704F6"/>
    <w:rsid w:val="00D722B1"/>
    <w:rsid w:val="00D74A82"/>
    <w:rsid w:val="00D753F6"/>
    <w:rsid w:val="00D7737D"/>
    <w:rsid w:val="00D77ED3"/>
    <w:rsid w:val="00D80897"/>
    <w:rsid w:val="00D81375"/>
    <w:rsid w:val="00D83A55"/>
    <w:rsid w:val="00D8540E"/>
    <w:rsid w:val="00D85C4D"/>
    <w:rsid w:val="00D867F8"/>
    <w:rsid w:val="00D8730B"/>
    <w:rsid w:val="00D9072A"/>
    <w:rsid w:val="00D92439"/>
    <w:rsid w:val="00D94852"/>
    <w:rsid w:val="00DA039C"/>
    <w:rsid w:val="00DA10B4"/>
    <w:rsid w:val="00DA4A1F"/>
    <w:rsid w:val="00DA6EBE"/>
    <w:rsid w:val="00DB1DE7"/>
    <w:rsid w:val="00DB27CC"/>
    <w:rsid w:val="00DB2A54"/>
    <w:rsid w:val="00DB39E0"/>
    <w:rsid w:val="00DB4EF9"/>
    <w:rsid w:val="00DC29FE"/>
    <w:rsid w:val="00DC430C"/>
    <w:rsid w:val="00DC60FB"/>
    <w:rsid w:val="00DC7319"/>
    <w:rsid w:val="00DC742E"/>
    <w:rsid w:val="00DD0156"/>
    <w:rsid w:val="00DD2798"/>
    <w:rsid w:val="00DD38DC"/>
    <w:rsid w:val="00DD63FF"/>
    <w:rsid w:val="00DE007A"/>
    <w:rsid w:val="00DE33C8"/>
    <w:rsid w:val="00DE4914"/>
    <w:rsid w:val="00DF1BBF"/>
    <w:rsid w:val="00DF3145"/>
    <w:rsid w:val="00DF4B0E"/>
    <w:rsid w:val="00E01E4B"/>
    <w:rsid w:val="00E04406"/>
    <w:rsid w:val="00E062B0"/>
    <w:rsid w:val="00E0711E"/>
    <w:rsid w:val="00E0770C"/>
    <w:rsid w:val="00E14DFA"/>
    <w:rsid w:val="00E17EA5"/>
    <w:rsid w:val="00E229DB"/>
    <w:rsid w:val="00E236C1"/>
    <w:rsid w:val="00E2571A"/>
    <w:rsid w:val="00E26EDC"/>
    <w:rsid w:val="00E2713C"/>
    <w:rsid w:val="00E30148"/>
    <w:rsid w:val="00E30B42"/>
    <w:rsid w:val="00E342D7"/>
    <w:rsid w:val="00E34D1F"/>
    <w:rsid w:val="00E35C26"/>
    <w:rsid w:val="00E40931"/>
    <w:rsid w:val="00E410EA"/>
    <w:rsid w:val="00E41D5C"/>
    <w:rsid w:val="00E437F7"/>
    <w:rsid w:val="00E529F9"/>
    <w:rsid w:val="00E545C5"/>
    <w:rsid w:val="00E55017"/>
    <w:rsid w:val="00E55416"/>
    <w:rsid w:val="00E557D1"/>
    <w:rsid w:val="00E56282"/>
    <w:rsid w:val="00E567D8"/>
    <w:rsid w:val="00E616BF"/>
    <w:rsid w:val="00E658AA"/>
    <w:rsid w:val="00E6656A"/>
    <w:rsid w:val="00E6696A"/>
    <w:rsid w:val="00E70D30"/>
    <w:rsid w:val="00E716BA"/>
    <w:rsid w:val="00E75977"/>
    <w:rsid w:val="00E76431"/>
    <w:rsid w:val="00E7686D"/>
    <w:rsid w:val="00E77E0B"/>
    <w:rsid w:val="00E813BA"/>
    <w:rsid w:val="00E830A0"/>
    <w:rsid w:val="00E8353F"/>
    <w:rsid w:val="00E8590C"/>
    <w:rsid w:val="00E85F76"/>
    <w:rsid w:val="00E93361"/>
    <w:rsid w:val="00E93590"/>
    <w:rsid w:val="00E94506"/>
    <w:rsid w:val="00E95790"/>
    <w:rsid w:val="00E95A7B"/>
    <w:rsid w:val="00E969E9"/>
    <w:rsid w:val="00EA01A0"/>
    <w:rsid w:val="00EA155A"/>
    <w:rsid w:val="00EA24D4"/>
    <w:rsid w:val="00EA2851"/>
    <w:rsid w:val="00EA3515"/>
    <w:rsid w:val="00EA55FE"/>
    <w:rsid w:val="00EB0B4F"/>
    <w:rsid w:val="00EB1B59"/>
    <w:rsid w:val="00EB4384"/>
    <w:rsid w:val="00EB544F"/>
    <w:rsid w:val="00EB6065"/>
    <w:rsid w:val="00EC0826"/>
    <w:rsid w:val="00EC4E99"/>
    <w:rsid w:val="00ED0909"/>
    <w:rsid w:val="00ED3A21"/>
    <w:rsid w:val="00ED54F9"/>
    <w:rsid w:val="00ED6982"/>
    <w:rsid w:val="00ED791B"/>
    <w:rsid w:val="00ED7E3E"/>
    <w:rsid w:val="00EE0218"/>
    <w:rsid w:val="00EE0E54"/>
    <w:rsid w:val="00EE1033"/>
    <w:rsid w:val="00EE4035"/>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2DC0"/>
    <w:rsid w:val="00F156B3"/>
    <w:rsid w:val="00F15FD8"/>
    <w:rsid w:val="00F17ADA"/>
    <w:rsid w:val="00F21A1A"/>
    <w:rsid w:val="00F22813"/>
    <w:rsid w:val="00F22FC8"/>
    <w:rsid w:val="00F273D5"/>
    <w:rsid w:val="00F27F36"/>
    <w:rsid w:val="00F32B8C"/>
    <w:rsid w:val="00F33383"/>
    <w:rsid w:val="00F33D5B"/>
    <w:rsid w:val="00F33F83"/>
    <w:rsid w:val="00F4030B"/>
    <w:rsid w:val="00F42F65"/>
    <w:rsid w:val="00F43199"/>
    <w:rsid w:val="00F444F5"/>
    <w:rsid w:val="00F4602E"/>
    <w:rsid w:val="00F46BCF"/>
    <w:rsid w:val="00F515AF"/>
    <w:rsid w:val="00F53E05"/>
    <w:rsid w:val="00F5550A"/>
    <w:rsid w:val="00F55A56"/>
    <w:rsid w:val="00F56088"/>
    <w:rsid w:val="00F6031D"/>
    <w:rsid w:val="00F61303"/>
    <w:rsid w:val="00F65606"/>
    <w:rsid w:val="00F66614"/>
    <w:rsid w:val="00F67764"/>
    <w:rsid w:val="00F70A60"/>
    <w:rsid w:val="00F70D27"/>
    <w:rsid w:val="00F71232"/>
    <w:rsid w:val="00F74722"/>
    <w:rsid w:val="00F75F45"/>
    <w:rsid w:val="00F80514"/>
    <w:rsid w:val="00F82957"/>
    <w:rsid w:val="00F83BD2"/>
    <w:rsid w:val="00F85728"/>
    <w:rsid w:val="00F857CA"/>
    <w:rsid w:val="00F92C2B"/>
    <w:rsid w:val="00F94241"/>
    <w:rsid w:val="00F945CD"/>
    <w:rsid w:val="00F954E0"/>
    <w:rsid w:val="00F95ECF"/>
    <w:rsid w:val="00F96705"/>
    <w:rsid w:val="00F9792C"/>
    <w:rsid w:val="00F97AAA"/>
    <w:rsid w:val="00FA4AD8"/>
    <w:rsid w:val="00FA544D"/>
    <w:rsid w:val="00FB000A"/>
    <w:rsid w:val="00FB2E1E"/>
    <w:rsid w:val="00FB3597"/>
    <w:rsid w:val="00FB5273"/>
    <w:rsid w:val="00FB53CA"/>
    <w:rsid w:val="00FC3750"/>
    <w:rsid w:val="00FC487C"/>
    <w:rsid w:val="00FC51A5"/>
    <w:rsid w:val="00FD0B36"/>
    <w:rsid w:val="00FD168A"/>
    <w:rsid w:val="00FD3643"/>
    <w:rsid w:val="00FD553C"/>
    <w:rsid w:val="00FD6F5E"/>
    <w:rsid w:val="00FD77E2"/>
    <w:rsid w:val="00FD7FF4"/>
    <w:rsid w:val="00FE087D"/>
    <w:rsid w:val="00FE133D"/>
    <w:rsid w:val="00FE2090"/>
    <w:rsid w:val="00FE359D"/>
    <w:rsid w:val="00FE47EA"/>
    <w:rsid w:val="00FE4BA4"/>
    <w:rsid w:val="00FE4D5F"/>
    <w:rsid w:val="00FE7BC4"/>
    <w:rsid w:val="00FF29D4"/>
    <w:rsid w:val="00FF2A98"/>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4842B8"/>
    <w:pPr>
      <w:spacing w:line="480" w:lineRule="auto"/>
    </w:pPr>
    <w:rPr>
      <w:b/>
      <w:color w:val="000000" w:themeColor="text1"/>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F70A60"/>
    <w:pPr>
      <w:spacing w:line="360" w:lineRule="auto"/>
      <w:jc w:val="both"/>
    </w:pPr>
    <w:rPr>
      <w:rFonts w:eastAsiaTheme="minorEastAsia"/>
      <w:lang w:val="en-US" w:eastAsia="zh-CN"/>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styleId="ae">
    <w:name w:val="List Paragraph"/>
    <w:basedOn w:val="a"/>
    <w:uiPriority w:val="34"/>
    <w:qFormat/>
    <w:rsid w:val="002908B1"/>
    <w:pPr>
      <w:ind w:firstLineChars="200" w:firstLine="420"/>
    </w:pPr>
  </w:style>
  <w:style w:type="character" w:customStyle="1" w:styleId="fontstyle01">
    <w:name w:val="fontstyle01"/>
    <w:basedOn w:val="a0"/>
    <w:rsid w:val="004748F8"/>
    <w:rPr>
      <w:rFonts w:ascii="ScalaSansLF-Bold" w:hAnsi="ScalaSansLF-Bold" w:hint="default"/>
      <w:b/>
      <w:bCs/>
      <w:i w:val="0"/>
      <w:iCs w:val="0"/>
      <w:color w:val="231F20"/>
      <w:sz w:val="24"/>
      <w:szCs w:val="24"/>
    </w:rPr>
  </w:style>
  <w:style w:type="character" w:styleId="af">
    <w:name w:val="Hyperlink"/>
    <w:basedOn w:val="a0"/>
    <w:uiPriority w:val="99"/>
    <w:unhideWhenUsed/>
    <w:rsid w:val="00CA6967"/>
    <w:rPr>
      <w:color w:val="0563C1" w:themeColor="hyperlink"/>
      <w:u w:val="single"/>
    </w:rPr>
  </w:style>
  <w:style w:type="character" w:styleId="af0">
    <w:name w:val="Unresolved Mention"/>
    <w:basedOn w:val="a0"/>
    <w:uiPriority w:val="99"/>
    <w:semiHidden/>
    <w:unhideWhenUsed/>
    <w:rsid w:val="00FB000A"/>
    <w:rPr>
      <w:color w:val="605E5C"/>
      <w:shd w:val="clear" w:color="auto" w:fill="E1DFDD"/>
    </w:rPr>
  </w:style>
  <w:style w:type="character" w:styleId="af1">
    <w:name w:val="line number"/>
    <w:basedOn w:val="a0"/>
    <w:uiPriority w:val="99"/>
    <w:semiHidden/>
    <w:unhideWhenUsed/>
    <w:rsid w:val="00577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image" Target="media/image15.tiff"/><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ujunjie@zzu.edu.cn" TargetMode="External"/><Relationship Id="rId24" Type="http://schemas.openxmlformats.org/officeDocument/2006/relationships/image" Target="media/image13.tiff"/><Relationship Id="rId5" Type="http://schemas.openxmlformats.org/officeDocument/2006/relationships/customXml" Target="../customXml/item5.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10" Type="http://schemas.openxmlformats.org/officeDocument/2006/relationships/endnotes" Target="endnotes.xml"/><Relationship Id="rId19" Type="http://schemas.openxmlformats.org/officeDocument/2006/relationships/image" Target="media/image8.tif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EAF299BAD5C443B7B94D359352909D" ma:contentTypeVersion="13" ma:contentTypeDescription="Create a new document." ma:contentTypeScope="" ma:versionID="4842a0b491ceedf1f2e6e3ca3ac6584c">
  <xsd:schema xmlns:xsd="http://www.w3.org/2001/XMLSchema" xmlns:xs="http://www.w3.org/2001/XMLSchema" xmlns:p="http://schemas.microsoft.com/office/2006/metadata/properties" xmlns:ns3="0c4992ee-a5fe-4357-9f94-bbd1fb75d23e" xmlns:ns4="0557a493-af67-429d-80c7-3ec9377d9df9" targetNamespace="http://schemas.microsoft.com/office/2006/metadata/properties" ma:root="true" ma:fieldsID="dbf8565a9e5a1fa3854d2b8dcd16ed82" ns3:_="" ns4:_="">
    <xsd:import namespace="0c4992ee-a5fe-4357-9f94-bbd1fb75d23e"/>
    <xsd:import namespace="0557a493-af67-429d-80c7-3ec9377d9d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992ee-a5fe-4357-9f94-bbd1fb75d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57a493-af67-429d-80c7-3ec9377d9df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FEA56E-34FE-4E94-B627-C2D2F0D37FC9}">
  <ds:schemaRefs>
    <ds:schemaRef ds:uri="http://schemas.openxmlformats.org/officeDocument/2006/bibliography"/>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8BFE695C-2F88-4CE8-8E6E-7A5663333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992ee-a5fe-4357-9f94-bbd1fb75d23e"/>
    <ds:schemaRef ds:uri="0557a493-af67-429d-80c7-3ec9377d9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2875</Words>
  <Characters>16389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2021-07-10T11:56:00Z</dcterms:created>
  <dcterms:modified xsi:type="dcterms:W3CDTF">2022-04-21T02:21:00Z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0x0101008BEAF299BAD5C443B7B94D359352909D</vt:lpwstr>
  </property>
</Properties>
</file>