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92E" w:rsidRDefault="0081092E" w:rsidP="0081092E">
      <w:pPr>
        <w:snapToGrid w:val="0"/>
        <w:jc w:val="center"/>
        <w:rPr>
          <w:rFonts w:ascii="Times New Roman" w:hAnsi="Times New Roman"/>
          <w:color w:val="222222"/>
          <w:szCs w:val="21"/>
          <w:shd w:val="clear" w:color="auto" w:fill="FFFFFF"/>
        </w:rPr>
      </w:pPr>
      <w:r>
        <w:rPr>
          <w:rFonts w:ascii="Times New Roman" w:hAnsi="Times New Roman"/>
          <w:color w:val="222222"/>
          <w:szCs w:val="21"/>
          <w:shd w:val="clear" w:color="auto" w:fill="FFFFFF"/>
        </w:rPr>
        <w:t>Appendix</w:t>
      </w:r>
    </w:p>
    <w:p w:rsidR="0081092E" w:rsidRDefault="0081092E" w:rsidP="0081092E">
      <w:pPr>
        <w:snapToGrid w:val="0"/>
        <w:rPr>
          <w:rFonts w:ascii="Times New Roman" w:hAnsi="Times New Roman"/>
          <w:color w:val="222222"/>
          <w:szCs w:val="21"/>
          <w:shd w:val="clear" w:color="auto" w:fill="FFFFFF"/>
        </w:rPr>
      </w:pPr>
    </w:p>
    <w:p w:rsidR="0081092E" w:rsidRDefault="0081092E" w:rsidP="0081092E">
      <w:pPr>
        <w:snapToGrid w:val="0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noProof/>
          <w:szCs w:val="21"/>
          <w:lang w:eastAsia="en-US"/>
        </w:rPr>
        <w:drawing>
          <wp:inline distT="0" distB="0" distL="0" distR="0">
            <wp:extent cx="4784725" cy="2746375"/>
            <wp:effectExtent l="0" t="0" r="15875" b="15875"/>
            <wp:docPr id="2" name="Char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81092E" w:rsidRDefault="0081092E" w:rsidP="0081092E">
      <w:pPr>
        <w:snapToGrid w:val="0"/>
        <w:jc w:val="center"/>
        <w:rPr>
          <w:rFonts w:ascii="Times New Roman" w:eastAsia="SimHei" w:hAnsi="Times New Roman"/>
          <w:szCs w:val="21"/>
        </w:rPr>
      </w:pPr>
      <w:r>
        <w:rPr>
          <w:rFonts w:ascii="Times New Roman" w:eastAsia="SimHei" w:hAnsi="Times New Roman"/>
          <w:szCs w:val="21"/>
        </w:rPr>
        <w:t>(a) Ratio of transfers from the central to local governments to the national GDP</w:t>
      </w:r>
    </w:p>
    <w:p w:rsidR="0081092E" w:rsidRDefault="0081092E" w:rsidP="0081092E">
      <w:pPr>
        <w:snapToGrid w:val="0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noProof/>
          <w:szCs w:val="21"/>
          <w:lang w:eastAsia="en-US"/>
        </w:rPr>
        <w:drawing>
          <wp:inline distT="0" distB="0" distL="0" distR="0">
            <wp:extent cx="4784725" cy="2746375"/>
            <wp:effectExtent l="0" t="0" r="15875" b="15875"/>
            <wp:docPr id="1" name="Char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1092E" w:rsidRDefault="0081092E" w:rsidP="0081092E">
      <w:pPr>
        <w:snapToGrid w:val="0"/>
        <w:jc w:val="center"/>
        <w:rPr>
          <w:rFonts w:ascii="Times New Roman" w:eastAsia="SimHei" w:hAnsi="Times New Roman"/>
          <w:szCs w:val="21"/>
        </w:rPr>
      </w:pPr>
      <w:r>
        <w:rPr>
          <w:rFonts w:ascii="Times New Roman" w:eastAsia="SimHei" w:hAnsi="Times New Roman"/>
          <w:szCs w:val="21"/>
        </w:rPr>
        <w:t xml:space="preserve">(b) Proportion of transfers from the central to local governments in </w:t>
      </w:r>
      <w:proofErr w:type="spellStart"/>
      <w:r>
        <w:rPr>
          <w:rFonts w:ascii="Times New Roman" w:eastAsia="SimHei" w:hAnsi="Times New Roman"/>
          <w:szCs w:val="21"/>
        </w:rPr>
        <w:t>centra</w:t>
      </w:r>
      <w:proofErr w:type="spellEnd"/>
      <w:r>
        <w:rPr>
          <w:rFonts w:ascii="Times New Roman" w:eastAsia="SimHei" w:hAnsi="Times New Roman"/>
          <w:szCs w:val="21"/>
        </w:rPr>
        <w:t xml:space="preserve"> revenues and local expenditures</w:t>
      </w:r>
    </w:p>
    <w:p w:rsidR="0081092E" w:rsidRDefault="0081092E" w:rsidP="0081092E">
      <w:pPr>
        <w:snapToGrid w:val="0"/>
        <w:jc w:val="center"/>
        <w:rPr>
          <w:rFonts w:ascii="Times New Roman" w:eastAsia="SimHei" w:hAnsi="Times New Roman"/>
          <w:szCs w:val="21"/>
        </w:rPr>
      </w:pPr>
      <w:r>
        <w:rPr>
          <w:rFonts w:ascii="Times New Roman" w:eastAsia="SimHei" w:hAnsi="Times New Roman"/>
          <w:szCs w:val="21"/>
        </w:rPr>
        <w:t>Figure A1 Relative size of transfers from the central to local governments</w:t>
      </w:r>
    </w:p>
    <w:p w:rsidR="0081092E" w:rsidRDefault="0081092E" w:rsidP="0081092E">
      <w:pPr>
        <w:snapToGrid w:val="0"/>
        <w:ind w:firstLineChars="200" w:firstLine="3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Note: In (b), the solid line represents the p</w:t>
      </w:r>
      <w:r>
        <w:rPr>
          <w:rFonts w:ascii="Times New Roman" w:eastAsia="SimHei" w:hAnsi="Times New Roman"/>
          <w:sz w:val="18"/>
          <w:szCs w:val="18"/>
        </w:rPr>
        <w:t xml:space="preserve">roportion of transfers from the central to local governments in </w:t>
      </w:r>
      <w:proofErr w:type="spellStart"/>
      <w:r>
        <w:rPr>
          <w:rFonts w:ascii="Times New Roman" w:eastAsia="SimHei" w:hAnsi="Times New Roman"/>
          <w:sz w:val="18"/>
          <w:szCs w:val="18"/>
        </w:rPr>
        <w:t>centra</w:t>
      </w:r>
      <w:proofErr w:type="spellEnd"/>
      <w:r>
        <w:rPr>
          <w:rFonts w:ascii="Times New Roman" w:eastAsia="SimHei" w:hAnsi="Times New Roman"/>
          <w:sz w:val="18"/>
          <w:szCs w:val="18"/>
        </w:rPr>
        <w:t xml:space="preserve"> revenues, and the dash line represents the proportion of transfers from the central to local governments in local expenditures.</w:t>
      </w:r>
    </w:p>
    <w:p w:rsidR="0081092E" w:rsidRDefault="0081092E" w:rsidP="0081092E">
      <w:pPr>
        <w:snapToGrid w:val="0"/>
        <w:ind w:firstLineChars="200" w:firstLine="3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Data source: EPS DATA.</w:t>
      </w:r>
    </w:p>
    <w:p w:rsidR="0081092E" w:rsidRDefault="0081092E" w:rsidP="0081092E">
      <w:pPr>
        <w:widowControl/>
        <w:snapToGrid w:val="0"/>
        <w:spacing w:line="312" w:lineRule="auto"/>
        <w:rPr>
          <w:rFonts w:ascii="Times New Roman" w:hAnsi="Times New Roman"/>
          <w:sz w:val="24"/>
        </w:rPr>
      </w:pPr>
    </w:p>
    <w:p w:rsidR="00AD1398" w:rsidRDefault="00AD1398">
      <w:bookmarkStart w:id="0" w:name="_GoBack"/>
      <w:bookmarkEnd w:id="0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92E"/>
    <w:rsid w:val="0081092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0BE598-1942-4E4B-8D4B-CCE7DEE3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92E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0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2\MyPaper\Transfer%20and%20economic%20development\&#22830;&#22320;&#36130;&#25919;94-17(1)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2\MyPaper\Transfer%20and%20economic%20development\&#22830;&#22320;&#36130;&#25919;94-17(1)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cked"/>
        <c:varyColors val="0"/>
        <c:ser>
          <c:idx val="0"/>
          <c:order val="0"/>
          <c:tx>
            <c:strRef>
              <c:f>'[央地财政94-17(1).xls]中国财政税收数据库-年度财政数据（全国）'!$M$1</c:f>
              <c:strCache>
                <c:ptCount val="1"/>
                <c:pt idx="0">
                  <c:v>Transfers/GDP</c:v>
                </c:pt>
              </c:strCache>
            </c:strRef>
          </c:tx>
          <c:spPr>
            <a:ln w="28575" cap="rnd" cmpd="sng" algn="ctr">
              <a:solidFill>
                <a:srgbClr val="5B9BD5"/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rgbClr val="5B9BD5"/>
              </a:solidFill>
              <a:ln w="9525" cap="flat" cmpd="sng" algn="ctr">
                <a:solidFill>
                  <a:srgbClr val="5B9BD5"/>
                </a:solidFill>
                <a:prstDash val="solid"/>
                <a:round/>
              </a:ln>
              <a:effectLst/>
            </c:spPr>
          </c:marker>
          <c:cat>
            <c:numRef>
              <c:f>'[央地财政94-17(1).xls]中国财政税收数据库-年度财政数据（全国）'!$L$2:$L$20</c:f>
              <c:numCache>
                <c:formatCode>General</c:formatCode>
                <c:ptCount val="19"/>
                <c:pt idx="0">
                  <c:v>1994</c:v>
                </c:pt>
                <c:pt idx="1">
                  <c:v>1995</c:v>
                </c:pt>
                <c:pt idx="2">
                  <c:v>1996</c:v>
                </c:pt>
                <c:pt idx="3">
                  <c:v>1997</c:v>
                </c:pt>
                <c:pt idx="4">
                  <c:v>1998</c:v>
                </c:pt>
                <c:pt idx="5">
                  <c:v>1999</c:v>
                </c:pt>
                <c:pt idx="6">
                  <c:v>2000</c:v>
                </c:pt>
                <c:pt idx="7">
                  <c:v>2001</c:v>
                </c:pt>
                <c:pt idx="8">
                  <c:v>2002</c:v>
                </c:pt>
                <c:pt idx="9">
                  <c:v>2003</c:v>
                </c:pt>
                <c:pt idx="10">
                  <c:v>2004</c:v>
                </c:pt>
                <c:pt idx="11">
                  <c:v>2005</c:v>
                </c:pt>
                <c:pt idx="12">
                  <c:v>2006</c:v>
                </c:pt>
                <c:pt idx="13">
                  <c:v>2007</c:v>
                </c:pt>
                <c:pt idx="14">
                  <c:v>2008</c:v>
                </c:pt>
                <c:pt idx="15">
                  <c:v>2009</c:v>
                </c:pt>
                <c:pt idx="16">
                  <c:v>2010</c:v>
                </c:pt>
                <c:pt idx="17">
                  <c:v>2011</c:v>
                </c:pt>
                <c:pt idx="18">
                  <c:v>2012</c:v>
                </c:pt>
              </c:numCache>
            </c:numRef>
          </c:cat>
          <c:val>
            <c:numRef>
              <c:f>'[央地财政94-17(1).xls]中国财政税收数据库-年度财政数据（全国）'!$M$2:$M$20</c:f>
              <c:numCache>
                <c:formatCode>0.000_ </c:formatCode>
                <c:ptCount val="19"/>
                <c:pt idx="0">
                  <c:v>4.9120328964276497E-2</c:v>
                </c:pt>
                <c:pt idx="1">
                  <c:v>4.1311772598259897E-2</c:v>
                </c:pt>
                <c:pt idx="2">
                  <c:v>3.7910924950148701E-2</c:v>
                </c:pt>
                <c:pt idx="3">
                  <c:v>3.5836040895690903E-2</c:v>
                </c:pt>
                <c:pt idx="4">
                  <c:v>3.8987270454425398E-2</c:v>
                </c:pt>
                <c:pt idx="5">
                  <c:v>4.5123801405408802E-2</c:v>
                </c:pt>
                <c:pt idx="6">
                  <c:v>4.6522789666145099E-2</c:v>
                </c:pt>
                <c:pt idx="7">
                  <c:v>5.4138392305465001E-2</c:v>
                </c:pt>
                <c:pt idx="8">
                  <c:v>6.0400320742966897E-2</c:v>
                </c:pt>
                <c:pt idx="9">
                  <c:v>6.0117084600718997E-2</c:v>
                </c:pt>
                <c:pt idx="10">
                  <c:v>6.4310103423006096E-2</c:v>
                </c:pt>
                <c:pt idx="11">
                  <c:v>6.1307321364795497E-2</c:v>
                </c:pt>
                <c:pt idx="12">
                  <c:v>6.15272616245554E-2</c:v>
                </c:pt>
                <c:pt idx="13">
                  <c:v>6.7119622635784096E-2</c:v>
                </c:pt>
                <c:pt idx="14">
                  <c:v>7.1955069472372998E-2</c:v>
                </c:pt>
                <c:pt idx="15">
                  <c:v>8.1825585665692896E-2</c:v>
                </c:pt>
                <c:pt idx="16">
                  <c:v>7.8301979297886903E-2</c:v>
                </c:pt>
                <c:pt idx="17">
                  <c:v>8.1588311970187594E-2</c:v>
                </c:pt>
                <c:pt idx="18">
                  <c:v>8.3945996742216505E-2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1F-483F-AD15-1D371D35A5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668202"/>
        <c:axId val="287630280"/>
      </c:lineChart>
      <c:catAx>
        <c:axId val="1066820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rgbClr val="D9D9D9">
                <a:lumMod val="15000"/>
                <a:lumOff val="85000"/>
              </a:srgb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rgbClr val="595959">
                    <a:lumMod val="65000"/>
                    <a:lumOff val="35000"/>
                  </a:srgb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7630280"/>
        <c:crosses val="autoZero"/>
        <c:auto val="1"/>
        <c:lblAlgn val="ctr"/>
        <c:lblOffset val="100"/>
        <c:noMultiLvlLbl val="0"/>
      </c:catAx>
      <c:valAx>
        <c:axId val="287630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>
                  <a:lumMod val="15000"/>
                  <a:lumOff val="85000"/>
                </a:srgbClr>
              </a:solidFill>
              <a:prstDash val="solid"/>
              <a:round/>
            </a:ln>
            <a:effectLst/>
          </c:spPr>
        </c:majorGridlines>
        <c:numFmt formatCode="0.000_ 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rgbClr val="595959">
                    <a:lumMod val="65000"/>
                    <a:lumOff val="35000"/>
                  </a:srgb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66820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rgbClr val="FFFFFF"/>
    </a:solidFill>
    <a:ln w="9525" cap="flat" cmpd="sng" algn="ctr">
      <a:solidFill>
        <a:srgbClr val="D9D9D9">
          <a:lumMod val="15000"/>
          <a:lumOff val="85000"/>
        </a:srgbClr>
      </a:solidFill>
      <a:prstDash val="solid"/>
      <a:round/>
    </a:ln>
    <a:effectLst/>
  </c:spPr>
  <c:txPr>
    <a:bodyPr wrap="square"/>
    <a:lstStyle/>
    <a:p>
      <a:pPr>
        <a:defRPr lang="zh-CN"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'[央地财政94-17(1).xls]中国财政税收数据库-年度财政数据（全国）'!$P$1</c:f>
              <c:strCache>
                <c:ptCount val="1"/>
                <c:pt idx="0">
                  <c:v>Transfer/CRev</c:v>
                </c:pt>
              </c:strCache>
            </c:strRef>
          </c:tx>
          <c:spPr>
            <a:ln w="22225" cap="rnd" cmpd="sng" algn="ctr">
              <a:solidFill>
                <a:srgbClr val="F1A243"/>
              </a:solidFill>
              <a:prstDash val="solid"/>
              <a:round/>
            </a:ln>
            <a:effectLst>
              <a:outerShdw blurRad="50800" dist="38100" dir="16200000" sx="1000" sy="1000" rotWithShape="0">
                <a:prstClr val="black">
                  <a:alpha val="40000"/>
                </a:prstClr>
              </a:outerShdw>
            </a:effectLst>
          </c:spPr>
          <c:marker>
            <c:symbol val="circle"/>
            <c:size val="7"/>
            <c:spPr>
              <a:solidFill>
                <a:srgbClr val="F1A243"/>
              </a:solidFill>
              <a:ln w="25400" cap="flat" cmpd="sng" algn="ctr">
                <a:noFill/>
                <a:prstDash val="solid"/>
                <a:round/>
              </a:ln>
              <a:effectLst>
                <a:outerShdw blurRad="50800" dist="38100" dir="16200000" sx="1000" sy="1000" rotWithShape="0">
                  <a:prstClr val="black">
                    <a:alpha val="40000"/>
                  </a:prstClr>
                </a:outerShdw>
              </a:effectLst>
            </c:spPr>
          </c:marker>
          <c:cat>
            <c:numRef>
              <c:f>'[央地财政94-17(1).xls]中国财政税收数据库-年度财政数据（全国）'!$O$2:$O$20</c:f>
              <c:numCache>
                <c:formatCode>General</c:formatCode>
                <c:ptCount val="19"/>
                <c:pt idx="0">
                  <c:v>1994</c:v>
                </c:pt>
                <c:pt idx="1">
                  <c:v>1995</c:v>
                </c:pt>
                <c:pt idx="2">
                  <c:v>1996</c:v>
                </c:pt>
                <c:pt idx="3">
                  <c:v>1997</c:v>
                </c:pt>
                <c:pt idx="4">
                  <c:v>1998</c:v>
                </c:pt>
                <c:pt idx="5">
                  <c:v>1999</c:v>
                </c:pt>
                <c:pt idx="6">
                  <c:v>2000</c:v>
                </c:pt>
                <c:pt idx="7">
                  <c:v>2001</c:v>
                </c:pt>
                <c:pt idx="8">
                  <c:v>2002</c:v>
                </c:pt>
                <c:pt idx="9">
                  <c:v>2003</c:v>
                </c:pt>
                <c:pt idx="10">
                  <c:v>2004</c:v>
                </c:pt>
                <c:pt idx="11">
                  <c:v>2005</c:v>
                </c:pt>
                <c:pt idx="12">
                  <c:v>2006</c:v>
                </c:pt>
                <c:pt idx="13">
                  <c:v>2007</c:v>
                </c:pt>
                <c:pt idx="14">
                  <c:v>2008</c:v>
                </c:pt>
                <c:pt idx="15">
                  <c:v>2009</c:v>
                </c:pt>
                <c:pt idx="16">
                  <c:v>2010</c:v>
                </c:pt>
                <c:pt idx="17">
                  <c:v>2011</c:v>
                </c:pt>
                <c:pt idx="18">
                  <c:v>2012</c:v>
                </c:pt>
              </c:numCache>
            </c:numRef>
          </c:cat>
          <c:val>
            <c:numRef>
              <c:f>'[央地财政94-17(1).xls]中国财政税收数据库-年度财政数据（全国）'!$P$2:$P$20</c:f>
              <c:numCache>
                <c:formatCode>0.00_ </c:formatCode>
                <c:ptCount val="19"/>
                <c:pt idx="0">
                  <c:v>0.82198176500946196</c:v>
                </c:pt>
                <c:pt idx="1">
                  <c:v>0.77812578685876799</c:v>
                </c:pt>
                <c:pt idx="2">
                  <c:v>0.74364052039431106</c:v>
                </c:pt>
                <c:pt idx="3">
                  <c:v>0.67582778950157596</c:v>
                </c:pt>
                <c:pt idx="4">
                  <c:v>0.67897383483237905</c:v>
                </c:pt>
                <c:pt idx="5">
                  <c:v>0.69866016094481098</c:v>
                </c:pt>
                <c:pt idx="6">
                  <c:v>0.66750462858303805</c:v>
                </c:pt>
                <c:pt idx="7">
                  <c:v>0.69930465096228001</c:v>
                </c:pt>
                <c:pt idx="8">
                  <c:v>0.70767327804864</c:v>
                </c:pt>
                <c:pt idx="9">
                  <c:v>0.696268771185798</c:v>
                </c:pt>
                <c:pt idx="10">
                  <c:v>0.71763741382008905</c:v>
                </c:pt>
                <c:pt idx="11">
                  <c:v>0.69396012818056996</c:v>
                </c:pt>
                <c:pt idx="12">
                  <c:v>0.66000394982162303</c:v>
                </c:pt>
                <c:pt idx="13">
                  <c:v>0.65363744343972896</c:v>
                </c:pt>
                <c:pt idx="14">
                  <c:v>0.70349957283473696</c:v>
                </c:pt>
                <c:pt idx="15">
                  <c:v>0.89497585985083805</c:v>
                </c:pt>
                <c:pt idx="16">
                  <c:v>0.76117332537509597</c:v>
                </c:pt>
                <c:pt idx="17">
                  <c:v>0.77777702011326499</c:v>
                </c:pt>
                <c:pt idx="18">
                  <c:v>0.80750323585679995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94D-4E9D-8F74-FCAE51F8A5EF}"/>
            </c:ext>
          </c:extLst>
        </c:ser>
        <c:ser>
          <c:idx val="2"/>
          <c:order val="1"/>
          <c:tx>
            <c:strRef>
              <c:f>'[央地财政94-17(1).xls]中国财政税收数据库-年度财政数据（全国）'!$Q$1</c:f>
              <c:strCache>
                <c:ptCount val="1"/>
                <c:pt idx="0">
                  <c:v>Transfer/LExp</c:v>
                </c:pt>
              </c:strCache>
            </c:strRef>
          </c:tx>
          <c:spPr>
            <a:ln w="12700" cap="rnd" cmpd="sng" algn="ctr">
              <a:solidFill>
                <a:srgbClr val="706257"/>
              </a:solidFill>
              <a:prstDash val="sysDash"/>
              <a:round/>
              <a:headEnd type="none" w="med" len="med"/>
              <a:tailEnd type="none" w="med" len="med"/>
            </a:ln>
            <a:effectLst/>
          </c:spPr>
          <c:marker>
            <c:symbol val="circle"/>
            <c:size val="7"/>
            <c:spPr>
              <a:solidFill>
                <a:srgbClr val="706257"/>
              </a:solidFill>
              <a:ln w="9525" cap="flat" cmpd="sng" algn="ctr">
                <a:noFill/>
                <a:prstDash val="solid"/>
                <a:round/>
              </a:ln>
              <a:effectLst/>
            </c:spPr>
          </c:marker>
          <c:cat>
            <c:numRef>
              <c:f>'[央地财政94-17(1).xls]中国财政税收数据库-年度财政数据（全国）'!$O$2:$O$20</c:f>
              <c:numCache>
                <c:formatCode>General</c:formatCode>
                <c:ptCount val="19"/>
                <c:pt idx="0">
                  <c:v>1994</c:v>
                </c:pt>
                <c:pt idx="1">
                  <c:v>1995</c:v>
                </c:pt>
                <c:pt idx="2">
                  <c:v>1996</c:v>
                </c:pt>
                <c:pt idx="3">
                  <c:v>1997</c:v>
                </c:pt>
                <c:pt idx="4">
                  <c:v>1998</c:v>
                </c:pt>
                <c:pt idx="5">
                  <c:v>1999</c:v>
                </c:pt>
                <c:pt idx="6">
                  <c:v>2000</c:v>
                </c:pt>
                <c:pt idx="7">
                  <c:v>2001</c:v>
                </c:pt>
                <c:pt idx="8">
                  <c:v>2002</c:v>
                </c:pt>
                <c:pt idx="9">
                  <c:v>2003</c:v>
                </c:pt>
                <c:pt idx="10">
                  <c:v>2004</c:v>
                </c:pt>
                <c:pt idx="11">
                  <c:v>2005</c:v>
                </c:pt>
                <c:pt idx="12">
                  <c:v>2006</c:v>
                </c:pt>
                <c:pt idx="13">
                  <c:v>2007</c:v>
                </c:pt>
                <c:pt idx="14">
                  <c:v>2008</c:v>
                </c:pt>
                <c:pt idx="15">
                  <c:v>2009</c:v>
                </c:pt>
                <c:pt idx="16">
                  <c:v>2010</c:v>
                </c:pt>
                <c:pt idx="17">
                  <c:v>2011</c:v>
                </c:pt>
                <c:pt idx="18">
                  <c:v>2012</c:v>
                </c:pt>
              </c:numCache>
            </c:numRef>
          </c:cat>
          <c:val>
            <c:numRef>
              <c:f>'[央地财政94-17(1).xls]中国财政税收数据库-年度财政数据（全国）'!$Q$2:$Q$20</c:f>
              <c:numCache>
                <c:formatCode>0.00_ </c:formatCode>
                <c:ptCount val="19"/>
                <c:pt idx="0">
                  <c:v>0.59162397014503998</c:v>
                </c:pt>
                <c:pt idx="1">
                  <c:v>0.52483156702213796</c:v>
                </c:pt>
                <c:pt idx="2">
                  <c:v>0.47051300662947498</c:v>
                </c:pt>
                <c:pt idx="3">
                  <c:v>0.42630121204704902</c:v>
                </c:pt>
                <c:pt idx="4">
                  <c:v>0.43291044211986102</c:v>
                </c:pt>
                <c:pt idx="5">
                  <c:v>0.452291778726644</c:v>
                </c:pt>
                <c:pt idx="6">
                  <c:v>0.45003062705888602</c:v>
                </c:pt>
                <c:pt idx="7">
                  <c:v>0.456958588639437</c:v>
                </c:pt>
                <c:pt idx="8">
                  <c:v>0.48109112682369798</c:v>
                </c:pt>
                <c:pt idx="9">
                  <c:v>0.47948240988749202</c:v>
                </c:pt>
                <c:pt idx="10">
                  <c:v>0.50541718201644203</c:v>
                </c:pt>
                <c:pt idx="11">
                  <c:v>0.45654283500521398</c:v>
                </c:pt>
                <c:pt idx="12">
                  <c:v>0.44366940255322401</c:v>
                </c:pt>
                <c:pt idx="13">
                  <c:v>0.47308883393510898</c:v>
                </c:pt>
                <c:pt idx="14">
                  <c:v>0.46683177494375999</c:v>
                </c:pt>
                <c:pt idx="15">
                  <c:v>0.46792026228889499</c:v>
                </c:pt>
                <c:pt idx="16">
                  <c:v>0.43772537732239403</c:v>
                </c:pt>
                <c:pt idx="17">
                  <c:v>0.43049310671160701</c:v>
                </c:pt>
                <c:pt idx="18">
                  <c:v>0.42319603046376097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94D-4E9D-8F74-FCAE51F8A5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2295123"/>
        <c:axId val="765161906"/>
      </c:lineChart>
      <c:catAx>
        <c:axId val="30229512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rgbClr val="F2F2F2">
                  <a:lumMod val="95000"/>
                </a:srgbClr>
              </a:solidFill>
              <a:prstDash val="solid"/>
              <a:round/>
            </a:ln>
            <a:effectLst/>
          </c:spPr>
        </c:majorGridlines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rgbClr val="7F7F7F">
                    <a:lumMod val="50000"/>
                  </a:srgbClr>
                </a:solidFill>
                <a:latin typeface="微软雅黑" panose="020B0503020204020204" pitchFamily="34" charset="-122"/>
                <a:ea typeface="微软雅黑" panose="020B0503020204020204" pitchFamily="34" charset="-122"/>
                <a:cs typeface="+mn-cs"/>
              </a:defRPr>
            </a:pPr>
            <a:endParaRPr lang="en-US"/>
          </a:p>
        </c:txPr>
        <c:crossAx val="765161906"/>
        <c:crosses val="autoZero"/>
        <c:auto val="1"/>
        <c:lblAlgn val="ctr"/>
        <c:lblOffset val="100"/>
        <c:noMultiLvlLbl val="0"/>
      </c:catAx>
      <c:valAx>
        <c:axId val="76516190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2F2F2">
                  <a:lumMod val="95000"/>
                </a:srgbClr>
              </a:solidFill>
              <a:prstDash val="solid"/>
              <a:round/>
            </a:ln>
            <a:effectLst/>
          </c:spPr>
        </c:majorGridlines>
        <c:numFmt formatCode="0.00_ " sourceLinked="1"/>
        <c:majorTickMark val="out"/>
        <c:minorTickMark val="in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1000" b="0" i="0" u="none" strike="noStrike" kern="1200" baseline="0">
                <a:solidFill>
                  <a:srgbClr val="7F7F7F">
                    <a:lumMod val="50000"/>
                  </a:srgb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2295123"/>
        <c:crosses val="autoZero"/>
        <c:crossBetween val="midCat"/>
      </c:valAx>
      <c:spPr>
        <a:solidFill>
          <a:sysClr val="window" lastClr="FFFFFF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100000000000001"/>
          <c:y val="0.89"/>
          <c:w val="0.47775000000000001"/>
          <c:h val="8.1500000000000003E-2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 forceAA="0"/>
        <a:lstStyle/>
        <a:p>
          <a:pPr>
            <a:defRPr lang="zh-CN" sz="900" b="0" i="0" u="none" strike="noStrike" kern="1200" baseline="0">
              <a:solidFill>
                <a:srgbClr val="7F7F7F">
                  <a:lumMod val="50000"/>
                </a:srgbClr>
              </a:solidFill>
              <a:latin typeface="微软雅黑" panose="020B0503020204020204" pitchFamily="34" charset="-122"/>
              <a:ea typeface="微软雅黑" panose="020B0503020204020204" pitchFamily="34" charset="-122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ysClr val="window" lastClr="FFFFFF"/>
    </a:solidFill>
    <a:ln w="9525" cap="flat" cmpd="sng" algn="ctr">
      <a:solidFill>
        <a:srgbClr val="BFBFBF">
          <a:lumMod val="75000"/>
        </a:srgbClr>
      </a:solidFill>
      <a:prstDash val="solid"/>
      <a:round/>
    </a:ln>
    <a:effectLst/>
  </c:spPr>
  <c:txPr>
    <a:bodyPr wrap="square"/>
    <a:lstStyle/>
    <a:p>
      <a:pPr>
        <a:defRPr lang="zh-CN"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rgbClr val="FFFFFF"/>
      </a:solidFill>
      <a:gradFill rotWithShape="1">
        <a:gsLst>
          <a:gs pos="0">
            <a:srgbClr val="FFFFFF">
              <a:tint val="50000"/>
              <a:satMod val="300000"/>
            </a:srgbClr>
          </a:gs>
          <a:gs pos="35000">
            <a:srgbClr val="FFFFFF">
              <a:tint val="37000"/>
              <a:satMod val="300000"/>
            </a:srgbClr>
          </a:gs>
          <a:gs pos="100000">
            <a:srgbClr val="FFFFFF">
              <a:tint val="15000"/>
              <a:satMod val="350000"/>
            </a:srgbClr>
          </a:gs>
        </a:gsLst>
        <a:lin ang="16200000" scaled="1"/>
      </a:gradFill>
      <a:gradFill rotWithShape="1">
        <a:gsLst>
          <a:gs pos="0">
            <a:srgbClr val="BDBDBD">
              <a:shade val="51000"/>
              <a:satMod val="130000"/>
            </a:srgbClr>
          </a:gs>
          <a:gs pos="80000">
            <a:srgbClr val="F7F7F7">
              <a:shade val="93000"/>
              <a:satMod val="130000"/>
            </a:srgbClr>
          </a:gs>
          <a:gs pos="100000">
            <a:srgbClr val="F8F8F8">
              <a:shade val="94000"/>
              <a:satMod val="135000"/>
            </a:srgbClr>
          </a:gs>
        </a:gsLst>
        <a:lin ang="16200000" scaled="0"/>
      </a:gradFill>
    </a:fillStyleLst>
    <a:lnStyleLst>
      <a:ln w="9525" cap="flat" cmpd="sng" algn="ctr">
        <a:solidFill>
          <a:srgbClr val="F9F9F9">
            <a:shade val="95000"/>
            <a:satMod val="105000"/>
          </a:srgbClr>
        </a:solidFill>
        <a:prstDash val="solid"/>
      </a:ln>
      <a:ln w="25400" cap="flat" cmpd="sng" algn="ctr">
        <a:solidFill>
          <a:srgbClr val="FFFFFF"/>
        </a:solidFill>
        <a:prstDash val="solid"/>
      </a:ln>
      <a:ln w="38100" cap="flat" cmpd="sng" algn="ctr">
        <a:solidFill>
          <a:srgbClr val="FFFFFF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rgbClr val="FFFFFF"/>
      </a:solidFill>
      <a:gradFill rotWithShape="1">
        <a:gsLst>
          <a:gs pos="0">
            <a:srgbClr val="FFFFFF">
              <a:tint val="40000"/>
              <a:satMod val="350000"/>
            </a:srgbClr>
          </a:gs>
          <a:gs pos="40000">
            <a:srgbClr val="FEFEFE">
              <a:tint val="45000"/>
              <a:shade val="99000"/>
              <a:satMod val="350000"/>
            </a:srgbClr>
          </a:gs>
          <a:gs pos="100000">
            <a:srgbClr val="7C7C7C">
              <a:shade val="20000"/>
              <a:satMod val="255000"/>
            </a:srgbClr>
          </a:gs>
        </a:gsLst>
        <a:path path="circle">
          <a:fillToRect l="50000" t="-80000" r="50000" b="180000"/>
        </a:path>
      </a:gradFill>
      <a:gradFill rotWithShape="1">
        <a:gsLst>
          <a:gs pos="0">
            <a:srgbClr val="FFFFFF">
              <a:tint val="80000"/>
              <a:satMod val="300000"/>
            </a:srgbClr>
          </a:gs>
          <a:gs pos="100000">
            <a:srgbClr val="959595">
              <a:shade val="30000"/>
              <a:satMod val="200000"/>
            </a:srgb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2022-04-25T05:11:00Z</dcterms:created>
  <dcterms:modified xsi:type="dcterms:W3CDTF">2022-04-25T05:11:00Z</dcterms:modified>
</cp:coreProperties>
</file>