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F07C" w14:textId="77777777" w:rsidR="003137FF" w:rsidRPr="003137FF" w:rsidRDefault="003137FF" w:rsidP="003137FF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bookmarkStart w:id="0" w:name="_Hlk67307417"/>
      <w:r w:rsidRPr="003137FF">
        <w:rPr>
          <w:rFonts w:ascii="Times New Roman" w:hAnsi="Times New Roman" w:cs="Times New Roman"/>
          <w:b/>
          <w:sz w:val="20"/>
          <w:szCs w:val="20"/>
          <w:lang w:val="en-IN"/>
        </w:rPr>
        <w:t>Outcomes of infants with hypoxic-ischemic encephalopathy during COVID-19 pandemic lockdown in Canada: a cohort study</w:t>
      </w:r>
    </w:p>
    <w:bookmarkEnd w:id="0"/>
    <w:p w14:paraId="6C8A9BA9" w14:textId="77777777" w:rsidR="003137FF" w:rsidRPr="003137FF" w:rsidRDefault="003137FF" w:rsidP="003137F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</w:pPr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Sujith Kumar Reddy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Gurram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Venkata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a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MD,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Prakesh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 S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Shah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b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MD, Marc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Beltempo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c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MD, Eugene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Yoon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b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MSc, Stephen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Wood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d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MD, Matthew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Hicks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e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MD, Thierry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Daboval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f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, MD, Jonathan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Wong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g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, MD</w:t>
      </w:r>
      <w:r w:rsidRPr="003137FF">
        <w:rPr>
          <w:rFonts w:ascii="Times New Roman" w:hAnsi="Times New Roman" w:cs="Times New Roman"/>
          <w:sz w:val="20"/>
          <w:szCs w:val="20"/>
          <w:lang w:val="en-CA"/>
        </w:rPr>
        <w:t xml:space="preserve">, </w:t>
      </w:r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Pia </w:t>
      </w:r>
      <w:proofErr w:type="spellStart"/>
      <w:proofErr w:type="gram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Wintermark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c</w:t>
      </w:r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,MD</w:t>
      </w:r>
      <w:proofErr w:type="spellEnd"/>
      <w:proofErr w:type="gramEnd"/>
      <w:r w:rsidRPr="003137FF">
        <w:rPr>
          <w:rFonts w:ascii="Times New Roman" w:hAnsi="Times New Roman" w:cs="Times New Roman"/>
          <w:sz w:val="20"/>
          <w:szCs w:val="20"/>
          <w:lang w:val="en-CA"/>
        </w:rPr>
        <w:t xml:space="preserve">, </w:t>
      </w:r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 xml:space="preserve">Khorshid </w:t>
      </w:r>
      <w:proofErr w:type="spellStart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Mohammad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a</w:t>
      </w:r>
      <w:proofErr w:type="spellEnd"/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, MD on behalf of the Canadian Neonatal Network Investigators</w:t>
      </w: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#</w:t>
      </w:r>
    </w:p>
    <w:p w14:paraId="1C82A1B3" w14:textId="77777777" w:rsidR="003137FF" w:rsidRPr="003137FF" w:rsidRDefault="003137FF" w:rsidP="003137F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IN"/>
        </w:rPr>
      </w:pPr>
      <w:r w:rsidRPr="003137FF">
        <w:rPr>
          <w:rFonts w:ascii="Times New Roman" w:hAnsi="Times New Roman" w:cs="Times New Roman"/>
          <w:i/>
          <w:sz w:val="20"/>
          <w:szCs w:val="20"/>
          <w:vertAlign w:val="superscript"/>
          <w:lang w:val="en-IN"/>
        </w:rPr>
        <w:t>#</w:t>
      </w:r>
      <w:r w:rsidRPr="003137FF">
        <w:rPr>
          <w:rFonts w:ascii="Times New Roman" w:hAnsi="Times New Roman" w:cs="Times New Roman"/>
          <w:i/>
          <w:sz w:val="20"/>
          <w:szCs w:val="20"/>
          <w:lang w:val="en-IN"/>
        </w:rPr>
        <w:t>List of investigators given at end of manuscript</w:t>
      </w:r>
    </w:p>
    <w:p w14:paraId="5A821AE1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a</w:t>
      </w:r>
      <w:r w:rsidRPr="003137FF">
        <w:rPr>
          <w:rFonts w:ascii="Times New Roman" w:hAnsi="Times New Roman" w:cs="Times New Roman"/>
          <w:sz w:val="20"/>
          <w:szCs w:val="20"/>
          <w:lang w:val="en-IN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  <w:lang w:val="en-IN"/>
        </w:rPr>
        <w:t xml:space="preserve"> of Neonatal-Perinatal Medicine, University of Calgary, Calgary, Canada</w:t>
      </w:r>
    </w:p>
    <w:p w14:paraId="4C4E152F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b</w:t>
      </w:r>
      <w:r w:rsidRPr="003137FF">
        <w:rPr>
          <w:rFonts w:ascii="Times New Roman" w:hAnsi="Times New Roman" w:cs="Times New Roman"/>
          <w:sz w:val="20"/>
          <w:szCs w:val="20"/>
          <w:lang w:val="en-IN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  <w:lang w:val="en-IN"/>
        </w:rPr>
        <w:t xml:space="preserve"> of Pediatrics, Mount Sinai Hospital and University of Toronto, Toronto, Canada</w:t>
      </w:r>
    </w:p>
    <w:p w14:paraId="6A8F980B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3137F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</w:rPr>
        <w:t xml:space="preserve"> of Pediatrics, Division of Newborn Medicine, Montreal Children's Hospital, McGill University, Montreal, QC, Canada</w:t>
      </w:r>
    </w:p>
    <w:p w14:paraId="21C8D463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3137F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</w:rPr>
        <w:t xml:space="preserve"> of Obstetrics and Gynecology, University of Calgary, Calgary, Canada</w:t>
      </w:r>
    </w:p>
    <w:p w14:paraId="30888D24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3137F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</w:rPr>
        <w:t xml:space="preserve"> of Pediatrics, Division of Neonatal-Perinatal Care, Stollery Children's Hospital, University of Alberta, Edmonton, Alberta, Canada</w:t>
      </w:r>
    </w:p>
    <w:p w14:paraId="019B7A3E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3137F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</w:rPr>
        <w:t xml:space="preserve"> of Pediatrics, Division of Neonatology. Children's Hospital of Eastern Ontario, University of Ottawa, Ottawa, ON, Canada</w:t>
      </w:r>
    </w:p>
    <w:p w14:paraId="44AD6009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37FF"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3137F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3137FF">
        <w:rPr>
          <w:rFonts w:ascii="Times New Roman" w:hAnsi="Times New Roman" w:cs="Times New Roman"/>
          <w:sz w:val="20"/>
          <w:szCs w:val="20"/>
        </w:rPr>
        <w:t xml:space="preserve"> of Pediatrics, Faculty of Medicine, University of British Columbia, Vancouver, British Columbia, Canada</w:t>
      </w:r>
    </w:p>
    <w:p w14:paraId="4A4A05FF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D4ECF1" w14:textId="77777777" w:rsidR="003137FF" w:rsidRPr="003137FF" w:rsidRDefault="003137FF" w:rsidP="003137FF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3137FF">
        <w:rPr>
          <w:rFonts w:ascii="Times New Roman" w:hAnsi="Times New Roman" w:cs="Times New Roman"/>
          <w:b/>
          <w:sz w:val="20"/>
          <w:szCs w:val="20"/>
          <w:lang w:val="en-IN"/>
        </w:rPr>
        <w:t>Corresponding author</w:t>
      </w:r>
    </w:p>
    <w:p w14:paraId="4792A335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137FF">
        <w:rPr>
          <w:rFonts w:ascii="Times New Roman" w:hAnsi="Times New Roman" w:cs="Times New Roman"/>
          <w:sz w:val="20"/>
          <w:szCs w:val="20"/>
          <w:lang w:val="en-IN"/>
        </w:rPr>
        <w:t>Khorshid Mohammad, MD, MSc (Pediatrics), FABP, FRCP (Edin), FRCPC(Neonatology)</w:t>
      </w:r>
    </w:p>
    <w:p w14:paraId="5F8BF0EF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137FF">
        <w:rPr>
          <w:rFonts w:ascii="Times New Roman" w:hAnsi="Times New Roman" w:cs="Times New Roman"/>
          <w:sz w:val="20"/>
          <w:szCs w:val="20"/>
          <w:lang w:val="en-IN"/>
        </w:rPr>
        <w:t xml:space="preserve">Department of Pediatrics, Section of Neonatology </w:t>
      </w:r>
    </w:p>
    <w:p w14:paraId="16A6E202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137FF">
        <w:rPr>
          <w:rFonts w:ascii="Times New Roman" w:hAnsi="Times New Roman" w:cs="Times New Roman"/>
          <w:sz w:val="20"/>
          <w:szCs w:val="20"/>
          <w:lang w:val="en-IN"/>
        </w:rPr>
        <w:t>Alberta Children's Hospital, Room B4-286, 28 Oki drive NW, Calgary, AB, T3B 6A8</w:t>
      </w:r>
    </w:p>
    <w:p w14:paraId="1B3930C2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fr-CA"/>
        </w:rPr>
      </w:pPr>
      <w:proofErr w:type="gramStart"/>
      <w:r w:rsidRPr="003137FF">
        <w:rPr>
          <w:rFonts w:ascii="Times New Roman" w:hAnsi="Times New Roman" w:cs="Times New Roman"/>
          <w:sz w:val="20"/>
          <w:szCs w:val="20"/>
          <w:lang w:val="fr-CA"/>
        </w:rPr>
        <w:t>Email</w:t>
      </w:r>
      <w:proofErr w:type="gramEnd"/>
      <w:r w:rsidRPr="003137FF">
        <w:rPr>
          <w:rFonts w:ascii="Times New Roman" w:hAnsi="Times New Roman" w:cs="Times New Roman"/>
          <w:sz w:val="20"/>
          <w:szCs w:val="20"/>
          <w:lang w:val="fr-CA"/>
        </w:rPr>
        <w:t xml:space="preserve">: Khorshid.mohammad@ahs.ca </w:t>
      </w:r>
    </w:p>
    <w:p w14:paraId="7C1047A2" w14:textId="77777777" w:rsidR="003137FF" w:rsidRPr="003137FF" w:rsidRDefault="003137FF" w:rsidP="003137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fr-CA"/>
        </w:rPr>
      </w:pPr>
      <w:r w:rsidRPr="003137FF">
        <w:rPr>
          <w:rFonts w:ascii="Times New Roman" w:hAnsi="Times New Roman" w:cs="Times New Roman"/>
          <w:sz w:val="20"/>
          <w:szCs w:val="20"/>
          <w:lang w:val="fr-CA"/>
        </w:rPr>
        <w:t>Phone: +14039555079</w:t>
      </w:r>
    </w:p>
    <w:p w14:paraId="5BA3C454" w14:textId="179904CB" w:rsidR="003137FF" w:rsidRP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</w:pPr>
    </w:p>
    <w:p w14:paraId="6459ABCC" w14:textId="592AE195" w:rsid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</w:pPr>
    </w:p>
    <w:p w14:paraId="5D1CF9A7" w14:textId="3BA2646B" w:rsid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</w:pPr>
    </w:p>
    <w:p w14:paraId="5FF33429" w14:textId="1024FA30" w:rsid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</w:pPr>
    </w:p>
    <w:p w14:paraId="759ECF7D" w14:textId="688AD642" w:rsid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</w:pPr>
    </w:p>
    <w:p w14:paraId="314A98E4" w14:textId="77777777" w:rsidR="003137FF" w:rsidRP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</w:pPr>
    </w:p>
    <w:p w14:paraId="54A521AC" w14:textId="77777777" w:rsidR="003137FF" w:rsidRPr="003137FF" w:rsidRDefault="003137FF" w:rsidP="001C5ADB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fr-FR"/>
        </w:rPr>
      </w:pPr>
    </w:p>
    <w:p w14:paraId="366C8A52" w14:textId="34AFBAFC" w:rsidR="001C5ADB" w:rsidRPr="003137FF" w:rsidRDefault="001C5ADB" w:rsidP="001C5ADB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3137FF">
        <w:rPr>
          <w:rFonts w:ascii="Times New Roman" w:eastAsia="Calibri" w:hAnsi="Times New Roman" w:cs="Times New Roman"/>
          <w:b/>
          <w:color w:val="000000"/>
          <w:sz w:val="20"/>
          <w:szCs w:val="20"/>
          <w:shd w:val="clear" w:color="auto" w:fill="FFFFFF"/>
          <w:lang w:val="en-IN"/>
        </w:rPr>
        <w:lastRenderedPageBreak/>
        <w:t>Supplementary Table 1. Trends of the primary and secondary outcomes among infants admitted with HIE over the 4-year period</w:t>
      </w:r>
    </w:p>
    <w:tbl>
      <w:tblPr>
        <w:tblStyle w:val="TableGrid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2"/>
        <w:gridCol w:w="997"/>
        <w:gridCol w:w="992"/>
        <w:gridCol w:w="992"/>
        <w:gridCol w:w="1134"/>
        <w:gridCol w:w="1134"/>
        <w:gridCol w:w="1276"/>
        <w:gridCol w:w="1417"/>
        <w:gridCol w:w="993"/>
      </w:tblGrid>
      <w:tr w:rsidR="001C5ADB" w:rsidRPr="003137FF" w14:paraId="11D2EB24" w14:textId="77777777" w:rsidTr="00397C19">
        <w:trPr>
          <w:trHeight w:val="221"/>
        </w:trPr>
        <w:tc>
          <w:tcPr>
            <w:tcW w:w="1272" w:type="dxa"/>
            <w:vMerge w:val="restart"/>
          </w:tcPr>
          <w:p w14:paraId="7D034F11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Variables</w:t>
            </w:r>
          </w:p>
        </w:tc>
        <w:tc>
          <w:tcPr>
            <w:tcW w:w="4115" w:type="dxa"/>
            <w:gridSpan w:val="4"/>
          </w:tcPr>
          <w:p w14:paraId="02FD32DE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Pre-pandemic </w:t>
            </w:r>
          </w:p>
        </w:tc>
        <w:tc>
          <w:tcPr>
            <w:tcW w:w="1134" w:type="dxa"/>
            <w:vMerge w:val="restart"/>
          </w:tcPr>
          <w:p w14:paraId="4695338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Pandemic Cohort</w:t>
            </w:r>
          </w:p>
        </w:tc>
        <w:tc>
          <w:tcPr>
            <w:tcW w:w="1276" w:type="dxa"/>
            <w:vMerge w:val="restart"/>
          </w:tcPr>
          <w:p w14:paraId="64E5D94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OR(CI) </w:t>
            </w:r>
          </w:p>
          <w:p w14:paraId="60CE05A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After compared to before</w:t>
            </w:r>
          </w:p>
        </w:tc>
        <w:tc>
          <w:tcPr>
            <w:tcW w:w="1417" w:type="dxa"/>
            <w:vMerge w:val="restart"/>
          </w:tcPr>
          <w:p w14:paraId="5ABB0D90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</w:t>
            </w:r>
          </w:p>
          <w:p w14:paraId="550434D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(pre-COVID 3-year VS 2020)</w:t>
            </w:r>
          </w:p>
        </w:tc>
        <w:tc>
          <w:tcPr>
            <w:tcW w:w="993" w:type="dxa"/>
            <w:vMerge w:val="restart"/>
          </w:tcPr>
          <w:p w14:paraId="1D6CDD2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</w:t>
            </w:r>
          </w:p>
          <w:p w14:paraId="746DC77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28ACC7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(Trend)</w:t>
            </w:r>
          </w:p>
        </w:tc>
      </w:tr>
      <w:tr w:rsidR="001C5ADB" w:rsidRPr="003137FF" w14:paraId="3D6379DA" w14:textId="77777777" w:rsidTr="00397C19">
        <w:trPr>
          <w:trHeight w:val="220"/>
        </w:trPr>
        <w:tc>
          <w:tcPr>
            <w:tcW w:w="1272" w:type="dxa"/>
            <w:vMerge/>
          </w:tcPr>
          <w:p w14:paraId="63938BD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7" w:type="dxa"/>
          </w:tcPr>
          <w:p w14:paraId="2E695136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April 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December 31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of 2017</w:t>
            </w:r>
          </w:p>
        </w:tc>
        <w:tc>
          <w:tcPr>
            <w:tcW w:w="992" w:type="dxa"/>
          </w:tcPr>
          <w:p w14:paraId="195D59B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April 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December 31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of 2018</w:t>
            </w:r>
          </w:p>
        </w:tc>
        <w:tc>
          <w:tcPr>
            <w:tcW w:w="992" w:type="dxa"/>
          </w:tcPr>
          <w:p w14:paraId="2D48685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April 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December 31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of 2019</w:t>
            </w:r>
          </w:p>
        </w:tc>
        <w:tc>
          <w:tcPr>
            <w:tcW w:w="1134" w:type="dxa"/>
          </w:tcPr>
          <w:p w14:paraId="4DD708A0" w14:textId="77777777" w:rsidR="001C5ADB" w:rsidRPr="003137FF" w:rsidDel="003E49B3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April 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December 31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3137F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of 2017,2018 &amp; 2019 </w:t>
            </w:r>
          </w:p>
        </w:tc>
        <w:tc>
          <w:tcPr>
            <w:tcW w:w="1134" w:type="dxa"/>
            <w:vMerge/>
          </w:tcPr>
          <w:p w14:paraId="4D72BF1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14:paraId="461A7EF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14:paraId="0185DC3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14:paraId="075E07F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C5ADB" w:rsidRPr="003137FF" w14:paraId="25D7B73B" w14:textId="77777777" w:rsidTr="00397C19">
        <w:tc>
          <w:tcPr>
            <w:tcW w:w="1272" w:type="dxa"/>
          </w:tcPr>
          <w:p w14:paraId="2C46623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Composite outcome – death in first week after birth or </w:t>
            </w:r>
            <w:proofErr w:type="spell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Sarnat</w:t>
            </w:r>
            <w:proofErr w:type="spell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3</w:t>
            </w:r>
          </w:p>
        </w:tc>
        <w:tc>
          <w:tcPr>
            <w:tcW w:w="997" w:type="dxa"/>
          </w:tcPr>
          <w:p w14:paraId="2333D5F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43 (13%)</w:t>
            </w:r>
          </w:p>
        </w:tc>
        <w:tc>
          <w:tcPr>
            <w:tcW w:w="992" w:type="dxa"/>
          </w:tcPr>
          <w:p w14:paraId="16A43EB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53 (17%)</w:t>
            </w:r>
          </w:p>
        </w:tc>
        <w:tc>
          <w:tcPr>
            <w:tcW w:w="992" w:type="dxa"/>
          </w:tcPr>
          <w:p w14:paraId="3606F87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52 (16%)</w:t>
            </w:r>
          </w:p>
        </w:tc>
        <w:tc>
          <w:tcPr>
            <w:tcW w:w="1134" w:type="dxa"/>
          </w:tcPr>
          <w:p w14:paraId="44764B4A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148 (15%)</w:t>
            </w:r>
          </w:p>
        </w:tc>
        <w:tc>
          <w:tcPr>
            <w:tcW w:w="1134" w:type="dxa"/>
          </w:tcPr>
          <w:p w14:paraId="093324D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65 (16%)</w:t>
            </w:r>
          </w:p>
        </w:tc>
        <w:tc>
          <w:tcPr>
            <w:tcW w:w="1276" w:type="dxa"/>
          </w:tcPr>
          <w:p w14:paraId="0A19D0A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1.08 (0.78, 1.48)</w:t>
            </w:r>
          </w:p>
        </w:tc>
        <w:tc>
          <w:tcPr>
            <w:tcW w:w="1417" w:type="dxa"/>
          </w:tcPr>
          <w:p w14:paraId="1B659FF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0.64</w:t>
            </w:r>
          </w:p>
        </w:tc>
        <w:tc>
          <w:tcPr>
            <w:tcW w:w="993" w:type="dxa"/>
          </w:tcPr>
          <w:p w14:paraId="24B744D0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0.34</w:t>
            </w:r>
          </w:p>
        </w:tc>
      </w:tr>
      <w:tr w:rsidR="001C5ADB" w:rsidRPr="003137FF" w14:paraId="6C7205E7" w14:textId="77777777" w:rsidTr="00397C19">
        <w:tc>
          <w:tcPr>
            <w:tcW w:w="1272" w:type="dxa"/>
          </w:tcPr>
          <w:p w14:paraId="5F9D19D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Death in the first week after birth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 ,</w:t>
            </w:r>
          </w:p>
        </w:tc>
        <w:tc>
          <w:tcPr>
            <w:tcW w:w="997" w:type="dxa"/>
          </w:tcPr>
          <w:p w14:paraId="28F52AE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 (6%)</w:t>
            </w:r>
          </w:p>
        </w:tc>
        <w:tc>
          <w:tcPr>
            <w:tcW w:w="992" w:type="dxa"/>
          </w:tcPr>
          <w:p w14:paraId="607C3CB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 (5%)</w:t>
            </w:r>
          </w:p>
        </w:tc>
        <w:tc>
          <w:tcPr>
            <w:tcW w:w="992" w:type="dxa"/>
          </w:tcPr>
          <w:p w14:paraId="1932B71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(5%)</w:t>
            </w:r>
          </w:p>
        </w:tc>
        <w:tc>
          <w:tcPr>
            <w:tcW w:w="1134" w:type="dxa"/>
          </w:tcPr>
          <w:p w14:paraId="49A6A91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61 (6%)</w:t>
            </w:r>
          </w:p>
        </w:tc>
        <w:tc>
          <w:tcPr>
            <w:tcW w:w="1134" w:type="dxa"/>
          </w:tcPr>
          <w:p w14:paraId="19B10ED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 (6%)</w:t>
            </w:r>
          </w:p>
        </w:tc>
        <w:tc>
          <w:tcPr>
            <w:tcW w:w="1276" w:type="dxa"/>
          </w:tcPr>
          <w:p w14:paraId="38929516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1.10 (0.69, 1.75)</w:t>
            </w:r>
          </w:p>
        </w:tc>
        <w:tc>
          <w:tcPr>
            <w:tcW w:w="1417" w:type="dxa"/>
          </w:tcPr>
          <w:p w14:paraId="6A6E3E10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0.67</w:t>
            </w:r>
          </w:p>
        </w:tc>
        <w:tc>
          <w:tcPr>
            <w:tcW w:w="993" w:type="dxa"/>
          </w:tcPr>
          <w:p w14:paraId="224FDA2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0.97</w:t>
            </w:r>
          </w:p>
        </w:tc>
      </w:tr>
      <w:tr w:rsidR="001C5ADB" w:rsidRPr="003137FF" w14:paraId="25037524" w14:textId="77777777" w:rsidTr="00397C19">
        <w:tc>
          <w:tcPr>
            <w:tcW w:w="1272" w:type="dxa"/>
          </w:tcPr>
          <w:p w14:paraId="6D595E0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All-cause mortality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</w:p>
        </w:tc>
        <w:tc>
          <w:tcPr>
            <w:tcW w:w="997" w:type="dxa"/>
          </w:tcPr>
          <w:p w14:paraId="1879677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 (7%)</w:t>
            </w:r>
          </w:p>
        </w:tc>
        <w:tc>
          <w:tcPr>
            <w:tcW w:w="992" w:type="dxa"/>
          </w:tcPr>
          <w:p w14:paraId="0484401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 (6%)</w:t>
            </w:r>
          </w:p>
        </w:tc>
        <w:tc>
          <w:tcPr>
            <w:tcW w:w="992" w:type="dxa"/>
          </w:tcPr>
          <w:p w14:paraId="609B7AB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 (8%)</w:t>
            </w:r>
          </w:p>
        </w:tc>
        <w:tc>
          <w:tcPr>
            <w:tcW w:w="1134" w:type="dxa"/>
          </w:tcPr>
          <w:p w14:paraId="47C069F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 (7%)</w:t>
            </w:r>
          </w:p>
        </w:tc>
        <w:tc>
          <w:tcPr>
            <w:tcW w:w="1134" w:type="dxa"/>
          </w:tcPr>
          <w:p w14:paraId="3BAE299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 (7%)</w:t>
            </w:r>
          </w:p>
        </w:tc>
        <w:tc>
          <w:tcPr>
            <w:tcW w:w="1276" w:type="dxa"/>
          </w:tcPr>
          <w:p w14:paraId="237F0956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1.02 (0.67, 1.55)</w:t>
            </w:r>
          </w:p>
        </w:tc>
        <w:tc>
          <w:tcPr>
            <w:tcW w:w="1417" w:type="dxa"/>
          </w:tcPr>
          <w:p w14:paraId="5B95DC8A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0.93</w:t>
            </w:r>
          </w:p>
        </w:tc>
        <w:tc>
          <w:tcPr>
            <w:tcW w:w="993" w:type="dxa"/>
          </w:tcPr>
          <w:p w14:paraId="1F3A921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0.84</w:t>
            </w:r>
          </w:p>
        </w:tc>
      </w:tr>
      <w:tr w:rsidR="001C5ADB" w:rsidRPr="003137FF" w14:paraId="65FA8A3F" w14:textId="77777777" w:rsidTr="00397C19">
        <w:tc>
          <w:tcPr>
            <w:tcW w:w="1272" w:type="dxa"/>
          </w:tcPr>
          <w:p w14:paraId="10B1B86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Hypothermia treatment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</w:p>
        </w:tc>
        <w:tc>
          <w:tcPr>
            <w:tcW w:w="997" w:type="dxa"/>
          </w:tcPr>
          <w:p w14:paraId="0CFCF8F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 (76%)</w:t>
            </w:r>
          </w:p>
        </w:tc>
        <w:tc>
          <w:tcPr>
            <w:tcW w:w="992" w:type="dxa"/>
          </w:tcPr>
          <w:p w14:paraId="5FE85E51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211 (75%)</w:t>
            </w:r>
          </w:p>
        </w:tc>
        <w:tc>
          <w:tcPr>
            <w:tcW w:w="992" w:type="dxa"/>
          </w:tcPr>
          <w:p w14:paraId="70773EE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251 (79%)</w:t>
            </w:r>
          </w:p>
        </w:tc>
        <w:tc>
          <w:tcPr>
            <w:tcW w:w="1134" w:type="dxa"/>
          </w:tcPr>
          <w:p w14:paraId="29B569A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742 (77%)</w:t>
            </w:r>
          </w:p>
        </w:tc>
        <w:tc>
          <w:tcPr>
            <w:tcW w:w="1134" w:type="dxa"/>
          </w:tcPr>
          <w:p w14:paraId="2FA312F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342 (80%)</w:t>
            </w:r>
          </w:p>
        </w:tc>
        <w:tc>
          <w:tcPr>
            <w:tcW w:w="1276" w:type="dxa"/>
          </w:tcPr>
          <w:p w14:paraId="1E1C869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1.18 (0.89, 1.56)</w:t>
            </w:r>
          </w:p>
        </w:tc>
        <w:tc>
          <w:tcPr>
            <w:tcW w:w="1417" w:type="dxa"/>
          </w:tcPr>
          <w:p w14:paraId="47654E4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0.25</w:t>
            </w:r>
          </w:p>
        </w:tc>
        <w:tc>
          <w:tcPr>
            <w:tcW w:w="993" w:type="dxa"/>
          </w:tcPr>
          <w:p w14:paraId="14784BA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0.14</w:t>
            </w:r>
          </w:p>
        </w:tc>
      </w:tr>
      <w:tr w:rsidR="001C5ADB" w:rsidRPr="003137FF" w14:paraId="73954BD4" w14:textId="77777777" w:rsidTr="00397C19">
        <w:tc>
          <w:tcPr>
            <w:tcW w:w="1272" w:type="dxa"/>
          </w:tcPr>
          <w:p w14:paraId="5796918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Seizures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</w:p>
        </w:tc>
        <w:tc>
          <w:tcPr>
            <w:tcW w:w="997" w:type="dxa"/>
          </w:tcPr>
          <w:p w14:paraId="46594DBE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148 (39%)</w:t>
            </w:r>
          </w:p>
        </w:tc>
        <w:tc>
          <w:tcPr>
            <w:tcW w:w="992" w:type="dxa"/>
          </w:tcPr>
          <w:p w14:paraId="6B08553A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157 (44%)</w:t>
            </w:r>
          </w:p>
        </w:tc>
        <w:tc>
          <w:tcPr>
            <w:tcW w:w="992" w:type="dxa"/>
          </w:tcPr>
          <w:p w14:paraId="39BA7EC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144 (39%)</w:t>
            </w:r>
          </w:p>
        </w:tc>
        <w:tc>
          <w:tcPr>
            <w:tcW w:w="1134" w:type="dxa"/>
          </w:tcPr>
          <w:p w14:paraId="429EFAC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449 (41%)</w:t>
            </w:r>
          </w:p>
        </w:tc>
        <w:tc>
          <w:tcPr>
            <w:tcW w:w="1134" w:type="dxa"/>
          </w:tcPr>
          <w:p w14:paraId="6808682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192 (43%)</w:t>
            </w:r>
          </w:p>
        </w:tc>
        <w:tc>
          <w:tcPr>
            <w:tcW w:w="1276" w:type="dxa"/>
          </w:tcPr>
          <w:p w14:paraId="258FBC2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1.10 (0.88, 1.37)</w:t>
            </w:r>
          </w:p>
        </w:tc>
        <w:tc>
          <w:tcPr>
            <w:tcW w:w="1417" w:type="dxa"/>
          </w:tcPr>
          <w:p w14:paraId="1631781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0.42</w:t>
            </w:r>
          </w:p>
        </w:tc>
        <w:tc>
          <w:tcPr>
            <w:tcW w:w="993" w:type="dxa"/>
          </w:tcPr>
          <w:p w14:paraId="02D9AB8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0.56</w:t>
            </w:r>
          </w:p>
        </w:tc>
      </w:tr>
      <w:tr w:rsidR="001C5ADB" w:rsidRPr="003137FF" w14:paraId="319F2498" w14:textId="77777777" w:rsidTr="00397C19">
        <w:tc>
          <w:tcPr>
            <w:tcW w:w="1272" w:type="dxa"/>
          </w:tcPr>
          <w:p w14:paraId="418AE74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Hepatic dysfunction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</w:p>
        </w:tc>
        <w:tc>
          <w:tcPr>
            <w:tcW w:w="997" w:type="dxa"/>
          </w:tcPr>
          <w:p w14:paraId="08D832F1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105 (28%)</w:t>
            </w:r>
          </w:p>
        </w:tc>
        <w:tc>
          <w:tcPr>
            <w:tcW w:w="992" w:type="dxa"/>
          </w:tcPr>
          <w:p w14:paraId="6927035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68 (19%)</w:t>
            </w:r>
          </w:p>
        </w:tc>
        <w:tc>
          <w:tcPr>
            <w:tcW w:w="992" w:type="dxa"/>
          </w:tcPr>
          <w:p w14:paraId="18B81ED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73 (20%)</w:t>
            </w:r>
          </w:p>
        </w:tc>
        <w:tc>
          <w:tcPr>
            <w:tcW w:w="1134" w:type="dxa"/>
          </w:tcPr>
          <w:p w14:paraId="6A84BA3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246 (23%)</w:t>
            </w:r>
          </w:p>
        </w:tc>
        <w:tc>
          <w:tcPr>
            <w:tcW w:w="1134" w:type="dxa"/>
          </w:tcPr>
          <w:p w14:paraId="00E96140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107 (24%)</w:t>
            </w:r>
          </w:p>
        </w:tc>
        <w:tc>
          <w:tcPr>
            <w:tcW w:w="1276" w:type="dxa"/>
          </w:tcPr>
          <w:p w14:paraId="14447260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1.10 (0.85, 1.43)</w:t>
            </w:r>
          </w:p>
        </w:tc>
        <w:tc>
          <w:tcPr>
            <w:tcW w:w="1417" w:type="dxa"/>
          </w:tcPr>
          <w:p w14:paraId="20E4811A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0.48</w:t>
            </w:r>
          </w:p>
        </w:tc>
        <w:tc>
          <w:tcPr>
            <w:tcW w:w="993" w:type="dxa"/>
          </w:tcPr>
          <w:p w14:paraId="7939989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0.27</w:t>
            </w:r>
          </w:p>
        </w:tc>
      </w:tr>
      <w:tr w:rsidR="001C5ADB" w:rsidRPr="003137FF" w14:paraId="3D4485FB" w14:textId="77777777" w:rsidTr="00397C19">
        <w:tc>
          <w:tcPr>
            <w:tcW w:w="1272" w:type="dxa"/>
          </w:tcPr>
          <w:p w14:paraId="414BADB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Renal failure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7" w:type="dxa"/>
          </w:tcPr>
          <w:p w14:paraId="0F541EC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84 (23%)</w:t>
            </w:r>
          </w:p>
        </w:tc>
        <w:tc>
          <w:tcPr>
            <w:tcW w:w="992" w:type="dxa"/>
          </w:tcPr>
          <w:p w14:paraId="292E3F5E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 (17%)</w:t>
            </w:r>
          </w:p>
        </w:tc>
        <w:tc>
          <w:tcPr>
            <w:tcW w:w="992" w:type="dxa"/>
          </w:tcPr>
          <w:p w14:paraId="6E41C905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62 (17%)</w:t>
            </w:r>
          </w:p>
        </w:tc>
        <w:tc>
          <w:tcPr>
            <w:tcW w:w="1134" w:type="dxa"/>
          </w:tcPr>
          <w:p w14:paraId="6CC9B6C8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204 (19%)</w:t>
            </w:r>
          </w:p>
        </w:tc>
        <w:tc>
          <w:tcPr>
            <w:tcW w:w="1134" w:type="dxa"/>
          </w:tcPr>
          <w:p w14:paraId="1175FB2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85 (19%)</w:t>
            </w:r>
          </w:p>
        </w:tc>
        <w:tc>
          <w:tcPr>
            <w:tcW w:w="1276" w:type="dxa"/>
          </w:tcPr>
          <w:p w14:paraId="7630378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1.04 (0.78, 1.37)</w:t>
            </w:r>
          </w:p>
        </w:tc>
        <w:tc>
          <w:tcPr>
            <w:tcW w:w="1417" w:type="dxa"/>
          </w:tcPr>
          <w:p w14:paraId="32CEBFE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0.80</w:t>
            </w:r>
          </w:p>
        </w:tc>
        <w:tc>
          <w:tcPr>
            <w:tcW w:w="993" w:type="dxa"/>
          </w:tcPr>
          <w:p w14:paraId="40A60CC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0.30</w:t>
            </w:r>
          </w:p>
        </w:tc>
      </w:tr>
      <w:tr w:rsidR="001C5ADB" w:rsidRPr="003137FF" w14:paraId="19BB6502" w14:textId="77777777" w:rsidTr="00397C19">
        <w:tc>
          <w:tcPr>
            <w:tcW w:w="1272" w:type="dxa"/>
          </w:tcPr>
          <w:p w14:paraId="08D4D2A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Cardiac dysfunction, (n%)</w:t>
            </w:r>
          </w:p>
        </w:tc>
        <w:tc>
          <w:tcPr>
            <w:tcW w:w="997" w:type="dxa"/>
          </w:tcPr>
          <w:p w14:paraId="67A28D7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49 (13%)</w:t>
            </w:r>
          </w:p>
        </w:tc>
        <w:tc>
          <w:tcPr>
            <w:tcW w:w="992" w:type="dxa"/>
          </w:tcPr>
          <w:p w14:paraId="621AC40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 (7%)</w:t>
            </w:r>
          </w:p>
        </w:tc>
        <w:tc>
          <w:tcPr>
            <w:tcW w:w="992" w:type="dxa"/>
          </w:tcPr>
          <w:p w14:paraId="37E0508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 (8%)</w:t>
            </w:r>
          </w:p>
        </w:tc>
        <w:tc>
          <w:tcPr>
            <w:tcW w:w="1134" w:type="dxa"/>
          </w:tcPr>
          <w:p w14:paraId="337D7BF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 (10%)</w:t>
            </w:r>
          </w:p>
        </w:tc>
        <w:tc>
          <w:tcPr>
            <w:tcW w:w="1134" w:type="dxa"/>
          </w:tcPr>
          <w:p w14:paraId="700AA745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53 (12%)</w:t>
            </w:r>
          </w:p>
        </w:tc>
        <w:tc>
          <w:tcPr>
            <w:tcW w:w="1276" w:type="dxa"/>
          </w:tcPr>
          <w:p w14:paraId="63C006C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1.27 (0.89, 1.80)</w:t>
            </w:r>
          </w:p>
        </w:tc>
        <w:tc>
          <w:tcPr>
            <w:tcW w:w="1417" w:type="dxa"/>
          </w:tcPr>
          <w:p w14:paraId="58D05B0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0.18</w:t>
            </w:r>
          </w:p>
        </w:tc>
        <w:tc>
          <w:tcPr>
            <w:tcW w:w="993" w:type="dxa"/>
          </w:tcPr>
          <w:p w14:paraId="4C41F75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0.81</w:t>
            </w:r>
          </w:p>
        </w:tc>
      </w:tr>
      <w:tr w:rsidR="001C5ADB" w:rsidRPr="003137FF" w14:paraId="69CBD7DE" w14:textId="77777777" w:rsidTr="00397C19">
        <w:tc>
          <w:tcPr>
            <w:tcW w:w="1272" w:type="dxa"/>
          </w:tcPr>
          <w:p w14:paraId="451EB65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DIC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</w:p>
        </w:tc>
        <w:tc>
          <w:tcPr>
            <w:tcW w:w="997" w:type="dxa"/>
          </w:tcPr>
          <w:p w14:paraId="464740A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 (6%)</w:t>
            </w:r>
          </w:p>
        </w:tc>
        <w:tc>
          <w:tcPr>
            <w:tcW w:w="992" w:type="dxa"/>
          </w:tcPr>
          <w:p w14:paraId="36879D2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 (9%)</w:t>
            </w:r>
          </w:p>
        </w:tc>
        <w:tc>
          <w:tcPr>
            <w:tcW w:w="992" w:type="dxa"/>
          </w:tcPr>
          <w:p w14:paraId="0BA4EF9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49 (13%)</w:t>
            </w:r>
          </w:p>
        </w:tc>
        <w:tc>
          <w:tcPr>
            <w:tcW w:w="1134" w:type="dxa"/>
          </w:tcPr>
          <w:p w14:paraId="5188F29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105 (10%)</w:t>
            </w:r>
          </w:p>
        </w:tc>
        <w:tc>
          <w:tcPr>
            <w:tcW w:w="1134" w:type="dxa"/>
          </w:tcPr>
          <w:p w14:paraId="0DD03AB1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54 (12%)</w:t>
            </w:r>
          </w:p>
        </w:tc>
        <w:tc>
          <w:tcPr>
            <w:tcW w:w="1276" w:type="dxa"/>
          </w:tcPr>
          <w:p w14:paraId="086860F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1.31 (0.92, 1.85)</w:t>
            </w:r>
          </w:p>
        </w:tc>
        <w:tc>
          <w:tcPr>
            <w:tcW w:w="1417" w:type="dxa"/>
          </w:tcPr>
          <w:p w14:paraId="275D5E5E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0.13</w:t>
            </w:r>
          </w:p>
        </w:tc>
        <w:tc>
          <w:tcPr>
            <w:tcW w:w="993" w:type="dxa"/>
          </w:tcPr>
          <w:p w14:paraId="43FA062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&lt;0.01</w:t>
            </w:r>
          </w:p>
        </w:tc>
      </w:tr>
      <w:tr w:rsidR="001C5ADB" w:rsidRPr="003137FF" w14:paraId="5B6EE0B6" w14:textId="77777777" w:rsidTr="00397C19">
        <w:tc>
          <w:tcPr>
            <w:tcW w:w="1272" w:type="dxa"/>
          </w:tcPr>
          <w:p w14:paraId="4C25529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PPHN (</w:t>
            </w:r>
            <w:proofErr w:type="gramStart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n;%</w:t>
            </w:r>
            <w:proofErr w:type="gramEnd"/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</w:p>
        </w:tc>
        <w:tc>
          <w:tcPr>
            <w:tcW w:w="997" w:type="dxa"/>
          </w:tcPr>
          <w:p w14:paraId="4EDE36C2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 (14%)</w:t>
            </w:r>
          </w:p>
        </w:tc>
        <w:tc>
          <w:tcPr>
            <w:tcW w:w="992" w:type="dxa"/>
          </w:tcPr>
          <w:p w14:paraId="3DE78A6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41 (12%)</w:t>
            </w:r>
          </w:p>
        </w:tc>
        <w:tc>
          <w:tcPr>
            <w:tcW w:w="992" w:type="dxa"/>
          </w:tcPr>
          <w:p w14:paraId="76B4F6F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53 (14%)</w:t>
            </w:r>
          </w:p>
        </w:tc>
        <w:tc>
          <w:tcPr>
            <w:tcW w:w="1134" w:type="dxa"/>
          </w:tcPr>
          <w:p w14:paraId="17735D5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144 (13%)</w:t>
            </w:r>
          </w:p>
        </w:tc>
        <w:tc>
          <w:tcPr>
            <w:tcW w:w="1134" w:type="dxa"/>
          </w:tcPr>
          <w:p w14:paraId="3FD1878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65 (15%)</w:t>
            </w:r>
          </w:p>
        </w:tc>
        <w:tc>
          <w:tcPr>
            <w:tcW w:w="1276" w:type="dxa"/>
          </w:tcPr>
          <w:p w14:paraId="644968EF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1.14 (0.83, 1.56)</w:t>
            </w:r>
          </w:p>
        </w:tc>
        <w:tc>
          <w:tcPr>
            <w:tcW w:w="1417" w:type="dxa"/>
          </w:tcPr>
          <w:p w14:paraId="6F4B94AE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0.43</w:t>
            </w:r>
          </w:p>
        </w:tc>
        <w:tc>
          <w:tcPr>
            <w:tcW w:w="993" w:type="dxa"/>
          </w:tcPr>
          <w:p w14:paraId="4193BAB7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0.40</w:t>
            </w:r>
          </w:p>
        </w:tc>
      </w:tr>
      <w:tr w:rsidR="001C5ADB" w:rsidRPr="003137FF" w14:paraId="1FB92B2E" w14:textId="77777777" w:rsidTr="00397C19">
        <w:tc>
          <w:tcPr>
            <w:tcW w:w="1272" w:type="dxa"/>
          </w:tcPr>
          <w:p w14:paraId="47AF84FA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Brain injury, N (%)</w:t>
            </w:r>
          </w:p>
        </w:tc>
        <w:tc>
          <w:tcPr>
            <w:tcW w:w="997" w:type="dxa"/>
          </w:tcPr>
          <w:p w14:paraId="338D4303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104 / 374</w:t>
            </w:r>
          </w:p>
          <w:p w14:paraId="4D509BE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(28%)</w:t>
            </w:r>
          </w:p>
        </w:tc>
        <w:tc>
          <w:tcPr>
            <w:tcW w:w="992" w:type="dxa"/>
          </w:tcPr>
          <w:p w14:paraId="287A20F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 / 323</w:t>
            </w:r>
          </w:p>
          <w:p w14:paraId="704FB670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(28%)</w:t>
            </w:r>
          </w:p>
        </w:tc>
        <w:tc>
          <w:tcPr>
            <w:tcW w:w="992" w:type="dxa"/>
          </w:tcPr>
          <w:p w14:paraId="3D16D98E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82 /332</w:t>
            </w:r>
          </w:p>
          <w:p w14:paraId="30A4E19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(25%)</w:t>
            </w:r>
          </w:p>
        </w:tc>
        <w:tc>
          <w:tcPr>
            <w:tcW w:w="1134" w:type="dxa"/>
          </w:tcPr>
          <w:p w14:paraId="406F693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275 / 1029</w:t>
            </w:r>
          </w:p>
          <w:p w14:paraId="0D2483D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(27%)</w:t>
            </w:r>
          </w:p>
        </w:tc>
        <w:tc>
          <w:tcPr>
            <w:tcW w:w="1134" w:type="dxa"/>
          </w:tcPr>
          <w:p w14:paraId="4CE31B5C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138 / 443</w:t>
            </w:r>
          </w:p>
          <w:p w14:paraId="3F9D781B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(31%)</w:t>
            </w:r>
          </w:p>
        </w:tc>
        <w:tc>
          <w:tcPr>
            <w:tcW w:w="1276" w:type="dxa"/>
          </w:tcPr>
          <w:p w14:paraId="17157BED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1.24 (0.97, 1.58)</w:t>
            </w:r>
          </w:p>
        </w:tc>
        <w:tc>
          <w:tcPr>
            <w:tcW w:w="1417" w:type="dxa"/>
          </w:tcPr>
          <w:p w14:paraId="2E3FFDF4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0.08</w:t>
            </w:r>
          </w:p>
        </w:tc>
        <w:tc>
          <w:tcPr>
            <w:tcW w:w="993" w:type="dxa"/>
          </w:tcPr>
          <w:p w14:paraId="67FE3EB9" w14:textId="77777777" w:rsidR="001C5ADB" w:rsidRPr="003137FF" w:rsidRDefault="001C5ADB" w:rsidP="00397C1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7F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0.39</w:t>
            </w:r>
          </w:p>
        </w:tc>
      </w:tr>
    </w:tbl>
    <w:p w14:paraId="1DBA53BD" w14:textId="77777777" w:rsidR="001C5ADB" w:rsidRPr="003137FF" w:rsidRDefault="001C5ADB" w:rsidP="001C5ADB">
      <w:pPr>
        <w:spacing w:after="200" w:line="240" w:lineRule="auto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en-IN"/>
        </w:rPr>
      </w:pPr>
      <w:r w:rsidRPr="003137FF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en-IN"/>
        </w:rPr>
        <w:t>OR = Odds ratio, CI = Confidence interval, DIC = Disseminated intravascular coagulation, PPHN = Persistent pulmonary hypertension</w:t>
      </w:r>
    </w:p>
    <w:p w14:paraId="102B2CD7" w14:textId="77777777" w:rsidR="001C5ADB" w:rsidRPr="003137FF" w:rsidRDefault="001C5ADB" w:rsidP="001C5A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CF03479" w14:textId="77777777" w:rsidR="001C5ADB" w:rsidRPr="003137FF" w:rsidRDefault="001C5ADB" w:rsidP="001C5ADB">
      <w:pPr>
        <w:rPr>
          <w:rFonts w:ascii="Times New Roman" w:hAnsi="Times New Roman" w:cs="Times New Roman"/>
          <w:sz w:val="20"/>
          <w:szCs w:val="20"/>
        </w:rPr>
      </w:pPr>
    </w:p>
    <w:p w14:paraId="1619DFCD" w14:textId="77777777" w:rsidR="001C5ADB" w:rsidRPr="003137FF" w:rsidRDefault="001C5ADB" w:rsidP="001C5ADB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475C3F2" w14:textId="77777777" w:rsidR="00C74026" w:rsidRPr="003137FF" w:rsidRDefault="00C74026">
      <w:pPr>
        <w:rPr>
          <w:rFonts w:ascii="Times New Roman" w:hAnsi="Times New Roman" w:cs="Times New Roman"/>
          <w:sz w:val="20"/>
          <w:szCs w:val="20"/>
        </w:rPr>
      </w:pPr>
    </w:p>
    <w:sectPr w:rsidR="00C74026" w:rsidRPr="003137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NTIxsTC0MDU1MzNW0lEKTi0uzszPAykwrAUA33HPziwAAAA="/>
  </w:docVars>
  <w:rsids>
    <w:rsidRoot w:val="00EA285F"/>
    <w:rsid w:val="001C5ADB"/>
    <w:rsid w:val="003137FF"/>
    <w:rsid w:val="00C74026"/>
    <w:rsid w:val="00EA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C9286"/>
  <w15:chartTrackingRefBased/>
  <w15:docId w15:val="{2CC38F07-A38E-406D-B9EE-72F3CB7D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AD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AD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 Kumar Reddy G V</dc:creator>
  <cp:keywords/>
  <dc:description/>
  <cp:lastModifiedBy>Sujith Kumar Reddy G V</cp:lastModifiedBy>
  <cp:revision>3</cp:revision>
  <dcterms:created xsi:type="dcterms:W3CDTF">2022-04-02T05:54:00Z</dcterms:created>
  <dcterms:modified xsi:type="dcterms:W3CDTF">2022-04-20T05:58:00Z</dcterms:modified>
</cp:coreProperties>
</file>