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A4E4D" w14:textId="77777777" w:rsidR="00AD3AD7" w:rsidRPr="00136B97" w:rsidRDefault="00AD3AD7" w:rsidP="00AD3AD7">
      <w:pPr>
        <w:rPr>
          <w:rFonts w:ascii="Times" w:hAnsi="Times"/>
          <w:b/>
          <w:bCs/>
          <w:sz w:val="20"/>
          <w:szCs w:val="20"/>
          <w:lang w:val="en-US"/>
        </w:rPr>
      </w:pPr>
      <w:r>
        <w:rPr>
          <w:rFonts w:ascii="Times" w:hAnsi="Times"/>
          <w:b/>
          <w:bCs/>
          <w:sz w:val="20"/>
          <w:szCs w:val="20"/>
          <w:lang w:val="en-US"/>
        </w:rPr>
        <w:t>Table S1.</w:t>
      </w:r>
      <w:r w:rsidRPr="00FE0098">
        <w:rPr>
          <w:rFonts w:ascii="Times" w:hAnsi="Times" w:cs="Arial"/>
          <w:sz w:val="21"/>
          <w:szCs w:val="21"/>
          <w:lang w:val="en-US"/>
        </w:rPr>
        <w:t xml:space="preserve"> </w:t>
      </w:r>
      <w:r>
        <w:rPr>
          <w:rFonts w:ascii="Times" w:hAnsi="Times" w:cs="Arial"/>
          <w:sz w:val="21"/>
          <w:szCs w:val="21"/>
          <w:lang w:val="en-US"/>
        </w:rPr>
        <w:t>PMBC</w:t>
      </w:r>
      <w:r w:rsidRPr="005E3E7F">
        <w:rPr>
          <w:rFonts w:ascii="Times" w:hAnsi="Times" w:cs="Arial"/>
          <w:sz w:val="21"/>
          <w:szCs w:val="21"/>
          <w:lang w:val="en-US"/>
        </w:rPr>
        <w:t xml:space="preserve"> subsets in control group and canines affected by periodontitis </w:t>
      </w:r>
      <w:r>
        <w:rPr>
          <w:rFonts w:ascii="Times" w:hAnsi="Times" w:cs="Arial"/>
          <w:sz w:val="21"/>
          <w:szCs w:val="21"/>
          <w:lang w:val="en-US"/>
        </w:rPr>
        <w:t xml:space="preserve">whole </w:t>
      </w:r>
      <w:r w:rsidRPr="005E3E7F">
        <w:rPr>
          <w:rFonts w:ascii="Times" w:hAnsi="Times" w:cs="Arial"/>
          <w:sz w:val="21"/>
          <w:szCs w:val="21"/>
          <w:lang w:val="en-US"/>
        </w:rPr>
        <w:t>blood and PRF samples</w:t>
      </w:r>
      <w:r>
        <w:rPr>
          <w:rFonts w:ascii="Times" w:hAnsi="Times" w:cs="Arial"/>
          <w:sz w:val="21"/>
          <w:szCs w:val="21"/>
          <w:lang w:val="en-US"/>
        </w:rPr>
        <w:t>.</w:t>
      </w:r>
    </w:p>
    <w:tbl>
      <w:tblPr>
        <w:tblpPr w:leftFromText="180" w:rightFromText="180" w:vertAnchor="page" w:horzAnchor="margin" w:tblpY="2119"/>
        <w:tblW w:w="0" w:type="auto"/>
        <w:tblLook w:val="04A0" w:firstRow="1" w:lastRow="0" w:firstColumn="1" w:lastColumn="0" w:noHBand="0" w:noVBand="1"/>
      </w:tblPr>
      <w:tblGrid>
        <w:gridCol w:w="1758"/>
        <w:gridCol w:w="1244"/>
        <w:gridCol w:w="1676"/>
        <w:gridCol w:w="714"/>
        <w:gridCol w:w="1244"/>
        <w:gridCol w:w="1676"/>
        <w:gridCol w:w="714"/>
      </w:tblGrid>
      <w:tr w:rsidR="00AD3AD7" w:rsidRPr="005E3E7F" w14:paraId="7C682D7D" w14:textId="77777777" w:rsidTr="00AD6F1E">
        <w:trPr>
          <w:trHeight w:val="485"/>
        </w:trPr>
        <w:tc>
          <w:tcPr>
            <w:tcW w:w="0" w:type="auto"/>
            <w:vMerge w:val="restart"/>
            <w:shd w:val="clear" w:color="auto" w:fill="FFF6E7"/>
            <w:vAlign w:val="center"/>
            <w:hideMark/>
          </w:tcPr>
          <w:p w14:paraId="36AAB063" w14:textId="77777777" w:rsidR="00AD3AD7" w:rsidRPr="005E3E7F" w:rsidRDefault="00AD3AD7" w:rsidP="00AD3AD7">
            <w:pPr>
              <w:jc w:val="center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Cell subsets </w:t>
            </w:r>
          </w:p>
        </w:tc>
        <w:tc>
          <w:tcPr>
            <w:tcW w:w="0" w:type="auto"/>
            <w:gridSpan w:val="2"/>
            <w:shd w:val="clear" w:color="auto" w:fill="FFF6E7"/>
            <w:vAlign w:val="center"/>
            <w:hideMark/>
          </w:tcPr>
          <w:p w14:paraId="4D3D9696" w14:textId="77777777" w:rsidR="00AD3AD7" w:rsidRPr="005E3E7F" w:rsidRDefault="00AD3AD7" w:rsidP="00AD3AD7">
            <w:pPr>
              <w:jc w:val="center"/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  <w:t>Blood</w:t>
            </w:r>
          </w:p>
        </w:tc>
        <w:tc>
          <w:tcPr>
            <w:tcW w:w="0" w:type="auto"/>
            <w:vMerge w:val="restart"/>
            <w:shd w:val="clear" w:color="auto" w:fill="FFF6E7"/>
            <w:vAlign w:val="center"/>
            <w:hideMark/>
          </w:tcPr>
          <w:p w14:paraId="4EC6E36A" w14:textId="77777777" w:rsidR="00AD3AD7" w:rsidRPr="005E3E7F" w:rsidRDefault="00AD3AD7" w:rsidP="00AD3AD7">
            <w:pPr>
              <w:jc w:val="center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i/>
                <w:iCs/>
                <w:sz w:val="21"/>
                <w:szCs w:val="21"/>
                <w:lang w:val="en-US"/>
              </w:rPr>
              <w:t xml:space="preserve">p </w:t>
            </w: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value</w:t>
            </w:r>
          </w:p>
        </w:tc>
        <w:tc>
          <w:tcPr>
            <w:tcW w:w="0" w:type="auto"/>
            <w:gridSpan w:val="2"/>
            <w:shd w:val="clear" w:color="auto" w:fill="FFF6E7"/>
            <w:vAlign w:val="center"/>
            <w:hideMark/>
          </w:tcPr>
          <w:p w14:paraId="3F0F3B11" w14:textId="77777777" w:rsidR="00AD3AD7" w:rsidRPr="005E3E7F" w:rsidRDefault="00AD3AD7" w:rsidP="00AD3AD7">
            <w:pPr>
              <w:jc w:val="center"/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  <w:t>PRF</w:t>
            </w:r>
          </w:p>
        </w:tc>
        <w:tc>
          <w:tcPr>
            <w:tcW w:w="0" w:type="auto"/>
            <w:vMerge w:val="restart"/>
            <w:shd w:val="clear" w:color="auto" w:fill="FFF6E7"/>
            <w:vAlign w:val="center"/>
            <w:hideMark/>
          </w:tcPr>
          <w:p w14:paraId="4659C1AF" w14:textId="77777777" w:rsidR="00AD3AD7" w:rsidRPr="005E3E7F" w:rsidRDefault="00AD3AD7" w:rsidP="00AD3AD7">
            <w:pPr>
              <w:jc w:val="center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i/>
                <w:iCs/>
                <w:sz w:val="21"/>
                <w:szCs w:val="21"/>
                <w:lang w:val="en-US"/>
              </w:rPr>
              <w:t>p</w:t>
            </w: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 value</w:t>
            </w:r>
          </w:p>
        </w:tc>
      </w:tr>
      <w:tr w:rsidR="00AD3AD7" w:rsidRPr="005E3E7F" w14:paraId="04326522" w14:textId="77777777" w:rsidTr="00AD6F1E">
        <w:trPr>
          <w:trHeight w:val="485"/>
        </w:trPr>
        <w:tc>
          <w:tcPr>
            <w:tcW w:w="0" w:type="auto"/>
            <w:vMerge/>
            <w:vAlign w:val="center"/>
            <w:hideMark/>
          </w:tcPr>
          <w:p w14:paraId="43A60939" w14:textId="77777777" w:rsidR="00AD3AD7" w:rsidRPr="005E3E7F" w:rsidRDefault="00AD3AD7" w:rsidP="00AD3AD7">
            <w:pPr>
              <w:jc w:val="center"/>
              <w:rPr>
                <w:rFonts w:ascii="Times" w:hAnsi="Times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FFF6E7"/>
            <w:vAlign w:val="center"/>
            <w:hideMark/>
          </w:tcPr>
          <w:p w14:paraId="53BCB070" w14:textId="21FC446F" w:rsidR="00AD3AD7" w:rsidRPr="005E3E7F" w:rsidRDefault="00AD3AD7" w:rsidP="00AD3AD7">
            <w:pPr>
              <w:jc w:val="center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Control, (</w:t>
            </w:r>
            <w:r w:rsidRPr="005E3E7F">
              <w:rPr>
                <w:rFonts w:ascii="Times" w:hAnsi="Times" w:cs="Arial"/>
                <w:i/>
                <w:iCs/>
                <w:sz w:val="21"/>
                <w:szCs w:val="21"/>
                <w:lang w:val="en-US"/>
              </w:rPr>
              <w:t>n</w:t>
            </w: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=25)</w:t>
            </w:r>
            <w:r w:rsidR="0082141C" w:rsidRPr="005E3E7F">
              <w:rPr>
                <w:sz w:val="21"/>
                <w:szCs w:val="21"/>
                <w:lang w:val="en-US"/>
              </w:rPr>
              <w:t xml:space="preserve"> </w:t>
            </w:r>
            <w:r w:rsidR="0082141C" w:rsidRPr="005E3E7F">
              <w:rPr>
                <w:sz w:val="21"/>
                <w:szCs w:val="21"/>
                <w:lang w:val="en-US"/>
              </w:rPr>
              <w:t>Mean Statistic</w:t>
            </w:r>
          </w:p>
        </w:tc>
        <w:tc>
          <w:tcPr>
            <w:tcW w:w="0" w:type="auto"/>
            <w:shd w:val="clear" w:color="auto" w:fill="FFF6E7"/>
            <w:vAlign w:val="center"/>
            <w:hideMark/>
          </w:tcPr>
          <w:p w14:paraId="08C9A5A3" w14:textId="65DA2B24" w:rsidR="00AD3AD7" w:rsidRPr="005E3E7F" w:rsidRDefault="00AD3AD7" w:rsidP="00AD3AD7">
            <w:pPr>
              <w:jc w:val="center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Periodontitis, (</w:t>
            </w:r>
            <w:r w:rsidRPr="005E3E7F">
              <w:rPr>
                <w:rFonts w:ascii="Times" w:hAnsi="Times" w:cs="Arial"/>
                <w:i/>
                <w:iCs/>
                <w:sz w:val="21"/>
                <w:szCs w:val="21"/>
                <w:lang w:val="en-US"/>
              </w:rPr>
              <w:t>n</w:t>
            </w: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=34) </w:t>
            </w:r>
            <w:r w:rsidR="0082141C" w:rsidRPr="005E3E7F">
              <w:rPr>
                <w:sz w:val="21"/>
                <w:szCs w:val="21"/>
                <w:lang w:val="en-US"/>
              </w:rPr>
              <w:t>Mean Statistic</w:t>
            </w:r>
          </w:p>
        </w:tc>
        <w:tc>
          <w:tcPr>
            <w:tcW w:w="0" w:type="auto"/>
            <w:vMerge/>
            <w:shd w:val="clear" w:color="auto" w:fill="FFF6E7"/>
            <w:vAlign w:val="center"/>
            <w:hideMark/>
          </w:tcPr>
          <w:p w14:paraId="3AE415BD" w14:textId="77777777" w:rsidR="00AD3AD7" w:rsidRPr="005E3E7F" w:rsidRDefault="00AD3AD7" w:rsidP="00AD3AD7">
            <w:pPr>
              <w:jc w:val="center"/>
              <w:rPr>
                <w:rFonts w:ascii="Times" w:hAnsi="Times"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FFF6E7"/>
            <w:vAlign w:val="center"/>
            <w:hideMark/>
          </w:tcPr>
          <w:p w14:paraId="5B22BDFD" w14:textId="489BA92D" w:rsidR="00AD3AD7" w:rsidRPr="005E3E7F" w:rsidRDefault="00AD3AD7" w:rsidP="00AD3AD7">
            <w:pPr>
              <w:jc w:val="center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Control, (n=25)</w:t>
            </w:r>
            <w:r w:rsidR="0082141C" w:rsidRPr="005E3E7F">
              <w:rPr>
                <w:sz w:val="21"/>
                <w:szCs w:val="21"/>
                <w:lang w:val="en-US"/>
              </w:rPr>
              <w:t xml:space="preserve"> </w:t>
            </w:r>
            <w:r w:rsidR="0082141C" w:rsidRPr="005E3E7F">
              <w:rPr>
                <w:sz w:val="21"/>
                <w:szCs w:val="21"/>
                <w:lang w:val="en-US"/>
              </w:rPr>
              <w:t>Mean Statistic</w:t>
            </w:r>
          </w:p>
        </w:tc>
        <w:tc>
          <w:tcPr>
            <w:tcW w:w="0" w:type="auto"/>
            <w:shd w:val="clear" w:color="auto" w:fill="FFF6E7"/>
            <w:vAlign w:val="center"/>
            <w:hideMark/>
          </w:tcPr>
          <w:p w14:paraId="5EDF73F1" w14:textId="340EB4F0" w:rsidR="00AD3AD7" w:rsidRPr="005E3E7F" w:rsidRDefault="00AD3AD7" w:rsidP="00AD3AD7">
            <w:pPr>
              <w:jc w:val="center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Periodontitis, (n=34)</w:t>
            </w:r>
            <w:r w:rsidR="0082141C" w:rsidRPr="005E3E7F">
              <w:rPr>
                <w:sz w:val="21"/>
                <w:szCs w:val="21"/>
                <w:lang w:val="en-US"/>
              </w:rPr>
              <w:t xml:space="preserve"> </w:t>
            </w:r>
            <w:r w:rsidR="0082141C" w:rsidRPr="005E3E7F">
              <w:rPr>
                <w:sz w:val="21"/>
                <w:szCs w:val="21"/>
                <w:lang w:val="en-US"/>
              </w:rPr>
              <w:t>Mean Statistic</w:t>
            </w:r>
            <w:r w:rsidR="0082141C"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 </w:t>
            </w: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14:paraId="3D6FC702" w14:textId="77777777" w:rsidR="00AD3AD7" w:rsidRPr="005E3E7F" w:rsidRDefault="00AD3AD7" w:rsidP="00AD3AD7">
            <w:pPr>
              <w:jc w:val="center"/>
              <w:rPr>
                <w:rFonts w:ascii="Times" w:hAnsi="Times" w:cs="Arial"/>
                <w:sz w:val="21"/>
                <w:szCs w:val="21"/>
                <w:lang w:val="en-US"/>
              </w:rPr>
            </w:pPr>
          </w:p>
        </w:tc>
      </w:tr>
      <w:tr w:rsidR="00AD3AD7" w:rsidRPr="005E3E7F" w14:paraId="6D0434E9" w14:textId="77777777" w:rsidTr="00AD6F1E">
        <w:trPr>
          <w:trHeight w:val="485"/>
        </w:trPr>
        <w:tc>
          <w:tcPr>
            <w:tcW w:w="0" w:type="auto"/>
            <w:shd w:val="clear" w:color="auto" w:fill="auto"/>
            <w:vAlign w:val="center"/>
            <w:hideMark/>
          </w:tcPr>
          <w:p w14:paraId="1C5E6ED1" w14:textId="77777777" w:rsidR="00AD3AD7" w:rsidRPr="005E3E7F" w:rsidRDefault="00AD3AD7" w:rsidP="00AD3AD7">
            <w:pPr>
              <w:jc w:val="right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CD3+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CE1ADE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754.88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E9B9C7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882.65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88B5FA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0.662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B9F184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1478.04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73298C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1466.56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0DBC79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0.881</w:t>
            </w:r>
          </w:p>
        </w:tc>
      </w:tr>
      <w:tr w:rsidR="00AD3AD7" w:rsidRPr="005E3E7F" w14:paraId="3EF356FA" w14:textId="77777777" w:rsidTr="00AD6F1E">
        <w:trPr>
          <w:trHeight w:val="485"/>
        </w:trPr>
        <w:tc>
          <w:tcPr>
            <w:tcW w:w="0" w:type="auto"/>
            <w:shd w:val="clear" w:color="auto" w:fill="auto"/>
            <w:vAlign w:val="center"/>
            <w:hideMark/>
          </w:tcPr>
          <w:p w14:paraId="556ECF5F" w14:textId="77777777" w:rsidR="00AD3AD7" w:rsidRPr="005E3E7F" w:rsidRDefault="00AD3AD7" w:rsidP="00AD3AD7">
            <w:pPr>
              <w:jc w:val="right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CD3+, CD4+, CD8+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164BC0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24.12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64CF3A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36.94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6ED30A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0.425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A300D9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82.38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452FC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69.82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D05254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0.399</w:t>
            </w:r>
          </w:p>
        </w:tc>
      </w:tr>
      <w:tr w:rsidR="00AD3AD7" w:rsidRPr="005E3E7F" w14:paraId="67812693" w14:textId="77777777" w:rsidTr="00AD6F1E">
        <w:trPr>
          <w:trHeight w:val="485"/>
        </w:trPr>
        <w:tc>
          <w:tcPr>
            <w:tcW w:w="0" w:type="auto"/>
            <w:shd w:val="clear" w:color="auto" w:fill="auto"/>
            <w:vAlign w:val="center"/>
            <w:hideMark/>
          </w:tcPr>
          <w:p w14:paraId="185C9555" w14:textId="77777777" w:rsidR="00AD3AD7" w:rsidRPr="005E3E7F" w:rsidRDefault="00AD3AD7" w:rsidP="00AD3AD7">
            <w:pPr>
              <w:jc w:val="right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CD3+CD4+CD8-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D98F8F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473.48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524D5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530.74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42EEF2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0.872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D5A584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1027.5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3B6622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1028.38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CA147F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0.748</w:t>
            </w:r>
          </w:p>
        </w:tc>
      </w:tr>
      <w:tr w:rsidR="00AD3AD7" w:rsidRPr="005E3E7F" w14:paraId="17AC98D2" w14:textId="77777777" w:rsidTr="00AD6F1E">
        <w:trPr>
          <w:trHeight w:val="485"/>
        </w:trPr>
        <w:tc>
          <w:tcPr>
            <w:tcW w:w="0" w:type="auto"/>
            <w:shd w:val="clear" w:color="auto" w:fill="auto"/>
            <w:vAlign w:val="center"/>
            <w:hideMark/>
          </w:tcPr>
          <w:p w14:paraId="60B1B875" w14:textId="77777777" w:rsidR="00AD3AD7" w:rsidRPr="005E3E7F" w:rsidRDefault="00AD3AD7" w:rsidP="00AD3AD7">
            <w:pPr>
              <w:jc w:val="right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CD3+CD4-CD8+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FE3F4A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20.60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CECB1A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37.50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52A0C0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0.174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EDCCB4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37.65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D2DF0D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37.79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C3980B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0.433</w:t>
            </w:r>
          </w:p>
        </w:tc>
      </w:tr>
      <w:tr w:rsidR="00AD3AD7" w:rsidRPr="005E3E7F" w14:paraId="045E887A" w14:textId="77777777" w:rsidTr="00AD6F1E">
        <w:trPr>
          <w:trHeight w:val="485"/>
        </w:trPr>
        <w:tc>
          <w:tcPr>
            <w:tcW w:w="0" w:type="auto"/>
            <w:shd w:val="clear" w:color="auto" w:fill="auto"/>
            <w:vAlign w:val="center"/>
            <w:hideMark/>
          </w:tcPr>
          <w:p w14:paraId="536F6AF5" w14:textId="77777777" w:rsidR="00AD3AD7" w:rsidRPr="005E3E7F" w:rsidRDefault="00AD3AD7" w:rsidP="00AD3AD7">
            <w:pPr>
              <w:jc w:val="right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CD14+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671B75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618.68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954B45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393.97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7561F9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0.167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3C4102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999.81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6C25F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1278.97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AB656C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0.952</w:t>
            </w:r>
          </w:p>
        </w:tc>
      </w:tr>
      <w:tr w:rsidR="00AD3AD7" w:rsidRPr="005E3E7F" w14:paraId="559E7C69" w14:textId="77777777" w:rsidTr="00AD6F1E">
        <w:trPr>
          <w:trHeight w:val="485"/>
        </w:trPr>
        <w:tc>
          <w:tcPr>
            <w:tcW w:w="0" w:type="auto"/>
            <w:shd w:val="clear" w:color="auto" w:fill="auto"/>
            <w:vAlign w:val="center"/>
            <w:hideMark/>
          </w:tcPr>
          <w:p w14:paraId="39A65231" w14:textId="77777777" w:rsidR="00AD3AD7" w:rsidRPr="005E3E7F" w:rsidRDefault="00AD3AD7" w:rsidP="00AD3AD7">
            <w:pPr>
              <w:jc w:val="right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CD21+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ABF02B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699.40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296C07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483.15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220A2D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0.326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ED650D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165.69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4A4B36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260.41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425E3" w14:textId="77777777" w:rsidR="00AD3AD7" w:rsidRPr="005E3E7F" w:rsidRDefault="00AD3AD7" w:rsidP="00AD3AD7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0.771</w:t>
            </w:r>
          </w:p>
        </w:tc>
      </w:tr>
    </w:tbl>
    <w:p w14:paraId="0B944391" w14:textId="65D8B64E" w:rsidR="00AD3AD7" w:rsidRDefault="00AD3AD7"/>
    <w:p w14:paraId="15831257" w14:textId="67AB1955" w:rsidR="00AD3AD7" w:rsidRDefault="00AD3AD7" w:rsidP="00AD3AD7">
      <w:pPr>
        <w:rPr>
          <w:sz w:val="21"/>
          <w:szCs w:val="21"/>
          <w:lang w:val="en-US"/>
        </w:rPr>
      </w:pPr>
      <w:r>
        <w:rPr>
          <w:rFonts w:ascii="Times" w:hAnsi="Times"/>
          <w:b/>
          <w:bCs/>
          <w:sz w:val="20"/>
          <w:szCs w:val="20"/>
          <w:lang w:val="en-US"/>
        </w:rPr>
        <w:t>Table S2.</w:t>
      </w:r>
      <w:r w:rsidRPr="00FE0098">
        <w:rPr>
          <w:rFonts w:ascii="Times" w:hAnsi="Times" w:cs="Arial"/>
          <w:sz w:val="21"/>
          <w:szCs w:val="21"/>
          <w:lang w:val="en-US"/>
        </w:rPr>
        <w:t xml:space="preserve"> </w:t>
      </w:r>
      <w:r>
        <w:rPr>
          <w:sz w:val="21"/>
          <w:szCs w:val="21"/>
          <w:lang w:val="en-US"/>
        </w:rPr>
        <w:t>PMBC</w:t>
      </w:r>
      <w:r w:rsidRPr="005E3E7F">
        <w:rPr>
          <w:sz w:val="21"/>
          <w:szCs w:val="21"/>
          <w:lang w:val="en-US"/>
        </w:rPr>
        <w:t xml:space="preserve"> subsets in neoplasia group and canines affected by only periodontitis</w:t>
      </w:r>
      <w:r>
        <w:rPr>
          <w:sz w:val="21"/>
          <w:szCs w:val="21"/>
          <w:lang w:val="en-US"/>
        </w:rPr>
        <w:t xml:space="preserve"> whole</w:t>
      </w:r>
      <w:r w:rsidRPr="005E3E7F">
        <w:rPr>
          <w:sz w:val="21"/>
          <w:szCs w:val="21"/>
          <w:lang w:val="en-US"/>
        </w:rPr>
        <w:t xml:space="preserve"> blood and PRF samples</w:t>
      </w:r>
      <w:r>
        <w:rPr>
          <w:sz w:val="21"/>
          <w:szCs w:val="21"/>
          <w:lang w:val="en-US"/>
        </w:rPr>
        <w:t>.</w:t>
      </w:r>
    </w:p>
    <w:p w14:paraId="039A23C0" w14:textId="77777777" w:rsidR="00AD3AD7" w:rsidRDefault="00AD3AD7" w:rsidP="00AD3AD7">
      <w:pPr>
        <w:rPr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26"/>
        <w:gridCol w:w="1507"/>
        <w:gridCol w:w="1446"/>
        <w:gridCol w:w="697"/>
        <w:gridCol w:w="1507"/>
        <w:gridCol w:w="1446"/>
        <w:gridCol w:w="697"/>
      </w:tblGrid>
      <w:tr w:rsidR="00AD3AD7" w:rsidRPr="005E3E7F" w14:paraId="7C952F87" w14:textId="77777777" w:rsidTr="00D1592E">
        <w:trPr>
          <w:trHeight w:val="320"/>
        </w:trPr>
        <w:tc>
          <w:tcPr>
            <w:tcW w:w="0" w:type="auto"/>
            <w:vMerge w:val="restart"/>
            <w:shd w:val="clear" w:color="auto" w:fill="FFF6E7"/>
            <w:vAlign w:val="center"/>
            <w:hideMark/>
          </w:tcPr>
          <w:p w14:paraId="2CBBCD67" w14:textId="77777777" w:rsidR="00AD3AD7" w:rsidRPr="005E3E7F" w:rsidRDefault="00AD3AD7" w:rsidP="00D1592E">
            <w:pPr>
              <w:jc w:val="center"/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 xml:space="preserve">Cell subsets </w:t>
            </w:r>
          </w:p>
        </w:tc>
        <w:tc>
          <w:tcPr>
            <w:tcW w:w="0" w:type="auto"/>
            <w:gridSpan w:val="2"/>
            <w:shd w:val="clear" w:color="auto" w:fill="FFF6E7"/>
            <w:vAlign w:val="center"/>
            <w:hideMark/>
          </w:tcPr>
          <w:p w14:paraId="3BC3C2DB" w14:textId="77777777" w:rsidR="00AD3AD7" w:rsidRPr="00AD3AD7" w:rsidRDefault="00AD3AD7" w:rsidP="00D159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AD3AD7">
              <w:rPr>
                <w:b/>
                <w:bCs/>
                <w:sz w:val="21"/>
                <w:szCs w:val="21"/>
                <w:lang w:val="en-US"/>
              </w:rPr>
              <w:t>Blood</w:t>
            </w:r>
          </w:p>
        </w:tc>
        <w:tc>
          <w:tcPr>
            <w:tcW w:w="0" w:type="auto"/>
            <w:vMerge w:val="restart"/>
            <w:shd w:val="clear" w:color="auto" w:fill="FFF6E7"/>
            <w:vAlign w:val="center"/>
            <w:hideMark/>
          </w:tcPr>
          <w:p w14:paraId="60172E9D" w14:textId="77777777" w:rsidR="00AD3AD7" w:rsidRPr="005E3E7F" w:rsidRDefault="00AD3AD7" w:rsidP="00D1592E">
            <w:pPr>
              <w:jc w:val="center"/>
              <w:rPr>
                <w:sz w:val="21"/>
                <w:szCs w:val="21"/>
                <w:lang w:val="en-US"/>
              </w:rPr>
            </w:pPr>
            <w:r w:rsidRPr="005E3E7F">
              <w:rPr>
                <w:i/>
                <w:iCs/>
                <w:sz w:val="21"/>
                <w:szCs w:val="21"/>
                <w:lang w:val="en-US"/>
              </w:rPr>
              <w:t>p</w:t>
            </w:r>
            <w:r w:rsidRPr="005E3E7F">
              <w:rPr>
                <w:sz w:val="21"/>
                <w:szCs w:val="21"/>
                <w:lang w:val="en-US"/>
              </w:rPr>
              <w:t xml:space="preserve"> value</w:t>
            </w:r>
          </w:p>
        </w:tc>
        <w:tc>
          <w:tcPr>
            <w:tcW w:w="0" w:type="auto"/>
            <w:gridSpan w:val="2"/>
            <w:shd w:val="clear" w:color="auto" w:fill="FFF6E7"/>
            <w:vAlign w:val="center"/>
            <w:hideMark/>
          </w:tcPr>
          <w:p w14:paraId="74641BD1" w14:textId="77777777" w:rsidR="00AD3AD7" w:rsidRPr="00AD3AD7" w:rsidRDefault="00AD3AD7" w:rsidP="00D159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AD3AD7">
              <w:rPr>
                <w:b/>
                <w:bCs/>
                <w:sz w:val="21"/>
                <w:szCs w:val="21"/>
                <w:lang w:val="en-US"/>
              </w:rPr>
              <w:t>PRF</w:t>
            </w:r>
          </w:p>
        </w:tc>
        <w:tc>
          <w:tcPr>
            <w:tcW w:w="0" w:type="auto"/>
            <w:vMerge w:val="restart"/>
            <w:shd w:val="clear" w:color="auto" w:fill="FFF6E7"/>
            <w:vAlign w:val="center"/>
            <w:hideMark/>
          </w:tcPr>
          <w:p w14:paraId="3F8C1883" w14:textId="77777777" w:rsidR="00AD3AD7" w:rsidRPr="005E3E7F" w:rsidRDefault="00AD3AD7" w:rsidP="00D1592E">
            <w:pPr>
              <w:jc w:val="center"/>
              <w:rPr>
                <w:sz w:val="21"/>
                <w:szCs w:val="21"/>
                <w:lang w:val="en-US"/>
              </w:rPr>
            </w:pPr>
            <w:r w:rsidRPr="005E3E7F">
              <w:rPr>
                <w:i/>
                <w:iCs/>
                <w:sz w:val="21"/>
                <w:szCs w:val="21"/>
                <w:lang w:val="en-US"/>
              </w:rPr>
              <w:t>p</w:t>
            </w:r>
            <w:r w:rsidRPr="005E3E7F">
              <w:rPr>
                <w:sz w:val="21"/>
                <w:szCs w:val="21"/>
                <w:lang w:val="en-US"/>
              </w:rPr>
              <w:t xml:space="preserve"> value</w:t>
            </w:r>
          </w:p>
        </w:tc>
      </w:tr>
      <w:tr w:rsidR="00AD3AD7" w:rsidRPr="005E3E7F" w14:paraId="5B53BCF2" w14:textId="77777777" w:rsidTr="00D1592E">
        <w:trPr>
          <w:trHeight w:val="909"/>
        </w:trPr>
        <w:tc>
          <w:tcPr>
            <w:tcW w:w="0" w:type="auto"/>
            <w:vMerge/>
            <w:shd w:val="clear" w:color="auto" w:fill="FFF6E7"/>
            <w:vAlign w:val="center"/>
            <w:hideMark/>
          </w:tcPr>
          <w:p w14:paraId="024D5B5D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FFF6E7"/>
            <w:vAlign w:val="center"/>
            <w:hideMark/>
          </w:tcPr>
          <w:p w14:paraId="6CB6A213" w14:textId="57C27161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Neoplasia and periodontitis, (</w:t>
            </w:r>
            <w:r w:rsidRPr="005E3E7F">
              <w:rPr>
                <w:i/>
                <w:iCs/>
                <w:sz w:val="21"/>
                <w:szCs w:val="21"/>
                <w:lang w:val="en-US"/>
              </w:rPr>
              <w:t>n</w:t>
            </w:r>
            <w:r w:rsidRPr="005E3E7F">
              <w:rPr>
                <w:sz w:val="21"/>
                <w:szCs w:val="21"/>
                <w:lang w:val="en-US"/>
              </w:rPr>
              <w:t>=17), Mean Statistic</w:t>
            </w:r>
          </w:p>
        </w:tc>
        <w:tc>
          <w:tcPr>
            <w:tcW w:w="0" w:type="auto"/>
            <w:shd w:val="clear" w:color="auto" w:fill="FFF6E7"/>
            <w:vAlign w:val="center"/>
            <w:hideMark/>
          </w:tcPr>
          <w:p w14:paraId="3574A1F3" w14:textId="59A2DB43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Periodontitis, (</w:t>
            </w:r>
            <w:r w:rsidRPr="005E3E7F">
              <w:rPr>
                <w:i/>
                <w:iCs/>
                <w:sz w:val="21"/>
                <w:szCs w:val="21"/>
                <w:lang w:val="en-US"/>
              </w:rPr>
              <w:t>n</w:t>
            </w:r>
            <w:r w:rsidRPr="005E3E7F">
              <w:rPr>
                <w:sz w:val="21"/>
                <w:szCs w:val="21"/>
                <w:lang w:val="en-US"/>
              </w:rPr>
              <w:t>=17) Mean Statistic</w:t>
            </w:r>
          </w:p>
        </w:tc>
        <w:tc>
          <w:tcPr>
            <w:tcW w:w="0" w:type="auto"/>
            <w:vMerge/>
            <w:shd w:val="clear" w:color="auto" w:fill="FFF6E7"/>
            <w:vAlign w:val="center"/>
            <w:hideMark/>
          </w:tcPr>
          <w:p w14:paraId="5675B92C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shd w:val="clear" w:color="auto" w:fill="FFF6E7"/>
            <w:vAlign w:val="center"/>
            <w:hideMark/>
          </w:tcPr>
          <w:p w14:paraId="7D4DBB47" w14:textId="4B42049D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Neoplasia and periodontitis, (</w:t>
            </w:r>
            <w:r w:rsidRPr="005E3E7F">
              <w:rPr>
                <w:i/>
                <w:iCs/>
                <w:sz w:val="21"/>
                <w:szCs w:val="21"/>
                <w:lang w:val="en-US"/>
              </w:rPr>
              <w:t>n</w:t>
            </w:r>
            <w:r w:rsidRPr="005E3E7F">
              <w:rPr>
                <w:sz w:val="21"/>
                <w:szCs w:val="21"/>
                <w:lang w:val="en-US"/>
              </w:rPr>
              <w:t>=17), Mean Statistic</w:t>
            </w:r>
          </w:p>
        </w:tc>
        <w:tc>
          <w:tcPr>
            <w:tcW w:w="0" w:type="auto"/>
            <w:shd w:val="clear" w:color="auto" w:fill="FFF6E7"/>
            <w:vAlign w:val="center"/>
            <w:hideMark/>
          </w:tcPr>
          <w:p w14:paraId="2A167B05" w14:textId="5984807C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Periodontitis, (</w:t>
            </w:r>
            <w:r w:rsidRPr="005E3E7F">
              <w:rPr>
                <w:i/>
                <w:iCs/>
                <w:sz w:val="21"/>
                <w:szCs w:val="21"/>
                <w:lang w:val="en-US"/>
              </w:rPr>
              <w:t>n</w:t>
            </w:r>
            <w:r w:rsidRPr="005E3E7F">
              <w:rPr>
                <w:sz w:val="21"/>
                <w:szCs w:val="21"/>
                <w:lang w:val="en-US"/>
              </w:rPr>
              <w:t>=17) Mean Statistic</w:t>
            </w:r>
          </w:p>
        </w:tc>
        <w:tc>
          <w:tcPr>
            <w:tcW w:w="0" w:type="auto"/>
            <w:vMerge/>
            <w:shd w:val="clear" w:color="auto" w:fill="FFF6E7"/>
            <w:vAlign w:val="center"/>
            <w:hideMark/>
          </w:tcPr>
          <w:p w14:paraId="3B7A3BC5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</w:p>
        </w:tc>
      </w:tr>
      <w:tr w:rsidR="00AD3AD7" w:rsidRPr="005E3E7F" w14:paraId="41822CF0" w14:textId="77777777" w:rsidTr="00D1592E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36847B96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 xml:space="preserve">CD3+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860402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798.24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548464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967.06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67A4A1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0.593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238616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1514.59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DBCC6A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1418.53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3DD0DB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0.563</w:t>
            </w:r>
          </w:p>
        </w:tc>
      </w:tr>
      <w:tr w:rsidR="00AD3AD7" w:rsidRPr="005E3E7F" w14:paraId="257CF098" w14:textId="77777777" w:rsidTr="00D1592E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3A02C2B0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 xml:space="preserve">CD3+, CD4+, CD8+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3A911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24.24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A99D76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49.65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0A78C2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0.098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7697D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69.94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26D766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69.71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22289D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0.757</w:t>
            </w:r>
          </w:p>
        </w:tc>
      </w:tr>
      <w:tr w:rsidR="00AD3AD7" w:rsidRPr="005E3E7F" w14:paraId="5343D60C" w14:textId="77777777" w:rsidTr="00D1592E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4526BDBA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 xml:space="preserve">CD3+CD4+CD8-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495F7C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524.35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E10CDC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537.12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B734A8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0.959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6BD7B1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1136.12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3E5FCB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920.65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EDB4F4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0.102</w:t>
            </w:r>
          </w:p>
        </w:tc>
      </w:tr>
      <w:tr w:rsidR="00AD3AD7" w:rsidRPr="005E3E7F" w14:paraId="5D1D972C" w14:textId="77777777" w:rsidTr="00D1592E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6C77694B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 xml:space="preserve">CD3+CD4-CD8+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0F4168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30.35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4D00A2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44.65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1E1621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0.301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43AA35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37.65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E59243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37.94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28FA78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0.918</w:t>
            </w:r>
          </w:p>
        </w:tc>
      </w:tr>
      <w:tr w:rsidR="00AD3AD7" w:rsidRPr="005E3E7F" w14:paraId="0CE23EC6" w14:textId="77777777" w:rsidTr="00D1592E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33D5B0F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 xml:space="preserve">CD14+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DB33C0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423.29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5D3CC5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364.65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F11A53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0.535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8BA3F0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1395.71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1D1A76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1162.24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8CFD68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0.959</w:t>
            </w:r>
          </w:p>
        </w:tc>
      </w:tr>
      <w:tr w:rsidR="00AD3AD7" w:rsidRPr="005E3E7F" w14:paraId="44D89893" w14:textId="77777777" w:rsidTr="00D1592E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E8EEA0D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CD21+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5D070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487.18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0A18BF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479.12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646335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0.469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3E99A3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341.94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98AA3A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178.88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C74CC3" w14:textId="77777777" w:rsidR="00AD3AD7" w:rsidRPr="005E3E7F" w:rsidRDefault="00AD3AD7" w:rsidP="00D1592E">
            <w:pPr>
              <w:rPr>
                <w:sz w:val="21"/>
                <w:szCs w:val="21"/>
                <w:lang w:val="en-US"/>
              </w:rPr>
            </w:pPr>
            <w:r w:rsidRPr="005E3E7F">
              <w:rPr>
                <w:sz w:val="21"/>
                <w:szCs w:val="21"/>
                <w:lang w:val="en-US"/>
              </w:rPr>
              <w:t>0.946</w:t>
            </w:r>
          </w:p>
        </w:tc>
      </w:tr>
    </w:tbl>
    <w:p w14:paraId="325C0929" w14:textId="77777777" w:rsidR="00AD3AD7" w:rsidRPr="00136B97" w:rsidRDefault="00AD3AD7" w:rsidP="00AD3AD7">
      <w:pPr>
        <w:rPr>
          <w:rFonts w:ascii="Times" w:hAnsi="Times"/>
          <w:b/>
          <w:bCs/>
          <w:sz w:val="20"/>
          <w:szCs w:val="20"/>
          <w:lang w:val="en-US"/>
        </w:rPr>
      </w:pPr>
    </w:p>
    <w:p w14:paraId="77131505" w14:textId="1FF06795" w:rsidR="00AD3AD7" w:rsidRDefault="00AD3AD7" w:rsidP="00AD3AD7">
      <w:pPr>
        <w:rPr>
          <w:rFonts w:ascii="Times" w:hAnsi="Times"/>
          <w:sz w:val="20"/>
          <w:szCs w:val="20"/>
          <w:lang w:val="en-US"/>
        </w:rPr>
      </w:pPr>
      <w:r>
        <w:rPr>
          <w:rFonts w:ascii="Times" w:hAnsi="Times"/>
          <w:b/>
          <w:bCs/>
          <w:sz w:val="20"/>
          <w:szCs w:val="20"/>
          <w:lang w:val="en-US"/>
        </w:rPr>
        <w:t>Table S</w:t>
      </w:r>
      <w:r w:rsidR="00867CCD">
        <w:rPr>
          <w:rFonts w:ascii="Times" w:hAnsi="Times"/>
          <w:b/>
          <w:bCs/>
          <w:sz w:val="20"/>
          <w:szCs w:val="20"/>
          <w:lang w:val="en-US"/>
        </w:rPr>
        <w:t>3</w:t>
      </w:r>
      <w:r>
        <w:rPr>
          <w:rFonts w:ascii="Times" w:hAnsi="Times"/>
          <w:b/>
          <w:bCs/>
          <w:sz w:val="20"/>
          <w:szCs w:val="20"/>
          <w:lang w:val="en-US"/>
        </w:rPr>
        <w:t>.</w:t>
      </w:r>
      <w:r w:rsidRPr="00AD3AD7">
        <w:rPr>
          <w:sz w:val="21"/>
          <w:szCs w:val="21"/>
          <w:lang w:val="en-US"/>
        </w:rPr>
        <w:t xml:space="preserve"> </w:t>
      </w:r>
      <w:r w:rsidRPr="005E3E7F">
        <w:rPr>
          <w:rFonts w:ascii="Times" w:hAnsi="Times"/>
          <w:sz w:val="20"/>
          <w:szCs w:val="20"/>
          <w:lang w:val="en-US"/>
        </w:rPr>
        <w:t xml:space="preserve">Comparison of </w:t>
      </w:r>
      <w:r>
        <w:rPr>
          <w:rFonts w:ascii="Times" w:hAnsi="Times"/>
          <w:sz w:val="20"/>
          <w:szCs w:val="20"/>
          <w:lang w:val="en-US"/>
        </w:rPr>
        <w:t>PMBC</w:t>
      </w:r>
      <w:r w:rsidRPr="005E3E7F">
        <w:rPr>
          <w:rFonts w:ascii="Times" w:hAnsi="Times"/>
          <w:sz w:val="20"/>
          <w:szCs w:val="20"/>
          <w:lang w:val="en-US"/>
        </w:rPr>
        <w:t xml:space="preserve"> subsets in PRF and whole blood samples in control group and canine patients affected by periodontitis. </w:t>
      </w:r>
    </w:p>
    <w:p w14:paraId="5FC5ADC6" w14:textId="77777777" w:rsidR="00AD3AD7" w:rsidRDefault="00AD3AD7" w:rsidP="00AD3AD7">
      <w:pPr>
        <w:rPr>
          <w:sz w:val="21"/>
          <w:szCs w:val="21"/>
          <w:lang w:val="en-US"/>
        </w:rPr>
      </w:pPr>
    </w:p>
    <w:tbl>
      <w:tblPr>
        <w:tblW w:w="9130" w:type="dxa"/>
        <w:tblLook w:val="04A0" w:firstRow="1" w:lastRow="0" w:firstColumn="1" w:lastColumn="0" w:noHBand="0" w:noVBand="1"/>
      </w:tblPr>
      <w:tblGrid>
        <w:gridCol w:w="1689"/>
        <w:gridCol w:w="1243"/>
        <w:gridCol w:w="1244"/>
        <w:gridCol w:w="1095"/>
        <w:gridCol w:w="1267"/>
        <w:gridCol w:w="1357"/>
        <w:gridCol w:w="1235"/>
      </w:tblGrid>
      <w:tr w:rsidR="00AD3AD7" w:rsidRPr="005E3E7F" w14:paraId="0D242B98" w14:textId="77777777" w:rsidTr="00AD3AD7">
        <w:trPr>
          <w:trHeight w:val="340"/>
        </w:trPr>
        <w:tc>
          <w:tcPr>
            <w:tcW w:w="1689" w:type="dxa"/>
            <w:tcBorders>
              <w:left w:val="nil"/>
              <w:right w:val="nil"/>
            </w:tcBorders>
            <w:shd w:val="clear" w:color="auto" w:fill="FFF6E7"/>
            <w:vAlign w:val="center"/>
            <w:hideMark/>
          </w:tcPr>
          <w:p w14:paraId="15D20FBB" w14:textId="77777777" w:rsidR="00AD3AD7" w:rsidRPr="005E3E7F" w:rsidRDefault="00AD3AD7" w:rsidP="00D1592E">
            <w:pPr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Lymphocyte subsets </w:t>
            </w:r>
          </w:p>
        </w:tc>
        <w:tc>
          <w:tcPr>
            <w:tcW w:w="3582" w:type="dxa"/>
            <w:gridSpan w:val="3"/>
            <w:tcBorders>
              <w:left w:val="nil"/>
              <w:right w:val="nil"/>
            </w:tcBorders>
            <w:shd w:val="clear" w:color="auto" w:fill="FFF6E7"/>
            <w:vAlign w:val="center"/>
            <w:hideMark/>
          </w:tcPr>
          <w:p w14:paraId="36B24177" w14:textId="3240B682" w:rsidR="00AD3AD7" w:rsidRPr="00AD6F1E" w:rsidRDefault="00AD3AD7" w:rsidP="00D1592E">
            <w:pPr>
              <w:ind w:right="268"/>
              <w:jc w:val="center"/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</w:pPr>
            <w:r w:rsidRPr="00AD6F1E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>Control (</w:t>
            </w:r>
            <w:r w:rsidRPr="00AD6F1E">
              <w:rPr>
                <w:rFonts w:ascii="Times" w:hAnsi="Times" w:cs="Arial"/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AD6F1E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 xml:space="preserve">=25), Means </w:t>
            </w:r>
          </w:p>
        </w:tc>
        <w:tc>
          <w:tcPr>
            <w:tcW w:w="3859" w:type="dxa"/>
            <w:gridSpan w:val="3"/>
            <w:tcBorders>
              <w:left w:val="nil"/>
            </w:tcBorders>
            <w:shd w:val="clear" w:color="auto" w:fill="FFF6E7"/>
            <w:vAlign w:val="center"/>
            <w:hideMark/>
          </w:tcPr>
          <w:p w14:paraId="6F864579" w14:textId="77A661D4" w:rsidR="00AD3AD7" w:rsidRPr="00AD6F1E" w:rsidRDefault="00AD3AD7" w:rsidP="00D1592E">
            <w:pPr>
              <w:jc w:val="center"/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</w:pPr>
            <w:r w:rsidRPr="00AD6F1E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>Periodontitis (</w:t>
            </w:r>
            <w:r w:rsidRPr="00AD6F1E">
              <w:rPr>
                <w:rFonts w:ascii="Times" w:hAnsi="Times" w:cs="Arial"/>
                <w:b/>
                <w:bCs/>
                <w:i/>
                <w:iCs/>
                <w:sz w:val="20"/>
                <w:szCs w:val="20"/>
                <w:lang w:val="en-US"/>
              </w:rPr>
              <w:t>n</w:t>
            </w:r>
            <w:r w:rsidRPr="00AD6F1E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>=34), Means</w:t>
            </w:r>
          </w:p>
        </w:tc>
      </w:tr>
      <w:tr w:rsidR="00AD3AD7" w:rsidRPr="005E3E7F" w14:paraId="76B33979" w14:textId="77777777" w:rsidTr="00AD3AD7">
        <w:trPr>
          <w:trHeight w:val="340"/>
        </w:trPr>
        <w:tc>
          <w:tcPr>
            <w:tcW w:w="1689" w:type="dxa"/>
            <w:tcBorders>
              <w:left w:val="nil"/>
              <w:right w:val="nil"/>
            </w:tcBorders>
            <w:shd w:val="clear" w:color="auto" w:fill="FFF6E7"/>
            <w:vAlign w:val="center"/>
            <w:hideMark/>
          </w:tcPr>
          <w:p w14:paraId="3FA92AC7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</w:p>
        </w:tc>
        <w:tc>
          <w:tcPr>
            <w:tcW w:w="1243" w:type="dxa"/>
            <w:tcBorders>
              <w:left w:val="nil"/>
              <w:right w:val="nil"/>
            </w:tcBorders>
            <w:shd w:val="clear" w:color="auto" w:fill="FFF6E7"/>
            <w:vAlign w:val="center"/>
            <w:hideMark/>
          </w:tcPr>
          <w:p w14:paraId="57DAF5D9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244" w:type="dxa"/>
            <w:tcBorders>
              <w:left w:val="nil"/>
              <w:right w:val="nil"/>
            </w:tcBorders>
            <w:shd w:val="clear" w:color="auto" w:fill="FFF6E7"/>
            <w:vAlign w:val="center"/>
            <w:hideMark/>
          </w:tcPr>
          <w:p w14:paraId="061672B5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PRF</w:t>
            </w:r>
          </w:p>
        </w:tc>
        <w:tc>
          <w:tcPr>
            <w:tcW w:w="1095" w:type="dxa"/>
            <w:tcBorders>
              <w:left w:val="nil"/>
              <w:right w:val="nil"/>
            </w:tcBorders>
            <w:shd w:val="clear" w:color="auto" w:fill="FFF6E7"/>
            <w:vAlign w:val="center"/>
            <w:hideMark/>
          </w:tcPr>
          <w:p w14:paraId="263B3A4F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i/>
                <w:iCs/>
                <w:sz w:val="20"/>
                <w:szCs w:val="20"/>
                <w:lang w:val="en-US"/>
              </w:rPr>
              <w:t>p</w:t>
            </w: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FF6E7"/>
            <w:vAlign w:val="center"/>
            <w:hideMark/>
          </w:tcPr>
          <w:p w14:paraId="4938B726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357" w:type="dxa"/>
            <w:tcBorders>
              <w:left w:val="nil"/>
              <w:right w:val="nil"/>
            </w:tcBorders>
            <w:shd w:val="clear" w:color="auto" w:fill="FFF6E7"/>
            <w:vAlign w:val="center"/>
            <w:hideMark/>
          </w:tcPr>
          <w:p w14:paraId="1FD70D77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PRF</w:t>
            </w:r>
          </w:p>
        </w:tc>
        <w:tc>
          <w:tcPr>
            <w:tcW w:w="1235" w:type="dxa"/>
            <w:tcBorders>
              <w:left w:val="nil"/>
            </w:tcBorders>
            <w:shd w:val="clear" w:color="auto" w:fill="FFF6E7"/>
            <w:vAlign w:val="center"/>
            <w:hideMark/>
          </w:tcPr>
          <w:p w14:paraId="182C4DD9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i/>
                <w:iCs/>
                <w:sz w:val="20"/>
                <w:szCs w:val="20"/>
                <w:lang w:val="en-US"/>
              </w:rPr>
              <w:t>p</w:t>
            </w: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 value</w:t>
            </w:r>
          </w:p>
        </w:tc>
      </w:tr>
      <w:tr w:rsidR="00AD3AD7" w:rsidRPr="005E3E7F" w14:paraId="5671073A" w14:textId="77777777" w:rsidTr="00AD3AD7">
        <w:trPr>
          <w:trHeight w:val="340"/>
        </w:trPr>
        <w:tc>
          <w:tcPr>
            <w:tcW w:w="168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C746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CD3+ </w:t>
            </w: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9AD10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754.88 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0F01D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1478.04</w:t>
            </w: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8764F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F6C25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882.65 </w:t>
            </w:r>
          </w:p>
        </w:tc>
        <w:tc>
          <w:tcPr>
            <w:tcW w:w="135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4B12A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1466.56</w:t>
            </w:r>
          </w:p>
        </w:tc>
        <w:tc>
          <w:tcPr>
            <w:tcW w:w="1235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F6D7D69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AD3AD7" w:rsidRPr="005E3E7F" w14:paraId="1248A3E5" w14:textId="77777777" w:rsidTr="00AD3AD7">
        <w:trPr>
          <w:trHeight w:val="340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F0D11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CD3+CD4+CD8+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52C94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24.12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F6B8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82.38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4B93B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AB61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36.94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582C1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69.82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5B600C6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>0.028</w:t>
            </w:r>
          </w:p>
        </w:tc>
      </w:tr>
      <w:tr w:rsidR="00AD3AD7" w:rsidRPr="005E3E7F" w14:paraId="3CE2F80C" w14:textId="77777777" w:rsidTr="00AD3AD7">
        <w:trPr>
          <w:trHeight w:val="340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43441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CD3+CD4+CD8-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54D9A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473.48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EB1F7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1027.5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DF9DE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788C6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530.74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6E694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1028.38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09487CA8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AD3AD7" w:rsidRPr="005E3E7F" w14:paraId="43E79D4C" w14:textId="77777777" w:rsidTr="00AD3AD7">
        <w:trPr>
          <w:trHeight w:val="340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2B4FB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CD3+CD4-CD8+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5EC1C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20.60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FA95D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37.65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141A9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0.365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0B7F4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37.50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DD107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37.79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868B4A9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0.663</w:t>
            </w:r>
          </w:p>
        </w:tc>
      </w:tr>
      <w:tr w:rsidR="00AD3AD7" w:rsidRPr="005E3E7F" w14:paraId="202117FB" w14:textId="77777777" w:rsidTr="00AD3AD7">
        <w:trPr>
          <w:trHeight w:val="340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A47A6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CD3-CD8+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B7960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8.92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C626B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16.77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8772A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0.909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06D5C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25.41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039DE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63.56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3E8AC26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0.270</w:t>
            </w:r>
          </w:p>
        </w:tc>
      </w:tr>
      <w:tr w:rsidR="00AD3AD7" w:rsidRPr="005E3E7F" w14:paraId="63BC7B1E" w14:textId="77777777" w:rsidTr="00AD3AD7">
        <w:trPr>
          <w:trHeight w:val="340"/>
        </w:trPr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1BA6C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CD14+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98A97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618.68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69607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999.81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655D9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82E5D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393.97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77907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1278.97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8DAFA2D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AD3AD7" w:rsidRPr="005E3E7F" w14:paraId="5DD4EAEB" w14:textId="77777777" w:rsidTr="00AD3AD7">
        <w:trPr>
          <w:trHeight w:val="340"/>
        </w:trPr>
        <w:tc>
          <w:tcPr>
            <w:tcW w:w="1689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  <w:shd w:val="clear" w:color="auto" w:fill="auto"/>
            <w:vAlign w:val="center"/>
            <w:hideMark/>
          </w:tcPr>
          <w:p w14:paraId="50CC27E2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CD21+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  <w:shd w:val="clear" w:color="auto" w:fill="auto"/>
            <w:vAlign w:val="center"/>
            <w:hideMark/>
          </w:tcPr>
          <w:p w14:paraId="4322D7DA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699.40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  <w:shd w:val="clear" w:color="auto" w:fill="auto"/>
            <w:vAlign w:val="center"/>
            <w:hideMark/>
          </w:tcPr>
          <w:p w14:paraId="2ABF9C5D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165.69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  <w:shd w:val="clear" w:color="auto" w:fill="auto"/>
            <w:vAlign w:val="center"/>
            <w:hideMark/>
          </w:tcPr>
          <w:p w14:paraId="13DE7148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0.194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  <w:shd w:val="clear" w:color="auto" w:fill="auto"/>
            <w:vAlign w:val="center"/>
            <w:hideMark/>
          </w:tcPr>
          <w:p w14:paraId="57AC944C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 xml:space="preserve">483.15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  <w:shd w:val="clear" w:color="auto" w:fill="auto"/>
            <w:vAlign w:val="center"/>
            <w:hideMark/>
          </w:tcPr>
          <w:p w14:paraId="12C209D8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260.41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404040" w:themeColor="text1" w:themeTint="BF"/>
            </w:tcBorders>
            <w:shd w:val="clear" w:color="auto" w:fill="auto"/>
            <w:vAlign w:val="center"/>
            <w:hideMark/>
          </w:tcPr>
          <w:p w14:paraId="39005BF7" w14:textId="77777777" w:rsidR="00AD3AD7" w:rsidRPr="005E3E7F" w:rsidRDefault="00AD3AD7" w:rsidP="00D1592E">
            <w:pPr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5E3E7F">
              <w:rPr>
                <w:rFonts w:ascii="Times" w:hAnsi="Times" w:cs="Arial"/>
                <w:sz w:val="20"/>
                <w:szCs w:val="20"/>
                <w:lang w:val="en-US"/>
              </w:rPr>
              <w:t>0.492</w:t>
            </w:r>
          </w:p>
        </w:tc>
      </w:tr>
    </w:tbl>
    <w:p w14:paraId="706F0C82" w14:textId="77777777" w:rsidR="00AD3AD7" w:rsidRPr="005E3E7F" w:rsidRDefault="00AD3AD7" w:rsidP="00AD3AD7">
      <w:pPr>
        <w:rPr>
          <w:rFonts w:ascii="Times" w:hAnsi="Times"/>
          <w:sz w:val="18"/>
          <w:szCs w:val="18"/>
          <w:lang w:val="en-US"/>
        </w:rPr>
      </w:pPr>
      <w:r w:rsidRPr="005E3E7F">
        <w:rPr>
          <w:rFonts w:ascii="Times" w:hAnsi="Times"/>
          <w:sz w:val="18"/>
          <w:szCs w:val="18"/>
          <w:lang w:val="en-US"/>
        </w:rPr>
        <w:t>Bold values indicate statistically significant values (</w:t>
      </w:r>
      <w:r w:rsidRPr="005E3E7F">
        <w:rPr>
          <w:rFonts w:ascii="Times" w:hAnsi="Times"/>
          <w:i/>
          <w:iCs/>
          <w:sz w:val="18"/>
          <w:szCs w:val="18"/>
          <w:lang w:val="en-US"/>
        </w:rPr>
        <w:t>p</w:t>
      </w:r>
      <w:r w:rsidRPr="005E3E7F">
        <w:rPr>
          <w:rFonts w:ascii="Times" w:hAnsi="Times"/>
          <w:sz w:val="18"/>
          <w:szCs w:val="18"/>
          <w:lang w:val="en-US"/>
        </w:rPr>
        <w:t>&lt;0.05)</w:t>
      </w:r>
    </w:p>
    <w:p w14:paraId="45D6B25D" w14:textId="4C45318E" w:rsidR="00AD3AD7" w:rsidRDefault="00AD3AD7">
      <w:pPr>
        <w:rPr>
          <w:lang w:val="en-GB"/>
        </w:rPr>
      </w:pPr>
    </w:p>
    <w:p w14:paraId="7AF419D9" w14:textId="173701FF" w:rsidR="00AD3AD7" w:rsidRDefault="00AD3AD7" w:rsidP="00AD3AD7">
      <w:pPr>
        <w:rPr>
          <w:rFonts w:ascii="Times" w:hAnsi="Times"/>
          <w:sz w:val="20"/>
          <w:szCs w:val="20"/>
          <w:lang w:val="en-US"/>
        </w:rPr>
      </w:pPr>
      <w:r w:rsidRPr="005E3E7F">
        <w:rPr>
          <w:rFonts w:ascii="Times" w:hAnsi="Times"/>
          <w:b/>
          <w:bCs/>
          <w:sz w:val="20"/>
          <w:szCs w:val="20"/>
          <w:lang w:val="en-US"/>
        </w:rPr>
        <w:t xml:space="preserve">Table </w:t>
      </w:r>
      <w:r>
        <w:rPr>
          <w:rFonts w:ascii="Times" w:hAnsi="Times"/>
          <w:b/>
          <w:bCs/>
          <w:sz w:val="20"/>
          <w:szCs w:val="20"/>
          <w:lang w:val="en-US"/>
        </w:rPr>
        <w:t>S</w:t>
      </w:r>
      <w:r w:rsidR="00867CCD">
        <w:rPr>
          <w:rFonts w:ascii="Times" w:hAnsi="Times"/>
          <w:b/>
          <w:bCs/>
          <w:sz w:val="20"/>
          <w:szCs w:val="20"/>
          <w:lang w:val="en-US"/>
        </w:rPr>
        <w:t>4</w:t>
      </w:r>
      <w:r w:rsidRPr="005E3E7F">
        <w:rPr>
          <w:rFonts w:ascii="Times" w:hAnsi="Times"/>
          <w:b/>
          <w:bCs/>
          <w:sz w:val="20"/>
          <w:szCs w:val="20"/>
          <w:lang w:val="en-US"/>
        </w:rPr>
        <w:t xml:space="preserve">. </w:t>
      </w:r>
      <w:r>
        <w:rPr>
          <w:rFonts w:ascii="Times" w:hAnsi="Times"/>
          <w:sz w:val="20"/>
          <w:szCs w:val="20"/>
          <w:lang w:val="en-US"/>
        </w:rPr>
        <w:t>PMBC</w:t>
      </w:r>
      <w:r w:rsidRPr="005E3E7F">
        <w:rPr>
          <w:rFonts w:ascii="Times" w:hAnsi="Times"/>
          <w:sz w:val="20"/>
          <w:szCs w:val="20"/>
          <w:lang w:val="en-US"/>
        </w:rPr>
        <w:t xml:space="preserve"> subsets concentration in periodontitis and </w:t>
      </w:r>
      <w:r>
        <w:rPr>
          <w:rFonts w:ascii="Times" w:hAnsi="Times"/>
          <w:sz w:val="20"/>
          <w:szCs w:val="20"/>
          <w:lang w:val="en-US"/>
        </w:rPr>
        <w:t>neoplasm</w:t>
      </w:r>
      <w:r w:rsidRPr="005E3E7F">
        <w:rPr>
          <w:rFonts w:ascii="Times" w:hAnsi="Times"/>
          <w:sz w:val="20"/>
          <w:szCs w:val="20"/>
          <w:lang w:val="en-US"/>
        </w:rPr>
        <w:t xml:space="preserve"> patient group samples of </w:t>
      </w:r>
      <w:r>
        <w:rPr>
          <w:rFonts w:ascii="Times" w:hAnsi="Times"/>
          <w:sz w:val="20"/>
          <w:szCs w:val="20"/>
          <w:lang w:val="en-US"/>
        </w:rPr>
        <w:t xml:space="preserve">whole </w:t>
      </w:r>
      <w:r w:rsidRPr="005E3E7F">
        <w:rPr>
          <w:rFonts w:ascii="Times" w:hAnsi="Times"/>
          <w:sz w:val="20"/>
          <w:szCs w:val="20"/>
          <w:lang w:val="en-US"/>
        </w:rPr>
        <w:t>blood and PRF.</w:t>
      </w:r>
    </w:p>
    <w:p w14:paraId="17223B87" w14:textId="77777777" w:rsidR="00A674AA" w:rsidRPr="005E3E7F" w:rsidRDefault="00A674AA" w:rsidP="00AD3AD7">
      <w:pPr>
        <w:rPr>
          <w:rFonts w:ascii="Times" w:hAnsi="Times"/>
          <w:sz w:val="20"/>
          <w:szCs w:val="20"/>
          <w:lang w:val="en-US"/>
        </w:rPr>
      </w:pPr>
    </w:p>
    <w:tbl>
      <w:tblPr>
        <w:tblW w:w="6502" w:type="dxa"/>
        <w:tblLook w:val="04A0" w:firstRow="1" w:lastRow="0" w:firstColumn="1" w:lastColumn="0" w:noHBand="0" w:noVBand="1"/>
      </w:tblPr>
      <w:tblGrid>
        <w:gridCol w:w="1880"/>
        <w:gridCol w:w="1525"/>
        <w:gridCol w:w="1566"/>
        <w:gridCol w:w="1531"/>
      </w:tblGrid>
      <w:tr w:rsidR="00AD3AD7" w:rsidRPr="005E3E7F" w14:paraId="0478B7F2" w14:textId="77777777" w:rsidTr="00D1592E">
        <w:trPr>
          <w:trHeight w:val="340"/>
        </w:trPr>
        <w:tc>
          <w:tcPr>
            <w:tcW w:w="1880" w:type="dxa"/>
            <w:vMerge w:val="restart"/>
            <w:shd w:val="clear" w:color="auto" w:fill="FFF6E7"/>
            <w:vAlign w:val="center"/>
            <w:hideMark/>
          </w:tcPr>
          <w:p w14:paraId="565B05AF" w14:textId="77777777" w:rsidR="00AD3AD7" w:rsidRPr="005E3E7F" w:rsidRDefault="00AD3AD7" w:rsidP="00D1592E">
            <w:pPr>
              <w:jc w:val="center"/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Lymphocyte subsets </w:t>
            </w:r>
          </w:p>
        </w:tc>
        <w:tc>
          <w:tcPr>
            <w:tcW w:w="4622" w:type="dxa"/>
            <w:gridSpan w:val="3"/>
            <w:shd w:val="clear" w:color="auto" w:fill="FFF6E7"/>
            <w:vAlign w:val="center"/>
            <w:hideMark/>
          </w:tcPr>
          <w:p w14:paraId="7CF6005C" w14:textId="1189A6A4" w:rsidR="00AD3AD7" w:rsidRPr="00AD6F1E" w:rsidRDefault="00AD3AD7" w:rsidP="00D1592E">
            <w:pPr>
              <w:jc w:val="center"/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</w:pPr>
            <w:r w:rsidRPr="00AD6F1E"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  <w:t>Neoplasm and periodontitis (</w:t>
            </w:r>
            <w:r w:rsidRPr="00AD6F1E">
              <w:rPr>
                <w:rFonts w:ascii="Times" w:hAnsi="Times" w:cs="Arial"/>
                <w:b/>
                <w:bCs/>
                <w:i/>
                <w:iCs/>
                <w:sz w:val="21"/>
                <w:szCs w:val="21"/>
                <w:lang w:val="en-US"/>
              </w:rPr>
              <w:t>n</w:t>
            </w:r>
            <w:r w:rsidRPr="00AD6F1E"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  <w:t>=17), Means</w:t>
            </w:r>
          </w:p>
        </w:tc>
      </w:tr>
      <w:tr w:rsidR="00AD3AD7" w:rsidRPr="005E3E7F" w14:paraId="285E2773" w14:textId="77777777" w:rsidTr="00D1592E">
        <w:trPr>
          <w:trHeight w:val="340"/>
        </w:trPr>
        <w:tc>
          <w:tcPr>
            <w:tcW w:w="1880" w:type="dxa"/>
            <w:vMerge/>
            <w:shd w:val="clear" w:color="auto" w:fill="FFF6E7"/>
            <w:vAlign w:val="center"/>
            <w:hideMark/>
          </w:tcPr>
          <w:p w14:paraId="26356F65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</w:p>
        </w:tc>
        <w:tc>
          <w:tcPr>
            <w:tcW w:w="1525" w:type="dxa"/>
            <w:shd w:val="clear" w:color="auto" w:fill="FFF6E7"/>
            <w:vAlign w:val="center"/>
            <w:hideMark/>
          </w:tcPr>
          <w:p w14:paraId="6AFF3D2C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Blood</w:t>
            </w:r>
          </w:p>
        </w:tc>
        <w:tc>
          <w:tcPr>
            <w:tcW w:w="1566" w:type="dxa"/>
            <w:shd w:val="clear" w:color="auto" w:fill="FFF6E7"/>
            <w:vAlign w:val="center"/>
            <w:hideMark/>
          </w:tcPr>
          <w:p w14:paraId="5CDAA5C3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PRF</w:t>
            </w:r>
          </w:p>
        </w:tc>
        <w:tc>
          <w:tcPr>
            <w:tcW w:w="1531" w:type="dxa"/>
            <w:shd w:val="clear" w:color="auto" w:fill="FFF6E7"/>
            <w:vAlign w:val="center"/>
            <w:hideMark/>
          </w:tcPr>
          <w:p w14:paraId="4B160F84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i/>
                <w:iCs/>
                <w:sz w:val="21"/>
                <w:szCs w:val="21"/>
                <w:lang w:val="en-US"/>
              </w:rPr>
              <w:t>p</w:t>
            </w: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 value</w:t>
            </w:r>
          </w:p>
        </w:tc>
      </w:tr>
      <w:tr w:rsidR="00AD3AD7" w:rsidRPr="005E3E7F" w14:paraId="6C2B5CA4" w14:textId="77777777" w:rsidTr="00D1592E">
        <w:trPr>
          <w:trHeight w:val="340"/>
        </w:trPr>
        <w:tc>
          <w:tcPr>
            <w:tcW w:w="1880" w:type="dxa"/>
            <w:shd w:val="clear" w:color="auto" w:fill="auto"/>
            <w:vAlign w:val="center"/>
            <w:hideMark/>
          </w:tcPr>
          <w:p w14:paraId="3F1C4137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CD3+ 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39FEBE09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798.24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7CCD3E0D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1514.59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8D2704E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  <w:t>0.002</w:t>
            </w:r>
          </w:p>
        </w:tc>
      </w:tr>
      <w:tr w:rsidR="00AD3AD7" w:rsidRPr="005E3E7F" w14:paraId="5608B608" w14:textId="77777777" w:rsidTr="00D1592E">
        <w:trPr>
          <w:trHeight w:val="340"/>
        </w:trPr>
        <w:tc>
          <w:tcPr>
            <w:tcW w:w="1880" w:type="dxa"/>
            <w:shd w:val="clear" w:color="auto" w:fill="auto"/>
            <w:vAlign w:val="center"/>
            <w:hideMark/>
          </w:tcPr>
          <w:p w14:paraId="568DE687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CD3+CD4+CD8+ 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1CD1B910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24.24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34B5637E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69.94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DB6B9F5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  <w:t>0.018</w:t>
            </w:r>
          </w:p>
        </w:tc>
      </w:tr>
      <w:tr w:rsidR="00AD3AD7" w:rsidRPr="005E3E7F" w14:paraId="194C98B8" w14:textId="77777777" w:rsidTr="00D1592E">
        <w:trPr>
          <w:trHeight w:val="340"/>
        </w:trPr>
        <w:tc>
          <w:tcPr>
            <w:tcW w:w="1880" w:type="dxa"/>
            <w:shd w:val="clear" w:color="auto" w:fill="auto"/>
            <w:vAlign w:val="center"/>
            <w:hideMark/>
          </w:tcPr>
          <w:p w14:paraId="273C3C6E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CD3+CD4+CD8- 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4CE7148A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524.35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580BBE09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1136.12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586392F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  <w:t>&lt;0.001</w:t>
            </w:r>
          </w:p>
        </w:tc>
      </w:tr>
      <w:tr w:rsidR="00AD3AD7" w:rsidRPr="005E3E7F" w14:paraId="0AF61C23" w14:textId="77777777" w:rsidTr="00D1592E">
        <w:trPr>
          <w:trHeight w:val="340"/>
        </w:trPr>
        <w:tc>
          <w:tcPr>
            <w:tcW w:w="1880" w:type="dxa"/>
            <w:shd w:val="clear" w:color="auto" w:fill="auto"/>
            <w:vAlign w:val="center"/>
            <w:hideMark/>
          </w:tcPr>
          <w:p w14:paraId="2A8B79C0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CD3+CD4-CD8+ 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43CA895A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30.35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4C0409ED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37.65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1FDA6D5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0.501</w:t>
            </w:r>
          </w:p>
        </w:tc>
      </w:tr>
      <w:tr w:rsidR="00AD3AD7" w:rsidRPr="005E3E7F" w14:paraId="28E1F9B7" w14:textId="77777777" w:rsidTr="00D1592E">
        <w:trPr>
          <w:trHeight w:val="340"/>
        </w:trPr>
        <w:tc>
          <w:tcPr>
            <w:tcW w:w="1880" w:type="dxa"/>
            <w:shd w:val="clear" w:color="auto" w:fill="auto"/>
            <w:vAlign w:val="center"/>
            <w:hideMark/>
          </w:tcPr>
          <w:p w14:paraId="1EA22DA1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CD3-CD8+ 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4EBD34D5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7.35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4BA0A3D3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47.24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CB9A453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0.170</w:t>
            </w:r>
          </w:p>
        </w:tc>
      </w:tr>
      <w:tr w:rsidR="00AD3AD7" w:rsidRPr="005E3E7F" w14:paraId="22B67314" w14:textId="77777777" w:rsidTr="00D1592E">
        <w:trPr>
          <w:trHeight w:val="340"/>
        </w:trPr>
        <w:tc>
          <w:tcPr>
            <w:tcW w:w="1880" w:type="dxa"/>
            <w:shd w:val="clear" w:color="auto" w:fill="auto"/>
            <w:vAlign w:val="center"/>
            <w:hideMark/>
          </w:tcPr>
          <w:p w14:paraId="0035BB2D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 xml:space="preserve">CD14+ 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285A4AB9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423.29</w:t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2AF1567A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1395.71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78F6230" w14:textId="77777777" w:rsidR="00AD3AD7" w:rsidRPr="005E3E7F" w:rsidRDefault="00AD3AD7" w:rsidP="00D1592E">
            <w:pPr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b/>
                <w:bCs/>
                <w:sz w:val="21"/>
                <w:szCs w:val="21"/>
                <w:lang w:val="en-US"/>
              </w:rPr>
              <w:t>0.004</w:t>
            </w:r>
          </w:p>
        </w:tc>
      </w:tr>
      <w:tr w:rsidR="00AD3AD7" w:rsidRPr="005E3E7F" w14:paraId="0372006D" w14:textId="77777777" w:rsidTr="00D1592E">
        <w:trPr>
          <w:trHeight w:val="340"/>
        </w:trPr>
        <w:tc>
          <w:tcPr>
            <w:tcW w:w="1880" w:type="dxa"/>
            <w:tcBorders>
              <w:bottom w:val="single" w:sz="4" w:space="0" w:color="404040" w:themeColor="text1" w:themeTint="BF"/>
            </w:tcBorders>
            <w:shd w:val="clear" w:color="auto" w:fill="auto"/>
            <w:vAlign w:val="center"/>
            <w:hideMark/>
          </w:tcPr>
          <w:p w14:paraId="4C697D1D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CD21+</w:t>
            </w:r>
          </w:p>
        </w:tc>
        <w:tc>
          <w:tcPr>
            <w:tcW w:w="1525" w:type="dxa"/>
            <w:tcBorders>
              <w:bottom w:val="single" w:sz="4" w:space="0" w:color="404040" w:themeColor="text1" w:themeTint="BF"/>
            </w:tcBorders>
            <w:shd w:val="clear" w:color="auto" w:fill="auto"/>
            <w:vAlign w:val="center"/>
            <w:hideMark/>
          </w:tcPr>
          <w:p w14:paraId="05F199E1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487.18</w:t>
            </w:r>
          </w:p>
        </w:tc>
        <w:tc>
          <w:tcPr>
            <w:tcW w:w="1566" w:type="dxa"/>
            <w:tcBorders>
              <w:bottom w:val="single" w:sz="4" w:space="0" w:color="404040" w:themeColor="text1" w:themeTint="BF"/>
            </w:tcBorders>
            <w:shd w:val="clear" w:color="auto" w:fill="auto"/>
            <w:vAlign w:val="center"/>
            <w:hideMark/>
          </w:tcPr>
          <w:p w14:paraId="20A90623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341.94</w:t>
            </w:r>
          </w:p>
        </w:tc>
        <w:tc>
          <w:tcPr>
            <w:tcW w:w="1531" w:type="dxa"/>
            <w:tcBorders>
              <w:bottom w:val="single" w:sz="4" w:space="0" w:color="404040" w:themeColor="text1" w:themeTint="BF"/>
            </w:tcBorders>
            <w:shd w:val="clear" w:color="auto" w:fill="auto"/>
            <w:vAlign w:val="center"/>
            <w:hideMark/>
          </w:tcPr>
          <w:p w14:paraId="0F5D2570" w14:textId="77777777" w:rsidR="00AD3AD7" w:rsidRPr="005E3E7F" w:rsidRDefault="00AD3AD7" w:rsidP="00D1592E">
            <w:pPr>
              <w:rPr>
                <w:rFonts w:ascii="Times" w:hAnsi="Times" w:cs="Arial"/>
                <w:sz w:val="21"/>
                <w:szCs w:val="21"/>
                <w:lang w:val="en-US"/>
              </w:rPr>
            </w:pPr>
            <w:r w:rsidRPr="005E3E7F">
              <w:rPr>
                <w:rFonts w:ascii="Times" w:hAnsi="Times" w:cs="Arial"/>
                <w:sz w:val="21"/>
                <w:szCs w:val="21"/>
                <w:lang w:val="en-US"/>
              </w:rPr>
              <w:t>0.823</w:t>
            </w:r>
          </w:p>
        </w:tc>
      </w:tr>
    </w:tbl>
    <w:p w14:paraId="158AFBEA" w14:textId="77777777" w:rsidR="00AD3AD7" w:rsidRPr="00AD3AD7" w:rsidRDefault="00AD3AD7">
      <w:pPr>
        <w:rPr>
          <w:lang w:val="en-GB"/>
        </w:rPr>
      </w:pPr>
    </w:p>
    <w:sectPr w:rsidR="00AD3AD7" w:rsidRPr="00AD3A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D7"/>
    <w:rsid w:val="0082141C"/>
    <w:rsid w:val="00867CCD"/>
    <w:rsid w:val="00A674AA"/>
    <w:rsid w:val="00AD3AD7"/>
    <w:rsid w:val="00AD6F1E"/>
    <w:rsid w:val="00D5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AE5C02"/>
  <w15:chartTrackingRefBased/>
  <w15:docId w15:val="{F9F379C8-2AA6-714B-9126-37C9868B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AD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</dc:creator>
  <cp:keywords/>
  <dc:description/>
  <cp:lastModifiedBy>Indre</cp:lastModifiedBy>
  <cp:revision>5</cp:revision>
  <dcterms:created xsi:type="dcterms:W3CDTF">2022-03-31T14:15:00Z</dcterms:created>
  <dcterms:modified xsi:type="dcterms:W3CDTF">2022-04-20T01:30:00Z</dcterms:modified>
</cp:coreProperties>
</file>