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E48B" w14:textId="43B51E23" w:rsidR="000A3CB3" w:rsidRPr="00B35FDF" w:rsidRDefault="000A3CB3" w:rsidP="00B35FDF">
      <w:pPr>
        <w:spacing w:after="0" w:line="480" w:lineRule="auto"/>
        <w:jc w:val="center"/>
        <w:rPr>
          <w:b/>
        </w:rPr>
      </w:pPr>
      <w:r w:rsidRPr="009161AA">
        <w:rPr>
          <w:b/>
          <w:i/>
          <w:iCs/>
          <w:sz w:val="28"/>
        </w:rPr>
        <w:t>In Silico</w:t>
      </w:r>
      <w:r w:rsidRPr="009161AA">
        <w:rPr>
          <w:b/>
          <w:sz w:val="28"/>
        </w:rPr>
        <w:t xml:space="preserve"> Analysis of Aberrant Gene Expression Profiles in Haematologic Malignancies and their Impact on Mismatch Repair Functions</w:t>
      </w:r>
    </w:p>
    <w:p w14:paraId="312F9603" w14:textId="1651F8DD" w:rsidR="000A3CB3" w:rsidRPr="009161AA" w:rsidRDefault="000A3CB3" w:rsidP="00B35FDF">
      <w:pPr>
        <w:spacing w:after="0" w:line="480" w:lineRule="auto"/>
        <w:jc w:val="center"/>
        <w:rPr>
          <w:b/>
          <w:sz w:val="22"/>
        </w:rPr>
      </w:pPr>
      <w:r w:rsidRPr="009161AA">
        <w:rPr>
          <w:b/>
          <w:sz w:val="22"/>
        </w:rPr>
        <w:t>Running title – Interplay of MMR and DEGs in Hematologic Malignancies</w:t>
      </w:r>
    </w:p>
    <w:p w14:paraId="0FC17CA8" w14:textId="61C4E916" w:rsidR="000A3CB3" w:rsidRPr="009161AA" w:rsidRDefault="000A3CB3" w:rsidP="00B35FDF">
      <w:pPr>
        <w:spacing w:after="0" w:line="480" w:lineRule="auto"/>
        <w:jc w:val="center"/>
        <w:rPr>
          <w:b/>
        </w:rPr>
      </w:pPr>
      <w:r w:rsidRPr="009161AA">
        <w:rPr>
          <w:b/>
        </w:rPr>
        <w:t>Priyanjali Bhattacharya</w:t>
      </w:r>
      <w:r w:rsidRPr="009161AA">
        <w:rPr>
          <w:b/>
          <w:vertAlign w:val="superscript"/>
        </w:rPr>
        <w:t>1</w:t>
      </w:r>
      <w:r w:rsidRPr="009161AA">
        <w:rPr>
          <w:b/>
        </w:rPr>
        <w:t>, Trupti N Patel</w:t>
      </w:r>
      <w:r w:rsidRPr="009161AA">
        <w:rPr>
          <w:b/>
          <w:vertAlign w:val="superscript"/>
        </w:rPr>
        <w:t>1*</w:t>
      </w:r>
    </w:p>
    <w:p w14:paraId="548D3265" w14:textId="5A2ED0AD" w:rsidR="000A3CB3" w:rsidRPr="009161AA" w:rsidRDefault="000A3CB3" w:rsidP="00B35FDF">
      <w:pPr>
        <w:spacing w:after="0" w:line="480" w:lineRule="auto"/>
        <w:jc w:val="center"/>
        <w:rPr>
          <w:b/>
        </w:rPr>
      </w:pPr>
      <w:r w:rsidRPr="009161AA">
        <w:rPr>
          <w:b/>
          <w:vertAlign w:val="superscript"/>
        </w:rPr>
        <w:t>1</w:t>
      </w:r>
      <w:r w:rsidRPr="009161AA">
        <w:rPr>
          <w:b/>
        </w:rPr>
        <w:t>Department of Integrative Biology, Vellore Institute of Technology, Vellore, India</w:t>
      </w:r>
    </w:p>
    <w:p w14:paraId="47D331EB" w14:textId="77777777" w:rsidR="000A3CB3" w:rsidRPr="009161AA" w:rsidRDefault="000A3CB3" w:rsidP="00B35FDF">
      <w:pPr>
        <w:spacing w:after="0" w:line="480" w:lineRule="auto"/>
        <w:jc w:val="both"/>
        <w:rPr>
          <w:b/>
        </w:rPr>
      </w:pPr>
      <w:r w:rsidRPr="009161AA">
        <w:rPr>
          <w:b/>
        </w:rPr>
        <w:t>*Corresponding Address: tnpatel@vit.ac.in, Dr.TNPatel@gmail.com</w:t>
      </w:r>
    </w:p>
    <w:p w14:paraId="24A8DA6E" w14:textId="77777777" w:rsidR="00335ACF" w:rsidRPr="009161AA" w:rsidRDefault="00335ACF" w:rsidP="00B35FDF">
      <w:pPr>
        <w:spacing w:after="0" w:line="480" w:lineRule="auto"/>
        <w:jc w:val="center"/>
        <w:rPr>
          <w:b/>
          <w:color w:val="000000" w:themeColor="text1"/>
          <w:u w:val="single"/>
        </w:rPr>
      </w:pPr>
    </w:p>
    <w:p w14:paraId="5E90E6D9" w14:textId="510854F6" w:rsidR="00335ACF" w:rsidRPr="00B35FDF" w:rsidRDefault="00335ACF" w:rsidP="00B35FDF">
      <w:pPr>
        <w:spacing w:after="0" w:line="480" w:lineRule="auto"/>
        <w:jc w:val="center"/>
        <w:rPr>
          <w:b/>
          <w:color w:val="000000" w:themeColor="text1"/>
          <w:u w:val="single"/>
        </w:rPr>
      </w:pPr>
      <w:r w:rsidRPr="009161AA">
        <w:rPr>
          <w:b/>
          <w:color w:val="000000" w:themeColor="text1"/>
          <w:u w:val="single"/>
        </w:rPr>
        <w:t>Supplementary Data</w:t>
      </w:r>
    </w:p>
    <w:p w14:paraId="05FF7FB2" w14:textId="77777777" w:rsidR="00D87EF2" w:rsidRPr="009161AA" w:rsidRDefault="00D87EF2" w:rsidP="00B35FDF">
      <w:pPr>
        <w:spacing w:after="0" w:line="480" w:lineRule="auto"/>
        <w:ind w:left="284" w:right="-45"/>
        <w:jc w:val="both"/>
        <w:rPr>
          <w:bCs/>
        </w:rPr>
      </w:pPr>
      <w:r w:rsidRPr="009161AA">
        <w:rPr>
          <w:b/>
        </w:rPr>
        <w:t xml:space="preserve">TABLE 1: </w:t>
      </w:r>
      <w:r w:rsidRPr="009161AA">
        <w:rPr>
          <w:bCs/>
        </w:rPr>
        <w:t>Details of the samples studied in six GEO profiles via Affymetrix platform.</w:t>
      </w:r>
    </w:p>
    <w:p w14:paraId="35D27BCC" w14:textId="77777777" w:rsidR="00D87EF2" w:rsidRPr="009161AA" w:rsidRDefault="00D87EF2" w:rsidP="00B35FDF">
      <w:pPr>
        <w:spacing w:after="0" w:line="480" w:lineRule="auto"/>
        <w:ind w:left="567" w:right="-45"/>
        <w:jc w:val="both"/>
        <w:rPr>
          <w:sz w:val="6"/>
          <w:szCs w:val="6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524"/>
        <w:gridCol w:w="4097"/>
        <w:gridCol w:w="2686"/>
      </w:tblGrid>
      <w:tr w:rsidR="00D87EF2" w:rsidRPr="009161AA" w14:paraId="10E268EE" w14:textId="77777777" w:rsidTr="00B055A1">
        <w:trPr>
          <w:trHeight w:val="357"/>
        </w:trPr>
        <w:tc>
          <w:tcPr>
            <w:tcW w:w="1526" w:type="dxa"/>
            <w:shd w:val="clear" w:color="auto" w:fill="595959" w:themeFill="text1" w:themeFillTint="A6"/>
            <w:vAlign w:val="center"/>
          </w:tcPr>
          <w:p w14:paraId="66E41A6C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color w:val="FFFFFF" w:themeColor="background1"/>
                <w:sz w:val="20"/>
                <w:szCs w:val="20"/>
              </w:rPr>
              <w:t>GEO Profile</w:t>
            </w:r>
          </w:p>
        </w:tc>
        <w:tc>
          <w:tcPr>
            <w:tcW w:w="4110" w:type="dxa"/>
            <w:shd w:val="clear" w:color="auto" w:fill="595959" w:themeFill="text1" w:themeFillTint="A6"/>
            <w:vAlign w:val="center"/>
          </w:tcPr>
          <w:p w14:paraId="57D68EDA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color w:val="FFFFFF" w:themeColor="background1"/>
                <w:sz w:val="20"/>
                <w:szCs w:val="20"/>
              </w:rPr>
              <w:t>Sample Type</w:t>
            </w:r>
          </w:p>
        </w:tc>
        <w:tc>
          <w:tcPr>
            <w:tcW w:w="2694" w:type="dxa"/>
            <w:shd w:val="clear" w:color="auto" w:fill="595959" w:themeFill="text1" w:themeFillTint="A6"/>
            <w:vAlign w:val="center"/>
          </w:tcPr>
          <w:p w14:paraId="5D33376E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color w:val="FFFFFF" w:themeColor="background1"/>
                <w:sz w:val="20"/>
                <w:szCs w:val="20"/>
              </w:rPr>
              <w:t>Sample Count</w:t>
            </w:r>
          </w:p>
        </w:tc>
      </w:tr>
      <w:tr w:rsidR="00D87EF2" w:rsidRPr="009161AA" w14:paraId="0609A5E2" w14:textId="77777777" w:rsidTr="00B055A1">
        <w:trPr>
          <w:trHeight w:val="596"/>
        </w:trPr>
        <w:tc>
          <w:tcPr>
            <w:tcW w:w="1526" w:type="dxa"/>
            <w:vAlign w:val="center"/>
          </w:tcPr>
          <w:p w14:paraId="58E03080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GSE5550</w:t>
            </w:r>
          </w:p>
        </w:tc>
        <w:tc>
          <w:tcPr>
            <w:tcW w:w="4110" w:type="dxa"/>
            <w:vAlign w:val="center"/>
          </w:tcPr>
          <w:p w14:paraId="2BB187A0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CD34+ hematopoietic stem and progenitor cells</w:t>
            </w:r>
          </w:p>
        </w:tc>
        <w:tc>
          <w:tcPr>
            <w:tcW w:w="2694" w:type="dxa"/>
            <w:vAlign w:val="center"/>
          </w:tcPr>
          <w:p w14:paraId="54ACD8E5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Healthy control - 8 Untreated CML patients – 9</w:t>
            </w:r>
          </w:p>
        </w:tc>
      </w:tr>
      <w:tr w:rsidR="00D87EF2" w:rsidRPr="009161AA" w14:paraId="6F76F9E5" w14:textId="77777777" w:rsidTr="00B055A1">
        <w:trPr>
          <w:trHeight w:val="860"/>
        </w:trPr>
        <w:tc>
          <w:tcPr>
            <w:tcW w:w="1526" w:type="dxa"/>
            <w:vAlign w:val="center"/>
          </w:tcPr>
          <w:p w14:paraId="3B2D76AA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GSE9476</w:t>
            </w:r>
          </w:p>
        </w:tc>
        <w:tc>
          <w:tcPr>
            <w:tcW w:w="4110" w:type="dxa"/>
            <w:vAlign w:val="center"/>
          </w:tcPr>
          <w:p w14:paraId="5A2E2E00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Leukaemic blasts (patients) and normal hematopoietic cells at different stages of maturation (control)</w:t>
            </w:r>
          </w:p>
        </w:tc>
        <w:tc>
          <w:tcPr>
            <w:tcW w:w="2694" w:type="dxa"/>
            <w:vAlign w:val="center"/>
          </w:tcPr>
          <w:p w14:paraId="38A79276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 xml:space="preserve">Healthy donors (peripheral blood) – 10 </w:t>
            </w:r>
          </w:p>
          <w:p w14:paraId="0FAA9841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AML patients - 26</w:t>
            </w:r>
          </w:p>
          <w:p w14:paraId="1E9FB1DC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</w:p>
        </w:tc>
      </w:tr>
      <w:tr w:rsidR="00D87EF2" w:rsidRPr="009161AA" w14:paraId="56D4ADF8" w14:textId="77777777" w:rsidTr="00B055A1">
        <w:trPr>
          <w:trHeight w:val="615"/>
        </w:trPr>
        <w:tc>
          <w:tcPr>
            <w:tcW w:w="1526" w:type="dxa"/>
            <w:vAlign w:val="center"/>
          </w:tcPr>
          <w:p w14:paraId="425DB024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GSE22529</w:t>
            </w:r>
          </w:p>
        </w:tc>
        <w:tc>
          <w:tcPr>
            <w:tcW w:w="4110" w:type="dxa"/>
            <w:vAlign w:val="center"/>
          </w:tcPr>
          <w:p w14:paraId="1F3B28ED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Peripheral blood B cells</w:t>
            </w:r>
          </w:p>
        </w:tc>
        <w:tc>
          <w:tcPr>
            <w:tcW w:w="2694" w:type="dxa"/>
            <w:vAlign w:val="center"/>
          </w:tcPr>
          <w:p w14:paraId="3B9DC964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Control - 11</w:t>
            </w:r>
          </w:p>
          <w:p w14:paraId="2F43CB22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Untreated CLL – 41</w:t>
            </w:r>
          </w:p>
        </w:tc>
      </w:tr>
      <w:tr w:rsidR="00D87EF2" w:rsidRPr="009161AA" w14:paraId="2984BE65" w14:textId="77777777" w:rsidTr="00B055A1">
        <w:trPr>
          <w:trHeight w:val="626"/>
        </w:trPr>
        <w:tc>
          <w:tcPr>
            <w:tcW w:w="1526" w:type="dxa"/>
            <w:vAlign w:val="center"/>
          </w:tcPr>
          <w:p w14:paraId="3822DC09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GSE28703</w:t>
            </w:r>
          </w:p>
        </w:tc>
        <w:tc>
          <w:tcPr>
            <w:tcW w:w="4110" w:type="dxa"/>
            <w:vAlign w:val="center"/>
          </w:tcPr>
          <w:p w14:paraId="2C60100D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 xml:space="preserve">Early versus non-Early T-cell precursor (ETP) </w:t>
            </w:r>
          </w:p>
        </w:tc>
        <w:tc>
          <w:tcPr>
            <w:tcW w:w="2694" w:type="dxa"/>
            <w:vAlign w:val="center"/>
          </w:tcPr>
          <w:p w14:paraId="7C5480D6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Non-ETP ALL - 40</w:t>
            </w:r>
          </w:p>
          <w:p w14:paraId="50DF81D6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ETP ALL – 12</w:t>
            </w:r>
          </w:p>
        </w:tc>
      </w:tr>
      <w:tr w:rsidR="00D87EF2" w:rsidRPr="009161AA" w14:paraId="048987C0" w14:textId="77777777" w:rsidTr="00B055A1">
        <w:trPr>
          <w:trHeight w:val="564"/>
        </w:trPr>
        <w:tc>
          <w:tcPr>
            <w:tcW w:w="1526" w:type="dxa"/>
            <w:vAlign w:val="center"/>
          </w:tcPr>
          <w:p w14:paraId="6488DF63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GSE2657</w:t>
            </w:r>
          </w:p>
        </w:tc>
        <w:tc>
          <w:tcPr>
            <w:tcW w:w="4110" w:type="dxa"/>
            <w:vAlign w:val="center"/>
          </w:tcPr>
          <w:p w14:paraId="71EEC9BB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CD3+T cells isolated from peripheral blood samples of untreated HL patients</w:t>
            </w:r>
          </w:p>
        </w:tc>
        <w:tc>
          <w:tcPr>
            <w:tcW w:w="2694" w:type="dxa"/>
            <w:vAlign w:val="center"/>
          </w:tcPr>
          <w:p w14:paraId="70BDF2EE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Control - 2</w:t>
            </w:r>
          </w:p>
          <w:p w14:paraId="421D9929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Patient – 4</w:t>
            </w:r>
          </w:p>
        </w:tc>
      </w:tr>
      <w:tr w:rsidR="00D87EF2" w:rsidRPr="009161AA" w14:paraId="7F15F918" w14:textId="77777777" w:rsidTr="00B055A1">
        <w:trPr>
          <w:trHeight w:val="857"/>
        </w:trPr>
        <w:tc>
          <w:tcPr>
            <w:tcW w:w="1526" w:type="dxa"/>
            <w:vAlign w:val="center"/>
          </w:tcPr>
          <w:p w14:paraId="2B2979AA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GSE36000</w:t>
            </w:r>
          </w:p>
        </w:tc>
        <w:tc>
          <w:tcPr>
            <w:tcW w:w="4110" w:type="dxa"/>
            <w:vAlign w:val="center"/>
          </w:tcPr>
          <w:p w14:paraId="712D28F9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B cell lymphocytes from NHL patients with mutated and unmutated immunoglobulin heavy chain variable (IGHV) genes</w:t>
            </w:r>
          </w:p>
        </w:tc>
        <w:tc>
          <w:tcPr>
            <w:tcW w:w="2694" w:type="dxa"/>
            <w:vAlign w:val="center"/>
          </w:tcPr>
          <w:p w14:paraId="6C89DDD4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IGHV unmutated - 14</w:t>
            </w:r>
          </w:p>
          <w:p w14:paraId="000FF426" w14:textId="77777777" w:rsidR="00D87EF2" w:rsidRPr="009161AA" w:rsidRDefault="00D87EF2" w:rsidP="00B35FDF">
            <w:pPr>
              <w:pStyle w:val="ListParagraph"/>
              <w:spacing w:after="0" w:line="480" w:lineRule="auto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9161AA">
              <w:rPr>
                <w:bCs/>
                <w:sz w:val="20"/>
                <w:szCs w:val="20"/>
              </w:rPr>
              <w:t>IGHV mutated – 24</w:t>
            </w:r>
          </w:p>
        </w:tc>
      </w:tr>
    </w:tbl>
    <w:p w14:paraId="77E6C113" w14:textId="615268D3" w:rsidR="00D87EF2" w:rsidRPr="009161AA" w:rsidRDefault="00D87EF2" w:rsidP="00B35FDF">
      <w:pPr>
        <w:spacing w:after="0" w:line="480" w:lineRule="auto"/>
        <w:jc w:val="center"/>
        <w:rPr>
          <w:b/>
          <w:color w:val="000000" w:themeColor="text1"/>
        </w:rPr>
      </w:pPr>
    </w:p>
    <w:p w14:paraId="02699CE3" w14:textId="77777777" w:rsidR="00290966" w:rsidRPr="009161AA" w:rsidRDefault="00290966" w:rsidP="00B35FDF">
      <w:pPr>
        <w:autoSpaceDE w:val="0"/>
        <w:autoSpaceDN w:val="0"/>
        <w:adjustRightInd w:val="0"/>
        <w:spacing w:after="0" w:line="480" w:lineRule="auto"/>
        <w:ind w:left="426"/>
        <w:jc w:val="both"/>
      </w:pPr>
    </w:p>
    <w:p w14:paraId="28B465AA" w14:textId="4A4FAAB4" w:rsidR="00290966" w:rsidRPr="009161AA" w:rsidRDefault="000C5DD6" w:rsidP="00B35FDF">
      <w:pPr>
        <w:spacing w:after="0" w:line="480" w:lineRule="auto"/>
        <w:ind w:left="1560" w:right="522" w:hanging="1276"/>
        <w:jc w:val="both"/>
      </w:pPr>
      <w:r w:rsidRPr="009161AA">
        <w:rPr>
          <w:b/>
        </w:rPr>
        <w:lastRenderedPageBreak/>
        <w:t>TABLE</w:t>
      </w:r>
      <w:r w:rsidR="00290966" w:rsidRPr="009161AA">
        <w:rPr>
          <w:b/>
        </w:rPr>
        <w:t xml:space="preserve"> 2:</w:t>
      </w:r>
      <w:r w:rsidR="00290966" w:rsidRPr="009161AA">
        <w:t xml:space="preserve"> Description of the categories used for DAVID and EnrichR based analysis. </w:t>
      </w:r>
    </w:p>
    <w:p w14:paraId="2BAD0341" w14:textId="77777777" w:rsidR="00290966" w:rsidRPr="009161AA" w:rsidRDefault="00290966" w:rsidP="00B35FDF">
      <w:pPr>
        <w:spacing w:after="0" w:line="480" w:lineRule="auto"/>
        <w:ind w:left="1559" w:right="522" w:hanging="992"/>
        <w:contextualSpacing/>
        <w:jc w:val="both"/>
        <w:rPr>
          <w:sz w:val="6"/>
          <w:szCs w:val="6"/>
        </w:rPr>
      </w:pPr>
    </w:p>
    <w:tbl>
      <w:tblPr>
        <w:tblStyle w:val="TableGrid"/>
        <w:tblW w:w="8615" w:type="dxa"/>
        <w:jc w:val="center"/>
        <w:tblLook w:val="04A0" w:firstRow="1" w:lastRow="0" w:firstColumn="1" w:lastColumn="0" w:noHBand="0" w:noVBand="1"/>
      </w:tblPr>
      <w:tblGrid>
        <w:gridCol w:w="1438"/>
        <w:gridCol w:w="2326"/>
        <w:gridCol w:w="4851"/>
      </w:tblGrid>
      <w:tr w:rsidR="00290966" w:rsidRPr="009161AA" w14:paraId="1A43A838" w14:textId="77777777" w:rsidTr="00B055A1">
        <w:trPr>
          <w:trHeight w:val="417"/>
          <w:jc w:val="center"/>
        </w:trPr>
        <w:tc>
          <w:tcPr>
            <w:tcW w:w="1438" w:type="dxa"/>
            <w:shd w:val="clear" w:color="auto" w:fill="595959" w:themeFill="text1" w:themeFillTint="A6"/>
            <w:vAlign w:val="center"/>
          </w:tcPr>
          <w:p w14:paraId="27628C96" w14:textId="77777777" w:rsidR="00290966" w:rsidRPr="009161AA" w:rsidRDefault="00290966" w:rsidP="00B35FDF">
            <w:pPr>
              <w:spacing w:after="0" w:line="48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color w:val="FFFFFF" w:themeColor="background1"/>
                <w:sz w:val="20"/>
                <w:szCs w:val="20"/>
              </w:rPr>
              <w:t>Category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0AB82445" w14:textId="77777777" w:rsidR="00290966" w:rsidRPr="009161AA" w:rsidRDefault="00290966" w:rsidP="00B35FDF">
            <w:pPr>
              <w:spacing w:after="0" w:line="48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color w:val="FFFFFF" w:themeColor="background1"/>
                <w:sz w:val="20"/>
                <w:szCs w:val="20"/>
              </w:rPr>
              <w:t>Full form</w:t>
            </w:r>
          </w:p>
        </w:tc>
        <w:tc>
          <w:tcPr>
            <w:tcW w:w="4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14:paraId="5554335F" w14:textId="77777777" w:rsidR="00290966" w:rsidRPr="009161AA" w:rsidRDefault="00290966" w:rsidP="00B35FDF">
            <w:pPr>
              <w:spacing w:after="0" w:line="48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color w:val="FFFFFF" w:themeColor="background1"/>
                <w:sz w:val="20"/>
                <w:szCs w:val="20"/>
              </w:rPr>
              <w:t>Description</w:t>
            </w:r>
          </w:p>
        </w:tc>
      </w:tr>
      <w:tr w:rsidR="00290966" w:rsidRPr="009161AA" w14:paraId="4F30F7C1" w14:textId="77777777" w:rsidTr="00B055A1">
        <w:trPr>
          <w:trHeight w:val="541"/>
          <w:jc w:val="center"/>
        </w:trPr>
        <w:tc>
          <w:tcPr>
            <w:tcW w:w="1438" w:type="dxa"/>
            <w:vAlign w:val="center"/>
          </w:tcPr>
          <w:p w14:paraId="3099249E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BP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7E1E84AE" w14:textId="77777777" w:rsidR="00290966" w:rsidRPr="009161AA" w:rsidRDefault="00290966" w:rsidP="00B35FDF">
            <w:pPr>
              <w:spacing w:after="0" w:line="480" w:lineRule="auto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Biological Process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D50BC2" w14:textId="77777777" w:rsidR="00290966" w:rsidRPr="009161AA" w:rsidRDefault="00290966" w:rsidP="00B35FDF">
            <w:pPr>
              <w:spacing w:after="0" w:line="4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  <w:shd w:val="clear" w:color="auto" w:fill="FFFFFF"/>
              </w:rPr>
              <w:t>It encompasses broad biological goals which are accomplished by a series of molecular functions</w:t>
            </w:r>
          </w:p>
        </w:tc>
      </w:tr>
      <w:tr w:rsidR="00290966" w:rsidRPr="009161AA" w14:paraId="7029FA48" w14:textId="77777777" w:rsidTr="00B055A1">
        <w:trPr>
          <w:trHeight w:val="281"/>
          <w:jc w:val="center"/>
        </w:trPr>
        <w:tc>
          <w:tcPr>
            <w:tcW w:w="1438" w:type="dxa"/>
            <w:vAlign w:val="center"/>
          </w:tcPr>
          <w:p w14:paraId="249D7EB5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MF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4912A631" w14:textId="77777777" w:rsidR="00290966" w:rsidRPr="009161AA" w:rsidRDefault="00290966" w:rsidP="00B35FDF">
            <w:pPr>
              <w:spacing w:after="0" w:line="480" w:lineRule="auto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Molecular Function</w:t>
            </w:r>
          </w:p>
        </w:tc>
        <w:tc>
          <w:tcPr>
            <w:tcW w:w="4851" w:type="dxa"/>
            <w:tcBorders>
              <w:left w:val="single" w:sz="4" w:space="0" w:color="auto"/>
            </w:tcBorders>
            <w:vAlign w:val="center"/>
          </w:tcPr>
          <w:p w14:paraId="6B7E87BB" w14:textId="77777777" w:rsidR="00290966" w:rsidRPr="009161AA" w:rsidRDefault="00290966" w:rsidP="00B35FDF">
            <w:pPr>
              <w:spacing w:after="0" w:line="4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  <w:shd w:val="clear" w:color="auto" w:fill="FFFFFF"/>
              </w:rPr>
              <w:t>It describes individual gene activities</w:t>
            </w:r>
          </w:p>
        </w:tc>
      </w:tr>
      <w:tr w:rsidR="00290966" w:rsidRPr="009161AA" w14:paraId="2CAFD407" w14:textId="77777777" w:rsidTr="00B055A1">
        <w:trPr>
          <w:trHeight w:val="541"/>
          <w:jc w:val="center"/>
        </w:trPr>
        <w:tc>
          <w:tcPr>
            <w:tcW w:w="1438" w:type="dxa"/>
            <w:vAlign w:val="center"/>
          </w:tcPr>
          <w:p w14:paraId="157384FC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CC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0BC16F86" w14:textId="77777777" w:rsidR="00290966" w:rsidRPr="009161AA" w:rsidRDefault="00290966" w:rsidP="00B35FDF">
            <w:pPr>
              <w:spacing w:after="0" w:line="480" w:lineRule="auto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Cellular Function</w:t>
            </w:r>
          </w:p>
        </w:tc>
        <w:tc>
          <w:tcPr>
            <w:tcW w:w="4851" w:type="dxa"/>
            <w:tcBorders>
              <w:left w:val="single" w:sz="4" w:space="0" w:color="auto"/>
            </w:tcBorders>
            <w:vAlign w:val="center"/>
          </w:tcPr>
          <w:p w14:paraId="16E00F18" w14:textId="77777777" w:rsidR="00290966" w:rsidRPr="009161AA" w:rsidRDefault="00290966" w:rsidP="00B35FDF">
            <w:pPr>
              <w:spacing w:after="0" w:line="480" w:lineRule="auto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161AA">
              <w:rPr>
                <w:color w:val="000000" w:themeColor="text1"/>
                <w:sz w:val="20"/>
                <w:szCs w:val="20"/>
                <w:shd w:val="clear" w:color="auto" w:fill="FFFFFF"/>
              </w:rPr>
              <w:t>It involves the location of genes, sub-cellular structures, type of macromolecular complex</w:t>
            </w:r>
          </w:p>
        </w:tc>
      </w:tr>
      <w:tr w:rsidR="00290966" w:rsidRPr="009161AA" w14:paraId="33A944F8" w14:textId="77777777" w:rsidTr="00B055A1">
        <w:trPr>
          <w:trHeight w:val="541"/>
          <w:jc w:val="center"/>
        </w:trPr>
        <w:tc>
          <w:tcPr>
            <w:tcW w:w="1438" w:type="dxa"/>
            <w:vAlign w:val="center"/>
          </w:tcPr>
          <w:p w14:paraId="7065CEE1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Jensen Diseases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0CBE92BD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851" w:type="dxa"/>
            <w:tcBorders>
              <w:left w:val="single" w:sz="4" w:space="0" w:color="auto"/>
            </w:tcBorders>
            <w:vAlign w:val="center"/>
          </w:tcPr>
          <w:p w14:paraId="06102006" w14:textId="77777777" w:rsidR="00290966" w:rsidRPr="009161AA" w:rsidRDefault="00290966" w:rsidP="00B35FDF">
            <w:pPr>
              <w:spacing w:after="0" w:line="480" w:lineRule="auto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It is a disease database that integrates evidences on human gene-disease associations from literature, cancer mutation data, and genome-wide association studies</w:t>
            </w:r>
          </w:p>
        </w:tc>
      </w:tr>
      <w:tr w:rsidR="00290966" w:rsidRPr="009161AA" w14:paraId="158E0193" w14:textId="77777777" w:rsidTr="00B055A1">
        <w:trPr>
          <w:trHeight w:val="565"/>
          <w:jc w:val="center"/>
        </w:trPr>
        <w:tc>
          <w:tcPr>
            <w:tcW w:w="1438" w:type="dxa"/>
            <w:vAlign w:val="center"/>
          </w:tcPr>
          <w:p w14:paraId="7FC7C02C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KEGG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2D244F46" w14:textId="77777777" w:rsidR="00290966" w:rsidRPr="009161AA" w:rsidRDefault="00290966" w:rsidP="00B35FDF">
            <w:pPr>
              <w:spacing w:after="0" w:line="480" w:lineRule="auto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Kyoto Encyclopaedia of Genes and Genomes</w:t>
            </w:r>
          </w:p>
        </w:tc>
        <w:tc>
          <w:tcPr>
            <w:tcW w:w="4851" w:type="dxa"/>
            <w:tcBorders>
              <w:left w:val="single" w:sz="4" w:space="0" w:color="auto"/>
            </w:tcBorders>
            <w:vAlign w:val="center"/>
          </w:tcPr>
          <w:p w14:paraId="6501EA7F" w14:textId="77777777" w:rsidR="00290966" w:rsidRPr="009161AA" w:rsidRDefault="00290966" w:rsidP="00B35FDF">
            <w:pPr>
              <w:spacing w:after="0" w:line="480" w:lineRule="auto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It helps to understand pathways covered by multiple genes</w:t>
            </w:r>
          </w:p>
        </w:tc>
      </w:tr>
      <w:tr w:rsidR="00290966" w:rsidRPr="009161AA" w14:paraId="7651528D" w14:textId="77777777" w:rsidTr="00B055A1">
        <w:trPr>
          <w:trHeight w:val="606"/>
          <w:jc w:val="center"/>
        </w:trPr>
        <w:tc>
          <w:tcPr>
            <w:tcW w:w="1438" w:type="dxa"/>
            <w:vAlign w:val="center"/>
          </w:tcPr>
          <w:p w14:paraId="03DF2C6A" w14:textId="77777777" w:rsidR="00290966" w:rsidRPr="009161AA" w:rsidRDefault="00290966" w:rsidP="00B35FDF">
            <w:pPr>
              <w:spacing w:after="0" w:line="48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NCI-Nature</w:t>
            </w:r>
          </w:p>
        </w:tc>
        <w:tc>
          <w:tcPr>
            <w:tcW w:w="2326" w:type="dxa"/>
            <w:tcBorders>
              <w:right w:val="single" w:sz="4" w:space="0" w:color="auto"/>
            </w:tcBorders>
            <w:vAlign w:val="center"/>
          </w:tcPr>
          <w:p w14:paraId="23B780FA" w14:textId="77777777" w:rsidR="00290966" w:rsidRPr="009161AA" w:rsidRDefault="00290966" w:rsidP="00B35FDF">
            <w:pPr>
              <w:spacing w:after="0" w:line="480" w:lineRule="auto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National Cancer Institute- Nature Pathway</w:t>
            </w:r>
          </w:p>
        </w:tc>
        <w:tc>
          <w:tcPr>
            <w:tcW w:w="4851" w:type="dxa"/>
            <w:tcBorders>
              <w:left w:val="single" w:sz="4" w:space="0" w:color="auto"/>
            </w:tcBorders>
            <w:vAlign w:val="center"/>
          </w:tcPr>
          <w:p w14:paraId="51DBBF93" w14:textId="77777777" w:rsidR="00290966" w:rsidRPr="009161AA" w:rsidRDefault="00290966" w:rsidP="00B35FDF">
            <w:pPr>
              <w:spacing w:after="0" w:line="48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161AA">
              <w:rPr>
                <w:color w:val="000000" w:themeColor="text1"/>
                <w:sz w:val="20"/>
                <w:szCs w:val="20"/>
              </w:rPr>
              <w:t>It is a highly curated collection of pathways created by the Nature Publishing Group (NPG).</w:t>
            </w:r>
          </w:p>
        </w:tc>
      </w:tr>
    </w:tbl>
    <w:p w14:paraId="48CD45E7" w14:textId="77777777" w:rsidR="00D87EF2" w:rsidRPr="009161AA" w:rsidRDefault="00D87EF2" w:rsidP="00B35FDF">
      <w:pPr>
        <w:spacing w:after="0" w:line="480" w:lineRule="auto"/>
        <w:rPr>
          <w:b/>
          <w:color w:val="000000" w:themeColor="text1"/>
        </w:rPr>
      </w:pPr>
    </w:p>
    <w:p w14:paraId="77F4F429" w14:textId="64EF5B41" w:rsidR="00335ACF" w:rsidRPr="009161AA" w:rsidRDefault="00335ACF" w:rsidP="00B35FDF">
      <w:pPr>
        <w:spacing w:after="0" w:line="480" w:lineRule="auto"/>
        <w:jc w:val="center"/>
        <w:rPr>
          <w:b/>
          <w:color w:val="000000" w:themeColor="text1"/>
          <w:u w:val="single"/>
        </w:rPr>
      </w:pPr>
      <w:r w:rsidRPr="009161AA">
        <w:rPr>
          <w:b/>
          <w:color w:val="000000" w:themeColor="text1"/>
          <w:u w:val="single"/>
        </w:rPr>
        <w:t xml:space="preserve">Graphical representation of </w:t>
      </w:r>
      <w:r w:rsidR="00577C73" w:rsidRPr="009161AA">
        <w:rPr>
          <w:b/>
          <w:color w:val="000000" w:themeColor="text1"/>
          <w:u w:val="single"/>
        </w:rPr>
        <w:t>846</w:t>
      </w:r>
      <w:r w:rsidRPr="009161AA">
        <w:rPr>
          <w:b/>
          <w:color w:val="000000" w:themeColor="text1"/>
          <w:u w:val="single"/>
        </w:rPr>
        <w:t xml:space="preserve"> DEGs in six GEO profiles</w:t>
      </w:r>
    </w:p>
    <w:p w14:paraId="0B47C73A" w14:textId="77777777" w:rsidR="00335ACF" w:rsidRPr="009161AA" w:rsidRDefault="00335ACF" w:rsidP="00B35FDF">
      <w:pPr>
        <w:spacing w:after="0" w:line="480" w:lineRule="auto"/>
        <w:jc w:val="center"/>
        <w:rPr>
          <w:b/>
          <w:color w:val="000000" w:themeColor="text1"/>
          <w:u w:val="single"/>
        </w:rPr>
      </w:pPr>
    </w:p>
    <w:p w14:paraId="5BB2B923" w14:textId="56FA6581" w:rsidR="00335ACF" w:rsidRPr="009161AA" w:rsidRDefault="00335ACF" w:rsidP="00B35FDF">
      <w:pPr>
        <w:spacing w:after="0" w:line="480" w:lineRule="auto"/>
        <w:jc w:val="both"/>
        <w:rPr>
          <w:color w:val="000000" w:themeColor="text1"/>
        </w:rPr>
      </w:pPr>
      <w:r w:rsidRPr="009161AA">
        <w:rPr>
          <w:color w:val="000000" w:themeColor="text1"/>
        </w:rPr>
        <w:t>The figures below (</w:t>
      </w:r>
      <w:r w:rsidRPr="009161AA">
        <w:rPr>
          <w:b/>
          <w:color w:val="000000" w:themeColor="text1"/>
        </w:rPr>
        <w:t>FIGURE 1-6</w:t>
      </w:r>
      <w:r w:rsidRPr="009161AA">
        <w:rPr>
          <w:color w:val="000000" w:themeColor="text1"/>
        </w:rPr>
        <w:t xml:space="preserve">) are the graphical representation of </w:t>
      </w:r>
      <w:r w:rsidR="003B34F3" w:rsidRPr="009161AA">
        <w:rPr>
          <w:color w:val="000000" w:themeColor="text1"/>
        </w:rPr>
        <w:t>846</w:t>
      </w:r>
      <w:r w:rsidRPr="009161AA">
        <w:rPr>
          <w:color w:val="000000" w:themeColor="text1"/>
        </w:rPr>
        <w:t xml:space="preserve"> DEGs in six myeloid and lymphoid malignancies under study.</w:t>
      </w:r>
    </w:p>
    <w:p w14:paraId="72754EFA" w14:textId="406823AF" w:rsidR="00335ACF" w:rsidRPr="009161AA" w:rsidRDefault="00874FB6" w:rsidP="00B35FDF">
      <w:pPr>
        <w:spacing w:after="0" w:line="480" w:lineRule="auto"/>
        <w:jc w:val="center"/>
        <w:rPr>
          <w:color w:val="000000" w:themeColor="text1"/>
        </w:rPr>
      </w:pPr>
      <w:r w:rsidRPr="009161AA">
        <w:rPr>
          <w:noProof/>
          <w:color w:val="000000" w:themeColor="text1"/>
        </w:rPr>
        <w:drawing>
          <wp:inline distT="0" distB="0" distL="0" distR="0" wp14:anchorId="14DA93BF" wp14:editId="1DE72F0A">
            <wp:extent cx="2294659" cy="1671005"/>
            <wp:effectExtent l="19050" t="19050" r="10795" b="247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79" cy="16853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63AFCE" w14:textId="7287B5A4" w:rsidR="00335ACF" w:rsidRPr="009161AA" w:rsidRDefault="00335ACF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b/>
          <w:color w:val="000000" w:themeColor="text1"/>
        </w:rPr>
        <w:t xml:space="preserve">FIGURE 1: </w:t>
      </w:r>
      <w:r w:rsidRPr="009161AA">
        <w:rPr>
          <w:color w:val="000000" w:themeColor="text1"/>
        </w:rPr>
        <w:t>Graphical representation of upregulated (red bar), and down</w:t>
      </w:r>
      <w:r w:rsidR="000F17EF" w:rsidRPr="009161AA">
        <w:rPr>
          <w:color w:val="000000" w:themeColor="text1"/>
        </w:rPr>
        <w:t xml:space="preserve"> </w:t>
      </w:r>
      <w:r w:rsidRPr="009161AA">
        <w:rPr>
          <w:color w:val="000000" w:themeColor="text1"/>
        </w:rPr>
        <w:t>regulated genes (green bar) in CML</w:t>
      </w:r>
      <w:r w:rsidR="00AF138F" w:rsidRPr="009161AA">
        <w:rPr>
          <w:color w:val="000000" w:themeColor="text1"/>
        </w:rPr>
        <w:t>.</w:t>
      </w:r>
    </w:p>
    <w:p w14:paraId="205C235E" w14:textId="77777777" w:rsidR="00335ACF" w:rsidRPr="009161AA" w:rsidRDefault="00335ACF" w:rsidP="00B35FDF">
      <w:pPr>
        <w:spacing w:after="0" w:line="480" w:lineRule="auto"/>
        <w:rPr>
          <w:color w:val="000000" w:themeColor="text1"/>
        </w:rPr>
      </w:pPr>
    </w:p>
    <w:p w14:paraId="09C5831A" w14:textId="5AA222AA" w:rsidR="00335ACF" w:rsidRPr="009161AA" w:rsidRDefault="00874FB6" w:rsidP="00B35FDF">
      <w:pPr>
        <w:spacing w:after="0" w:line="480" w:lineRule="auto"/>
        <w:jc w:val="center"/>
        <w:rPr>
          <w:color w:val="000000" w:themeColor="text1"/>
        </w:rPr>
      </w:pPr>
      <w:r w:rsidRPr="009161AA">
        <w:rPr>
          <w:noProof/>
          <w:color w:val="000000" w:themeColor="text1"/>
        </w:rPr>
        <w:lastRenderedPageBreak/>
        <w:drawing>
          <wp:inline distT="0" distB="0" distL="0" distR="0" wp14:anchorId="5250EAF5" wp14:editId="7D3ABEF3">
            <wp:extent cx="5323102" cy="2505075"/>
            <wp:effectExtent l="19050" t="19050" r="1143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954" cy="25384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128104" w14:textId="209440D4" w:rsidR="000F17EF" w:rsidRPr="009161AA" w:rsidRDefault="00335ACF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b/>
          <w:color w:val="000000" w:themeColor="text1"/>
        </w:rPr>
        <w:t>FIGURE 2:</w:t>
      </w:r>
      <w:r w:rsidRPr="009161AA">
        <w:rPr>
          <w:color w:val="000000" w:themeColor="text1"/>
        </w:rPr>
        <w:t xml:space="preserve"> </w:t>
      </w:r>
      <w:r w:rsidR="000F17EF" w:rsidRPr="009161AA">
        <w:rPr>
          <w:color w:val="000000" w:themeColor="text1"/>
        </w:rPr>
        <w:t>Graphical representation of upregulated (red bar), and down regulated genes (green bar) in AML</w:t>
      </w:r>
      <w:r w:rsidR="00AF138F" w:rsidRPr="009161AA">
        <w:rPr>
          <w:color w:val="000000" w:themeColor="text1"/>
        </w:rPr>
        <w:t>.</w:t>
      </w:r>
    </w:p>
    <w:p w14:paraId="443C1591" w14:textId="70EC6412" w:rsidR="00335ACF" w:rsidRPr="009161AA" w:rsidRDefault="00874FB6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noProof/>
          <w:color w:val="000000" w:themeColor="text1"/>
        </w:rPr>
        <w:drawing>
          <wp:inline distT="0" distB="0" distL="0" distR="0" wp14:anchorId="606575A0" wp14:editId="4743C81F">
            <wp:extent cx="5286375" cy="2319843"/>
            <wp:effectExtent l="19050" t="19050" r="9525" b="234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35" cy="23368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90C212" w14:textId="269AED74" w:rsidR="000F17EF" w:rsidRPr="009161AA" w:rsidRDefault="00335ACF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b/>
          <w:color w:val="000000" w:themeColor="text1"/>
        </w:rPr>
        <w:t>FIGURE 3:</w:t>
      </w:r>
      <w:r w:rsidRPr="009161AA">
        <w:rPr>
          <w:color w:val="000000" w:themeColor="text1"/>
        </w:rPr>
        <w:t xml:space="preserve"> </w:t>
      </w:r>
      <w:r w:rsidR="000F17EF" w:rsidRPr="009161AA">
        <w:rPr>
          <w:color w:val="000000" w:themeColor="text1"/>
        </w:rPr>
        <w:t>Graphical representation of upregulated (red bar), and down regulated genes (green bar) in B-CLL</w:t>
      </w:r>
      <w:r w:rsidR="00AF138F" w:rsidRPr="009161AA">
        <w:rPr>
          <w:color w:val="000000" w:themeColor="text1"/>
        </w:rPr>
        <w:t>.</w:t>
      </w:r>
    </w:p>
    <w:p w14:paraId="3224FCD3" w14:textId="6B720687" w:rsidR="00335ACF" w:rsidRPr="009161AA" w:rsidRDefault="00335ACF" w:rsidP="00B35FDF">
      <w:pPr>
        <w:spacing w:after="0" w:line="480" w:lineRule="auto"/>
        <w:ind w:left="1843" w:hanging="1276"/>
        <w:jc w:val="both"/>
        <w:rPr>
          <w:color w:val="000000" w:themeColor="text1"/>
        </w:rPr>
      </w:pPr>
    </w:p>
    <w:p w14:paraId="5003FD5F" w14:textId="02DCD9B0" w:rsidR="00335ACF" w:rsidRPr="009161AA" w:rsidRDefault="00874FB6" w:rsidP="00B35FDF">
      <w:pPr>
        <w:spacing w:after="0" w:line="480" w:lineRule="auto"/>
        <w:jc w:val="center"/>
        <w:rPr>
          <w:color w:val="000000" w:themeColor="text1"/>
        </w:rPr>
      </w:pPr>
      <w:r w:rsidRPr="009161AA">
        <w:rPr>
          <w:noProof/>
          <w:color w:val="000000" w:themeColor="text1"/>
        </w:rPr>
        <w:lastRenderedPageBreak/>
        <w:drawing>
          <wp:inline distT="0" distB="0" distL="0" distR="0" wp14:anchorId="14BF18CE" wp14:editId="2D8038CE">
            <wp:extent cx="5334000" cy="2403637"/>
            <wp:effectExtent l="19050" t="19050" r="19050" b="158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209" cy="24240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4BFECC" w14:textId="47B05295" w:rsidR="00335ACF" w:rsidRPr="009161AA" w:rsidRDefault="00335ACF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b/>
          <w:color w:val="000000" w:themeColor="text1"/>
        </w:rPr>
        <w:t>FIGURE 4:</w:t>
      </w:r>
      <w:r w:rsidRPr="009161AA">
        <w:rPr>
          <w:color w:val="000000" w:themeColor="text1"/>
        </w:rPr>
        <w:t xml:space="preserve"> </w:t>
      </w:r>
      <w:r w:rsidR="000F17EF" w:rsidRPr="009161AA">
        <w:rPr>
          <w:color w:val="000000" w:themeColor="text1"/>
        </w:rPr>
        <w:t>Graphical representation of upregulated (red bar), and down regulated genes (green bar) in T-ALL</w:t>
      </w:r>
      <w:r w:rsidR="00AF138F" w:rsidRPr="009161AA">
        <w:rPr>
          <w:color w:val="000000" w:themeColor="text1"/>
        </w:rPr>
        <w:t>.</w:t>
      </w:r>
    </w:p>
    <w:p w14:paraId="35E505A0" w14:textId="525D0993" w:rsidR="007035B2" w:rsidRPr="00B35FDF" w:rsidRDefault="00874FB6" w:rsidP="00B35FDF">
      <w:pPr>
        <w:spacing w:after="0" w:line="480" w:lineRule="auto"/>
        <w:jc w:val="both"/>
        <w:rPr>
          <w:color w:val="000000" w:themeColor="text1"/>
        </w:rPr>
      </w:pPr>
      <w:r w:rsidRPr="009161AA">
        <w:rPr>
          <w:noProof/>
          <w:color w:val="000000" w:themeColor="text1"/>
        </w:rPr>
        <w:drawing>
          <wp:inline distT="0" distB="0" distL="0" distR="0" wp14:anchorId="578F9B9D" wp14:editId="7A150B49">
            <wp:extent cx="5318760" cy="2114550"/>
            <wp:effectExtent l="19050" t="19050" r="1524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323" cy="21290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CC0EBB" w14:textId="0D7F174E" w:rsidR="000F17EF" w:rsidRPr="009161AA" w:rsidRDefault="00335ACF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b/>
          <w:color w:val="000000" w:themeColor="text1"/>
        </w:rPr>
        <w:t>FIGURE 5:</w:t>
      </w:r>
      <w:r w:rsidRPr="009161AA">
        <w:rPr>
          <w:color w:val="000000" w:themeColor="text1"/>
        </w:rPr>
        <w:t xml:space="preserve"> </w:t>
      </w:r>
      <w:r w:rsidR="000F17EF" w:rsidRPr="009161AA">
        <w:rPr>
          <w:color w:val="000000" w:themeColor="text1"/>
        </w:rPr>
        <w:t>Graphical representation of upregulated (red bar), and down regulated genes (green bar) in HL</w:t>
      </w:r>
      <w:r w:rsidR="00AF138F" w:rsidRPr="009161AA">
        <w:rPr>
          <w:color w:val="000000" w:themeColor="text1"/>
        </w:rPr>
        <w:t>.</w:t>
      </w:r>
    </w:p>
    <w:p w14:paraId="6BB0A0DF" w14:textId="3AE983A3" w:rsidR="00335ACF" w:rsidRPr="009161AA" w:rsidRDefault="00874FB6" w:rsidP="00B35FDF">
      <w:pPr>
        <w:spacing w:after="0" w:line="480" w:lineRule="auto"/>
        <w:jc w:val="center"/>
        <w:rPr>
          <w:color w:val="000000" w:themeColor="text1"/>
        </w:rPr>
      </w:pPr>
      <w:r w:rsidRPr="009161AA">
        <w:rPr>
          <w:noProof/>
          <w:color w:val="000000" w:themeColor="text1"/>
        </w:rPr>
        <w:drawing>
          <wp:inline distT="0" distB="0" distL="0" distR="0" wp14:anchorId="4C35A018" wp14:editId="77533A5D">
            <wp:extent cx="5295900" cy="1468120"/>
            <wp:effectExtent l="19050" t="19050" r="19050" b="177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772" cy="14766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9B4B18" w14:textId="5FADB8E4" w:rsidR="000F17EF" w:rsidRPr="009161AA" w:rsidRDefault="00335ACF" w:rsidP="00B35FDF">
      <w:pPr>
        <w:spacing w:after="0" w:line="480" w:lineRule="auto"/>
        <w:ind w:left="1276" w:hanging="1276"/>
        <w:jc w:val="both"/>
        <w:rPr>
          <w:color w:val="000000" w:themeColor="text1"/>
        </w:rPr>
      </w:pPr>
      <w:r w:rsidRPr="009161AA">
        <w:rPr>
          <w:b/>
          <w:color w:val="000000" w:themeColor="text1"/>
        </w:rPr>
        <w:t>FIGURE 6:</w:t>
      </w:r>
      <w:r w:rsidRPr="009161AA">
        <w:rPr>
          <w:color w:val="000000" w:themeColor="text1"/>
        </w:rPr>
        <w:t xml:space="preserve"> </w:t>
      </w:r>
      <w:r w:rsidR="000F17EF" w:rsidRPr="009161AA">
        <w:rPr>
          <w:color w:val="000000" w:themeColor="text1"/>
        </w:rPr>
        <w:t>Graphical representation of upregulated (red bar), and down regulated genes (green bar) in NHL</w:t>
      </w:r>
      <w:r w:rsidR="00AF138F" w:rsidRPr="009161AA">
        <w:rPr>
          <w:color w:val="000000" w:themeColor="text1"/>
        </w:rPr>
        <w:t>.</w:t>
      </w:r>
    </w:p>
    <w:p w14:paraId="7982E65D" w14:textId="260CDDD5" w:rsidR="00335ACF" w:rsidRPr="009161AA" w:rsidRDefault="00335ACF" w:rsidP="00B35FDF">
      <w:pPr>
        <w:spacing w:after="0" w:line="480" w:lineRule="auto"/>
        <w:jc w:val="center"/>
        <w:rPr>
          <w:b/>
          <w:color w:val="000000" w:themeColor="text1"/>
          <w:u w:val="single"/>
        </w:rPr>
      </w:pPr>
      <w:r w:rsidRPr="009161AA">
        <w:rPr>
          <w:b/>
          <w:color w:val="000000" w:themeColor="text1"/>
          <w:u w:val="single"/>
        </w:rPr>
        <w:lastRenderedPageBreak/>
        <w:t>Differential expression and functions of 3</w:t>
      </w:r>
      <w:r w:rsidR="00D83CB3" w:rsidRPr="009161AA">
        <w:rPr>
          <w:b/>
          <w:color w:val="000000" w:themeColor="text1"/>
          <w:u w:val="single"/>
        </w:rPr>
        <w:t>0</w:t>
      </w:r>
      <w:r w:rsidRPr="009161AA">
        <w:rPr>
          <w:b/>
          <w:color w:val="000000" w:themeColor="text1"/>
          <w:u w:val="single"/>
        </w:rPr>
        <w:t xml:space="preserve"> genes common in six blood cancer profiles along with structural and/or molecular instabilities</w:t>
      </w:r>
    </w:p>
    <w:p w14:paraId="3FDC7A22" w14:textId="7515041E" w:rsidR="009C0AF9" w:rsidRPr="009161AA" w:rsidRDefault="00335ACF" w:rsidP="00B35FDF">
      <w:pPr>
        <w:spacing w:after="0" w:line="480" w:lineRule="auto"/>
        <w:jc w:val="both"/>
        <w:rPr>
          <w:color w:val="000000" w:themeColor="text1"/>
        </w:rPr>
      </w:pPr>
      <w:r w:rsidRPr="009161AA">
        <w:rPr>
          <w:color w:val="000000" w:themeColor="text1"/>
        </w:rPr>
        <w:t>The disease-wise distribution of 3</w:t>
      </w:r>
      <w:r w:rsidR="00D83CB3" w:rsidRPr="009161AA">
        <w:rPr>
          <w:color w:val="000000" w:themeColor="text1"/>
        </w:rPr>
        <w:t>0</w:t>
      </w:r>
      <w:r w:rsidRPr="009161AA">
        <w:rPr>
          <w:color w:val="000000" w:themeColor="text1"/>
        </w:rPr>
        <w:t xml:space="preserve"> DEGs commonly altered in </w:t>
      </w:r>
      <w:r w:rsidR="00703A2F" w:rsidRPr="009161AA">
        <w:rPr>
          <w:color w:val="000000" w:themeColor="text1"/>
        </w:rPr>
        <w:t xml:space="preserve">selective </w:t>
      </w:r>
      <w:r w:rsidRPr="009161AA">
        <w:rPr>
          <w:color w:val="000000" w:themeColor="text1"/>
        </w:rPr>
        <w:t>blood-cancers with a focus on their expression value (logFC), GO (Gene Ontology) function, and structural/molecular instabilities are enlisted in the tables below (</w:t>
      </w:r>
      <w:r w:rsidR="00496C83" w:rsidRPr="009161AA">
        <w:rPr>
          <w:b/>
          <w:color w:val="000000" w:themeColor="text1"/>
        </w:rPr>
        <w:t>Table 3</w:t>
      </w:r>
      <w:r w:rsidRPr="009161AA">
        <w:rPr>
          <w:color w:val="000000" w:themeColor="text1"/>
        </w:rPr>
        <w:t xml:space="preserve">). </w:t>
      </w:r>
    </w:p>
    <w:p w14:paraId="6BADF7AF" w14:textId="77777777" w:rsidR="00AF138F" w:rsidRPr="009161AA" w:rsidRDefault="00AF138F" w:rsidP="00B35FDF">
      <w:pPr>
        <w:spacing w:after="0" w:line="480" w:lineRule="auto"/>
        <w:jc w:val="both"/>
        <w:rPr>
          <w:color w:val="000000" w:themeColor="text1"/>
        </w:rPr>
      </w:pPr>
    </w:p>
    <w:p w14:paraId="29ACFC3F" w14:textId="7394032C" w:rsidR="009C0AF9" w:rsidRPr="009161AA" w:rsidRDefault="009C0AF9" w:rsidP="00B35FDF">
      <w:pPr>
        <w:tabs>
          <w:tab w:val="left" w:pos="0"/>
        </w:tabs>
        <w:spacing w:after="0" w:line="480" w:lineRule="auto"/>
        <w:ind w:left="567" w:right="-624" w:hanging="1134"/>
        <w:jc w:val="both"/>
        <w:rPr>
          <w:szCs w:val="32"/>
        </w:rPr>
      </w:pPr>
      <w:r w:rsidRPr="009161AA">
        <w:rPr>
          <w:b/>
          <w:szCs w:val="32"/>
        </w:rPr>
        <w:t>T</w:t>
      </w:r>
      <w:r w:rsidR="00535833">
        <w:rPr>
          <w:b/>
          <w:szCs w:val="32"/>
        </w:rPr>
        <w:t>ABLE</w:t>
      </w:r>
      <w:r w:rsidRPr="009161AA">
        <w:rPr>
          <w:b/>
          <w:szCs w:val="32"/>
        </w:rPr>
        <w:t xml:space="preserve"> </w:t>
      </w:r>
      <w:r w:rsidR="00496C83" w:rsidRPr="009161AA">
        <w:rPr>
          <w:b/>
          <w:szCs w:val="32"/>
        </w:rPr>
        <w:t>3</w:t>
      </w:r>
      <w:r w:rsidRPr="009161AA">
        <w:rPr>
          <w:b/>
          <w:szCs w:val="32"/>
        </w:rPr>
        <w:t xml:space="preserve">: </w:t>
      </w:r>
      <w:r w:rsidRPr="009161AA">
        <w:rPr>
          <w:bCs/>
          <w:szCs w:val="32"/>
        </w:rPr>
        <w:t>List of 30 genes, their n</w:t>
      </w:r>
      <w:bookmarkStart w:id="0" w:name="_Hlk73803302"/>
      <w:r w:rsidRPr="009161AA">
        <w:rPr>
          <w:szCs w:val="32"/>
        </w:rPr>
        <w:t>ormal biological functions and types of anomalies that affect these functions in various haematologic malignancies.</w:t>
      </w:r>
    </w:p>
    <w:p w14:paraId="65A0A956" w14:textId="77777777" w:rsidR="009C0AF9" w:rsidRPr="009161AA" w:rsidRDefault="009C0AF9" w:rsidP="00B35FDF">
      <w:pPr>
        <w:spacing w:after="0" w:line="480" w:lineRule="auto"/>
        <w:ind w:left="-567" w:right="-624"/>
        <w:jc w:val="both"/>
        <w:rPr>
          <w:sz w:val="20"/>
        </w:rPr>
      </w:pPr>
    </w:p>
    <w:tbl>
      <w:tblPr>
        <w:tblStyle w:val="TableGrid"/>
        <w:tblW w:w="5797" w:type="pct"/>
        <w:jc w:val="center"/>
        <w:tblLayout w:type="fixed"/>
        <w:tblLook w:val="04A0" w:firstRow="1" w:lastRow="0" w:firstColumn="1" w:lastColumn="0" w:noHBand="0" w:noVBand="1"/>
      </w:tblPr>
      <w:tblGrid>
        <w:gridCol w:w="2613"/>
        <w:gridCol w:w="1388"/>
        <w:gridCol w:w="4932"/>
        <w:gridCol w:w="1520"/>
      </w:tblGrid>
      <w:tr w:rsidR="009C0AF9" w:rsidRPr="009161AA" w14:paraId="2C38CF71" w14:textId="77777777" w:rsidTr="00A93619">
        <w:trPr>
          <w:trHeight w:val="615"/>
          <w:jc w:val="center"/>
        </w:trPr>
        <w:tc>
          <w:tcPr>
            <w:tcW w:w="1250" w:type="pct"/>
          </w:tcPr>
          <w:p w14:paraId="6C55C2A5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b/>
                <w:bCs/>
                <w:sz w:val="18"/>
                <w:szCs w:val="18"/>
              </w:rPr>
            </w:pPr>
            <w:r w:rsidRPr="009161AA">
              <w:rPr>
                <w:b/>
                <w:bCs/>
                <w:sz w:val="18"/>
                <w:szCs w:val="18"/>
              </w:rPr>
              <w:t xml:space="preserve">Cancer profiles with DEGs </w:t>
            </w:r>
          </w:p>
        </w:tc>
        <w:tc>
          <w:tcPr>
            <w:tcW w:w="664" w:type="pct"/>
          </w:tcPr>
          <w:p w14:paraId="311911E7" w14:textId="77777777" w:rsidR="009C0AF9" w:rsidRPr="009161AA" w:rsidRDefault="009C0AF9" w:rsidP="00B35FDF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161AA">
              <w:rPr>
                <w:b/>
                <w:bCs/>
                <w:sz w:val="18"/>
                <w:szCs w:val="18"/>
              </w:rPr>
              <w:t>Genes</w:t>
            </w:r>
          </w:p>
        </w:tc>
        <w:tc>
          <w:tcPr>
            <w:tcW w:w="2359" w:type="pct"/>
          </w:tcPr>
          <w:p w14:paraId="29D09C5E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b/>
                <w:bCs/>
                <w:sz w:val="18"/>
                <w:szCs w:val="18"/>
              </w:rPr>
            </w:pPr>
            <w:r w:rsidRPr="009161AA">
              <w:rPr>
                <w:b/>
                <w:bCs/>
                <w:sz w:val="18"/>
                <w:szCs w:val="18"/>
              </w:rPr>
              <w:t>Normal gene function</w:t>
            </w:r>
          </w:p>
        </w:tc>
        <w:tc>
          <w:tcPr>
            <w:tcW w:w="728" w:type="pct"/>
          </w:tcPr>
          <w:p w14:paraId="430B86A2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b/>
                <w:bCs/>
                <w:sz w:val="18"/>
                <w:szCs w:val="18"/>
              </w:rPr>
            </w:pPr>
            <w:r w:rsidRPr="009161AA">
              <w:rPr>
                <w:b/>
                <w:bCs/>
                <w:sz w:val="18"/>
                <w:szCs w:val="18"/>
              </w:rPr>
              <w:t>Cytogenetic/ Molecular Anomalies</w:t>
            </w:r>
          </w:p>
        </w:tc>
      </w:tr>
      <w:tr w:rsidR="009C0AF9" w:rsidRPr="009161AA" w14:paraId="470FA7AC" w14:textId="77777777" w:rsidTr="00A93619">
        <w:trPr>
          <w:trHeight w:val="512"/>
          <w:jc w:val="center"/>
        </w:trPr>
        <w:tc>
          <w:tcPr>
            <w:tcW w:w="1250" w:type="pct"/>
            <w:vAlign w:val="center"/>
          </w:tcPr>
          <w:p w14:paraId="1A7AECA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CML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</w:p>
        </w:tc>
        <w:tc>
          <w:tcPr>
            <w:tcW w:w="664" w:type="pct"/>
            <w:vAlign w:val="center"/>
          </w:tcPr>
          <w:p w14:paraId="78D6A5C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FLT3</w:t>
            </w:r>
          </w:p>
        </w:tc>
        <w:tc>
          <w:tcPr>
            <w:tcW w:w="2359" w:type="pct"/>
            <w:vAlign w:val="center"/>
          </w:tcPr>
          <w:p w14:paraId="5DA1AF15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Differentiation, proliferation, and survival of haematopoietic progenitor cells</w:t>
            </w:r>
          </w:p>
        </w:tc>
        <w:tc>
          <w:tcPr>
            <w:tcW w:w="728" w:type="pct"/>
            <w:vAlign w:val="center"/>
          </w:tcPr>
          <w:p w14:paraId="1EC6AE0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2A650EF5" w14:textId="77777777" w:rsidTr="00A93619">
        <w:trPr>
          <w:trHeight w:val="371"/>
          <w:jc w:val="center"/>
        </w:trPr>
        <w:tc>
          <w:tcPr>
            <w:tcW w:w="1250" w:type="pct"/>
            <w:vAlign w:val="center"/>
          </w:tcPr>
          <w:p w14:paraId="3EA05CD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2917229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GAPDH</w:t>
            </w:r>
          </w:p>
        </w:tc>
        <w:tc>
          <w:tcPr>
            <w:tcW w:w="2359" w:type="pct"/>
            <w:vAlign w:val="center"/>
          </w:tcPr>
          <w:p w14:paraId="7795C274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Glyceraldehyde-3-phosphate dehydrogenase activity</w:t>
            </w:r>
          </w:p>
        </w:tc>
        <w:tc>
          <w:tcPr>
            <w:tcW w:w="728" w:type="pct"/>
            <w:vAlign w:val="center"/>
          </w:tcPr>
          <w:p w14:paraId="4751DBA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00154990" w14:textId="77777777" w:rsidTr="00A93619">
        <w:trPr>
          <w:trHeight w:val="358"/>
          <w:jc w:val="center"/>
        </w:trPr>
        <w:tc>
          <w:tcPr>
            <w:tcW w:w="1250" w:type="pct"/>
            <w:vMerge w:val="restart"/>
            <w:vAlign w:val="center"/>
          </w:tcPr>
          <w:p w14:paraId="01FB8CB2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NHL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2A514B47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NREP</w:t>
            </w:r>
          </w:p>
        </w:tc>
        <w:tc>
          <w:tcPr>
            <w:tcW w:w="2359" w:type="pct"/>
            <w:vAlign w:val="center"/>
          </w:tcPr>
          <w:p w14:paraId="0BC1A8A2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Regulation of TGFα beta receptor signalling pathway</w:t>
            </w:r>
          </w:p>
        </w:tc>
        <w:tc>
          <w:tcPr>
            <w:tcW w:w="728" w:type="pct"/>
            <w:vAlign w:val="center"/>
          </w:tcPr>
          <w:p w14:paraId="1F6EFE0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13A301C0" w14:textId="77777777" w:rsidTr="00A93619">
        <w:trPr>
          <w:trHeight w:val="345"/>
          <w:jc w:val="center"/>
        </w:trPr>
        <w:tc>
          <w:tcPr>
            <w:tcW w:w="1250" w:type="pct"/>
            <w:vMerge/>
            <w:vAlign w:val="center"/>
          </w:tcPr>
          <w:p w14:paraId="4BB3D10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4C680BA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MYB</w:t>
            </w:r>
          </w:p>
        </w:tc>
        <w:tc>
          <w:tcPr>
            <w:tcW w:w="2359" w:type="pct"/>
            <w:vAlign w:val="center"/>
          </w:tcPr>
          <w:p w14:paraId="4E951AE1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Transcriptional activator; DNA-binding protein</w:t>
            </w:r>
          </w:p>
        </w:tc>
        <w:tc>
          <w:tcPr>
            <w:tcW w:w="728" w:type="pct"/>
            <w:vAlign w:val="center"/>
          </w:tcPr>
          <w:p w14:paraId="49350F91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1DC4BA90" w14:textId="77777777" w:rsidTr="00A93619">
        <w:trPr>
          <w:trHeight w:val="369"/>
          <w:jc w:val="center"/>
        </w:trPr>
        <w:tc>
          <w:tcPr>
            <w:tcW w:w="1250" w:type="pct"/>
            <w:vMerge w:val="restart"/>
            <w:vAlign w:val="center"/>
          </w:tcPr>
          <w:p w14:paraId="6F86CE95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B-CLL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</w:p>
        </w:tc>
        <w:tc>
          <w:tcPr>
            <w:tcW w:w="664" w:type="pct"/>
            <w:vAlign w:val="center"/>
          </w:tcPr>
          <w:p w14:paraId="21B00DF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DENND3</w:t>
            </w:r>
          </w:p>
        </w:tc>
        <w:tc>
          <w:tcPr>
            <w:tcW w:w="2359" w:type="pct"/>
            <w:vAlign w:val="center"/>
          </w:tcPr>
          <w:p w14:paraId="7A136190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Guanyl-nucleotide exchange factor activity</w:t>
            </w:r>
          </w:p>
        </w:tc>
        <w:tc>
          <w:tcPr>
            <w:tcW w:w="728" w:type="pct"/>
            <w:vAlign w:val="center"/>
          </w:tcPr>
          <w:p w14:paraId="5492C60D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435E6C51" w14:textId="77777777" w:rsidTr="00A93619">
        <w:trPr>
          <w:trHeight w:val="337"/>
          <w:jc w:val="center"/>
        </w:trPr>
        <w:tc>
          <w:tcPr>
            <w:tcW w:w="1250" w:type="pct"/>
            <w:vMerge/>
            <w:vAlign w:val="center"/>
          </w:tcPr>
          <w:p w14:paraId="1F35F7FD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747757E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NEDD9</w:t>
            </w:r>
          </w:p>
        </w:tc>
        <w:tc>
          <w:tcPr>
            <w:tcW w:w="2359" w:type="pct"/>
            <w:vAlign w:val="center"/>
          </w:tcPr>
          <w:p w14:paraId="2175606A" w14:textId="77777777" w:rsidR="009C0AF9" w:rsidRPr="009161AA" w:rsidRDefault="009C0AF9" w:rsidP="00B35FDF">
            <w:pPr>
              <w:shd w:val="clear" w:color="auto" w:fill="FFFFFF"/>
              <w:spacing w:after="0" w:line="480" w:lineRule="auto"/>
              <w:contextualSpacing/>
              <w:jc w:val="both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Protein binding, protein tyrosine kinase binding</w:t>
            </w:r>
          </w:p>
        </w:tc>
        <w:tc>
          <w:tcPr>
            <w:tcW w:w="728" w:type="pct"/>
            <w:vAlign w:val="center"/>
          </w:tcPr>
          <w:p w14:paraId="2F008E4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04EA800E" w14:textId="77777777" w:rsidTr="00A93619">
        <w:trPr>
          <w:trHeight w:val="536"/>
          <w:jc w:val="center"/>
        </w:trPr>
        <w:tc>
          <w:tcPr>
            <w:tcW w:w="1250" w:type="pct"/>
            <w:vMerge/>
            <w:vAlign w:val="center"/>
          </w:tcPr>
          <w:p w14:paraId="186E405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58A5EB38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MEGF9</w:t>
            </w:r>
          </w:p>
        </w:tc>
        <w:tc>
          <w:tcPr>
            <w:tcW w:w="2359" w:type="pct"/>
            <w:vAlign w:val="center"/>
          </w:tcPr>
          <w:p w14:paraId="703D98FC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Organ morphogenesis, cell migration, substrate adhesion-dependent cell spreading</w:t>
            </w:r>
          </w:p>
        </w:tc>
        <w:tc>
          <w:tcPr>
            <w:tcW w:w="728" w:type="pct"/>
            <w:vAlign w:val="center"/>
          </w:tcPr>
          <w:p w14:paraId="0622ECFE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565E4574" w14:textId="77777777" w:rsidTr="00A93619">
        <w:trPr>
          <w:trHeight w:val="367"/>
          <w:jc w:val="center"/>
        </w:trPr>
        <w:tc>
          <w:tcPr>
            <w:tcW w:w="1250" w:type="pct"/>
            <w:vMerge/>
            <w:vAlign w:val="center"/>
          </w:tcPr>
          <w:p w14:paraId="333F39E8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1B9D423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AMPD2</w:t>
            </w:r>
          </w:p>
        </w:tc>
        <w:tc>
          <w:tcPr>
            <w:tcW w:w="2359" w:type="pct"/>
            <w:vAlign w:val="center"/>
          </w:tcPr>
          <w:p w14:paraId="7B00FB28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AMP deaminase activity</w:t>
            </w:r>
          </w:p>
        </w:tc>
        <w:tc>
          <w:tcPr>
            <w:tcW w:w="728" w:type="pct"/>
            <w:vAlign w:val="center"/>
          </w:tcPr>
          <w:p w14:paraId="6FB037E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5A7642AB" w14:textId="77777777" w:rsidTr="00A93619">
        <w:trPr>
          <w:trHeight w:val="412"/>
          <w:jc w:val="center"/>
        </w:trPr>
        <w:tc>
          <w:tcPr>
            <w:tcW w:w="1250" w:type="pct"/>
            <w:vMerge/>
            <w:vAlign w:val="center"/>
          </w:tcPr>
          <w:p w14:paraId="799B628E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5920E59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FPR1</w:t>
            </w:r>
          </w:p>
        </w:tc>
        <w:tc>
          <w:tcPr>
            <w:tcW w:w="2359" w:type="pct"/>
            <w:vAlign w:val="center"/>
          </w:tcPr>
          <w:p w14:paraId="5E156D9B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N-formyl peptide receptor and GPCR activity</w:t>
            </w:r>
          </w:p>
        </w:tc>
        <w:tc>
          <w:tcPr>
            <w:tcW w:w="728" w:type="pct"/>
            <w:vAlign w:val="center"/>
          </w:tcPr>
          <w:p w14:paraId="771ACEA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26B72D5F" w14:textId="77777777" w:rsidTr="00A93619">
        <w:trPr>
          <w:trHeight w:val="417"/>
          <w:jc w:val="center"/>
        </w:trPr>
        <w:tc>
          <w:tcPr>
            <w:tcW w:w="1250" w:type="pct"/>
            <w:vAlign w:val="center"/>
          </w:tcPr>
          <w:p w14:paraId="05E872EA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</w:p>
        </w:tc>
        <w:tc>
          <w:tcPr>
            <w:tcW w:w="664" w:type="pct"/>
            <w:vAlign w:val="center"/>
          </w:tcPr>
          <w:p w14:paraId="418D37DA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RARA</w:t>
            </w:r>
          </w:p>
        </w:tc>
        <w:tc>
          <w:tcPr>
            <w:tcW w:w="2359" w:type="pct"/>
            <w:vAlign w:val="center"/>
          </w:tcPr>
          <w:p w14:paraId="61A46C8D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rFonts w:eastAsia="Times New Roman"/>
                <w:sz w:val="18"/>
                <w:szCs w:val="18"/>
                <w:lang w:eastAsia="en-IN"/>
              </w:rPr>
              <w:t>DNA-binding transcription factor activity</w:t>
            </w:r>
          </w:p>
        </w:tc>
        <w:tc>
          <w:tcPr>
            <w:tcW w:w="728" w:type="pct"/>
            <w:vAlign w:val="center"/>
          </w:tcPr>
          <w:p w14:paraId="7BE54C9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6026AC81" w14:textId="77777777" w:rsidTr="00A93619">
        <w:trPr>
          <w:trHeight w:val="309"/>
          <w:jc w:val="center"/>
        </w:trPr>
        <w:tc>
          <w:tcPr>
            <w:tcW w:w="1250" w:type="pct"/>
            <w:vMerge w:val="restart"/>
            <w:vAlign w:val="center"/>
          </w:tcPr>
          <w:p w14:paraId="5C544F21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296C98F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SYNE2</w:t>
            </w:r>
          </w:p>
        </w:tc>
        <w:tc>
          <w:tcPr>
            <w:tcW w:w="2359" w:type="pct"/>
            <w:vAlign w:val="center"/>
          </w:tcPr>
          <w:p w14:paraId="46358F8D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Actin binding</w:t>
            </w:r>
          </w:p>
        </w:tc>
        <w:tc>
          <w:tcPr>
            <w:tcW w:w="728" w:type="pct"/>
            <w:vAlign w:val="center"/>
          </w:tcPr>
          <w:p w14:paraId="0FD1012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+/-</w:t>
            </w:r>
          </w:p>
        </w:tc>
      </w:tr>
      <w:tr w:rsidR="009C0AF9" w:rsidRPr="009161AA" w14:paraId="00A2AF46" w14:textId="77777777" w:rsidTr="00A93619">
        <w:trPr>
          <w:trHeight w:val="350"/>
          <w:jc w:val="center"/>
        </w:trPr>
        <w:tc>
          <w:tcPr>
            <w:tcW w:w="1250" w:type="pct"/>
            <w:vMerge/>
            <w:vAlign w:val="center"/>
          </w:tcPr>
          <w:p w14:paraId="46B4C18E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1F72459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TCF7</w:t>
            </w:r>
          </w:p>
        </w:tc>
        <w:tc>
          <w:tcPr>
            <w:tcW w:w="2359" w:type="pct"/>
            <w:vAlign w:val="center"/>
          </w:tcPr>
          <w:p w14:paraId="7DE5A0DA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rFonts w:eastAsia="Times New Roman"/>
                <w:sz w:val="18"/>
                <w:szCs w:val="18"/>
                <w:lang w:eastAsia="en-IN"/>
              </w:rPr>
              <w:t>DNA-binding transcription factor activity</w:t>
            </w:r>
          </w:p>
        </w:tc>
        <w:tc>
          <w:tcPr>
            <w:tcW w:w="728" w:type="pct"/>
            <w:vAlign w:val="center"/>
          </w:tcPr>
          <w:p w14:paraId="6D58BEF5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+/-</w:t>
            </w:r>
          </w:p>
        </w:tc>
      </w:tr>
      <w:tr w:rsidR="009C0AF9" w:rsidRPr="009161AA" w14:paraId="48ADF901" w14:textId="77777777" w:rsidTr="00A93619">
        <w:trPr>
          <w:trHeight w:val="374"/>
          <w:jc w:val="center"/>
        </w:trPr>
        <w:tc>
          <w:tcPr>
            <w:tcW w:w="1250" w:type="pct"/>
            <w:vAlign w:val="center"/>
          </w:tcPr>
          <w:p w14:paraId="7C2AC40D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AML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0FB02CB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TNFAIP6</w:t>
            </w:r>
          </w:p>
        </w:tc>
        <w:tc>
          <w:tcPr>
            <w:tcW w:w="2359" w:type="pct"/>
            <w:vAlign w:val="center"/>
          </w:tcPr>
          <w:p w14:paraId="74AF8559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Cell adhesion</w:t>
            </w:r>
          </w:p>
        </w:tc>
        <w:tc>
          <w:tcPr>
            <w:tcW w:w="728" w:type="pct"/>
            <w:vAlign w:val="center"/>
          </w:tcPr>
          <w:p w14:paraId="0C9B9BA0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236F5C25" w14:textId="77777777" w:rsidTr="00A93619">
        <w:trPr>
          <w:trHeight w:val="343"/>
          <w:jc w:val="center"/>
        </w:trPr>
        <w:tc>
          <w:tcPr>
            <w:tcW w:w="1250" w:type="pct"/>
            <w:vMerge w:val="restart"/>
            <w:vAlign w:val="center"/>
          </w:tcPr>
          <w:p w14:paraId="553677D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</w:p>
        </w:tc>
        <w:tc>
          <w:tcPr>
            <w:tcW w:w="664" w:type="pct"/>
            <w:vAlign w:val="center"/>
          </w:tcPr>
          <w:p w14:paraId="259FB90A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BCR</w:t>
            </w:r>
          </w:p>
        </w:tc>
        <w:tc>
          <w:tcPr>
            <w:tcW w:w="2359" w:type="pct"/>
            <w:vAlign w:val="center"/>
          </w:tcPr>
          <w:p w14:paraId="7B8A70DF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Tyrosine phosphorylation, tyrosine kinase activity</w:t>
            </w:r>
          </w:p>
        </w:tc>
        <w:tc>
          <w:tcPr>
            <w:tcW w:w="728" w:type="pct"/>
            <w:vAlign w:val="center"/>
          </w:tcPr>
          <w:p w14:paraId="09191CB7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566E1EE8" w14:textId="77777777" w:rsidTr="00A93619">
        <w:trPr>
          <w:trHeight w:val="366"/>
          <w:jc w:val="center"/>
        </w:trPr>
        <w:tc>
          <w:tcPr>
            <w:tcW w:w="1250" w:type="pct"/>
            <w:vMerge/>
            <w:vAlign w:val="center"/>
          </w:tcPr>
          <w:p w14:paraId="022EABB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537F699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IFNGR1</w:t>
            </w:r>
          </w:p>
        </w:tc>
        <w:tc>
          <w:tcPr>
            <w:tcW w:w="2359" w:type="pct"/>
            <w:vAlign w:val="center"/>
          </w:tcPr>
          <w:p w14:paraId="5A03CB2F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Cytokine receptor activity</w:t>
            </w:r>
          </w:p>
        </w:tc>
        <w:tc>
          <w:tcPr>
            <w:tcW w:w="728" w:type="pct"/>
            <w:vAlign w:val="center"/>
          </w:tcPr>
          <w:p w14:paraId="5E96B36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74108A11" w14:textId="77777777" w:rsidTr="00A93619">
        <w:trPr>
          <w:trHeight w:val="353"/>
          <w:jc w:val="center"/>
        </w:trPr>
        <w:tc>
          <w:tcPr>
            <w:tcW w:w="1250" w:type="pct"/>
            <w:vMerge/>
            <w:vAlign w:val="center"/>
          </w:tcPr>
          <w:p w14:paraId="59A4A0F7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1BC01925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JUP</w:t>
            </w:r>
          </w:p>
        </w:tc>
        <w:tc>
          <w:tcPr>
            <w:tcW w:w="2359" w:type="pct"/>
            <w:vAlign w:val="center"/>
          </w:tcPr>
          <w:p w14:paraId="33916C1F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rFonts w:eastAsia="Times New Roman"/>
                <w:sz w:val="18"/>
                <w:szCs w:val="18"/>
                <w:lang w:eastAsia="en-IN"/>
              </w:rPr>
              <w:t>Alpha-catenin binding</w:t>
            </w:r>
          </w:p>
        </w:tc>
        <w:tc>
          <w:tcPr>
            <w:tcW w:w="728" w:type="pct"/>
            <w:vAlign w:val="center"/>
          </w:tcPr>
          <w:p w14:paraId="6CEDA645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3E55130C" w14:textId="77777777" w:rsidTr="00A93619">
        <w:trPr>
          <w:trHeight w:val="358"/>
          <w:jc w:val="center"/>
        </w:trPr>
        <w:tc>
          <w:tcPr>
            <w:tcW w:w="1250" w:type="pct"/>
            <w:vMerge/>
            <w:vAlign w:val="center"/>
          </w:tcPr>
          <w:p w14:paraId="398DA8A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0A8D1AD1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GSN</w:t>
            </w:r>
          </w:p>
        </w:tc>
        <w:tc>
          <w:tcPr>
            <w:tcW w:w="2359" w:type="pct"/>
            <w:vAlign w:val="center"/>
          </w:tcPr>
          <w:p w14:paraId="624A8436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Calcium ion binding</w:t>
            </w:r>
          </w:p>
        </w:tc>
        <w:tc>
          <w:tcPr>
            <w:tcW w:w="728" w:type="pct"/>
            <w:vAlign w:val="center"/>
          </w:tcPr>
          <w:p w14:paraId="5FBF05F9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3ADD43B5" w14:textId="77777777" w:rsidTr="00A93619">
        <w:trPr>
          <w:trHeight w:val="426"/>
          <w:jc w:val="center"/>
        </w:trPr>
        <w:tc>
          <w:tcPr>
            <w:tcW w:w="1250" w:type="pct"/>
            <w:vMerge/>
            <w:vAlign w:val="center"/>
          </w:tcPr>
          <w:p w14:paraId="60C89B49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0AFA16E4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HOPX</w:t>
            </w:r>
          </w:p>
        </w:tc>
        <w:tc>
          <w:tcPr>
            <w:tcW w:w="2359" w:type="pct"/>
            <w:vAlign w:val="center"/>
          </w:tcPr>
          <w:p w14:paraId="374CD45D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Negative regulation of transcription from RNA pol II promoter</w:t>
            </w:r>
          </w:p>
        </w:tc>
        <w:tc>
          <w:tcPr>
            <w:tcW w:w="728" w:type="pct"/>
            <w:vAlign w:val="center"/>
          </w:tcPr>
          <w:p w14:paraId="197BBBB8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2BBCB7F5" w14:textId="77777777" w:rsidTr="00A93619">
        <w:trPr>
          <w:trHeight w:val="353"/>
          <w:jc w:val="center"/>
        </w:trPr>
        <w:tc>
          <w:tcPr>
            <w:tcW w:w="1250" w:type="pct"/>
            <w:vAlign w:val="center"/>
          </w:tcPr>
          <w:p w14:paraId="557B43A1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74DE5F4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MAFB</w:t>
            </w:r>
          </w:p>
        </w:tc>
        <w:tc>
          <w:tcPr>
            <w:tcW w:w="2359" w:type="pct"/>
            <w:vAlign w:val="center"/>
          </w:tcPr>
          <w:p w14:paraId="11F97D23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Transcription factor binding</w:t>
            </w:r>
          </w:p>
        </w:tc>
        <w:tc>
          <w:tcPr>
            <w:tcW w:w="728" w:type="pct"/>
            <w:vAlign w:val="center"/>
          </w:tcPr>
          <w:p w14:paraId="2B425B7E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2B9FDCEF" w14:textId="77777777" w:rsidTr="00A93619">
        <w:trPr>
          <w:trHeight w:val="358"/>
          <w:jc w:val="center"/>
        </w:trPr>
        <w:tc>
          <w:tcPr>
            <w:tcW w:w="1250" w:type="pct"/>
            <w:vMerge w:val="restart"/>
            <w:vAlign w:val="center"/>
          </w:tcPr>
          <w:p w14:paraId="01E9FAEA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084B8C5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S100A8</w:t>
            </w:r>
          </w:p>
        </w:tc>
        <w:tc>
          <w:tcPr>
            <w:tcW w:w="2359" w:type="pct"/>
            <w:vAlign w:val="center"/>
          </w:tcPr>
          <w:p w14:paraId="5554D62E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Apoptotic process</w:t>
            </w:r>
          </w:p>
        </w:tc>
        <w:tc>
          <w:tcPr>
            <w:tcW w:w="728" w:type="pct"/>
            <w:vAlign w:val="center"/>
          </w:tcPr>
          <w:p w14:paraId="32A97FFD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38055803" w14:textId="77777777" w:rsidTr="00A93619">
        <w:trPr>
          <w:trHeight w:val="363"/>
          <w:jc w:val="center"/>
        </w:trPr>
        <w:tc>
          <w:tcPr>
            <w:tcW w:w="1250" w:type="pct"/>
            <w:vMerge/>
            <w:vAlign w:val="center"/>
          </w:tcPr>
          <w:p w14:paraId="2EEB965D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1EF449F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S100A9</w:t>
            </w:r>
          </w:p>
        </w:tc>
        <w:tc>
          <w:tcPr>
            <w:tcW w:w="2359" w:type="pct"/>
            <w:vAlign w:val="center"/>
          </w:tcPr>
          <w:p w14:paraId="1CC5B2CA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Apoptotic process</w:t>
            </w:r>
          </w:p>
        </w:tc>
        <w:tc>
          <w:tcPr>
            <w:tcW w:w="728" w:type="pct"/>
            <w:vAlign w:val="center"/>
          </w:tcPr>
          <w:p w14:paraId="6768BC1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3BFAA3C8" w14:textId="77777777" w:rsidTr="00A93619">
        <w:trPr>
          <w:trHeight w:val="349"/>
          <w:jc w:val="center"/>
        </w:trPr>
        <w:tc>
          <w:tcPr>
            <w:tcW w:w="1250" w:type="pct"/>
            <w:vAlign w:val="center"/>
          </w:tcPr>
          <w:p w14:paraId="400E3CC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NHL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</w:p>
        </w:tc>
        <w:tc>
          <w:tcPr>
            <w:tcW w:w="664" w:type="pct"/>
            <w:vAlign w:val="center"/>
          </w:tcPr>
          <w:p w14:paraId="7D3DDE3A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GPR65</w:t>
            </w:r>
          </w:p>
        </w:tc>
        <w:tc>
          <w:tcPr>
            <w:tcW w:w="2359" w:type="pct"/>
            <w:vAlign w:val="center"/>
          </w:tcPr>
          <w:p w14:paraId="49834BA9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Apoptotic process</w:t>
            </w:r>
          </w:p>
        </w:tc>
        <w:tc>
          <w:tcPr>
            <w:tcW w:w="728" w:type="pct"/>
            <w:vAlign w:val="center"/>
          </w:tcPr>
          <w:p w14:paraId="4CFA5E26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50273D11" w14:textId="77777777" w:rsidTr="00A93619">
        <w:trPr>
          <w:trHeight w:val="356"/>
          <w:jc w:val="center"/>
        </w:trPr>
        <w:tc>
          <w:tcPr>
            <w:tcW w:w="1250" w:type="pct"/>
            <w:vMerge w:val="restart"/>
            <w:vAlign w:val="center"/>
          </w:tcPr>
          <w:p w14:paraId="196A108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150952A8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IL7R</w:t>
            </w:r>
          </w:p>
        </w:tc>
        <w:tc>
          <w:tcPr>
            <w:tcW w:w="2359" w:type="pct"/>
            <w:vAlign w:val="center"/>
          </w:tcPr>
          <w:p w14:paraId="21B4A650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Cytokine receptor activity</w:t>
            </w:r>
          </w:p>
        </w:tc>
        <w:tc>
          <w:tcPr>
            <w:tcW w:w="728" w:type="pct"/>
            <w:vAlign w:val="center"/>
          </w:tcPr>
          <w:p w14:paraId="2A5D1624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05F27461" w14:textId="77777777" w:rsidTr="00A93619">
        <w:trPr>
          <w:trHeight w:val="360"/>
          <w:jc w:val="center"/>
        </w:trPr>
        <w:tc>
          <w:tcPr>
            <w:tcW w:w="1250" w:type="pct"/>
            <w:vMerge/>
            <w:vAlign w:val="center"/>
          </w:tcPr>
          <w:p w14:paraId="0C5E94CA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237EB42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LEF1</w:t>
            </w:r>
          </w:p>
        </w:tc>
        <w:tc>
          <w:tcPr>
            <w:tcW w:w="2359" w:type="pct"/>
            <w:vAlign w:val="center"/>
          </w:tcPr>
          <w:p w14:paraId="4ED2A498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Positive and negative regulation of transcription regulator</w:t>
            </w:r>
          </w:p>
        </w:tc>
        <w:tc>
          <w:tcPr>
            <w:tcW w:w="728" w:type="pct"/>
            <w:vAlign w:val="center"/>
          </w:tcPr>
          <w:p w14:paraId="0201464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6D3D46C0" w14:textId="77777777" w:rsidTr="00A93619">
        <w:trPr>
          <w:trHeight w:val="348"/>
          <w:jc w:val="center"/>
        </w:trPr>
        <w:tc>
          <w:tcPr>
            <w:tcW w:w="1250" w:type="pct"/>
            <w:vMerge w:val="restart"/>
            <w:vAlign w:val="center"/>
          </w:tcPr>
          <w:p w14:paraId="41676B82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37942286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INPP5F</w:t>
            </w:r>
          </w:p>
        </w:tc>
        <w:tc>
          <w:tcPr>
            <w:tcW w:w="2359" w:type="pct"/>
            <w:vAlign w:val="center"/>
          </w:tcPr>
          <w:p w14:paraId="48FD4419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rFonts w:eastAsia="Times New Roman"/>
                <w:sz w:val="18"/>
                <w:szCs w:val="18"/>
                <w:lang w:eastAsia="en-IN"/>
              </w:rPr>
              <w:t>Inositol monophosphate 1-phosphatase activity</w:t>
            </w:r>
          </w:p>
        </w:tc>
        <w:tc>
          <w:tcPr>
            <w:tcW w:w="728" w:type="pct"/>
            <w:vAlign w:val="center"/>
          </w:tcPr>
          <w:p w14:paraId="372A4F9F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4647A10E" w14:textId="77777777" w:rsidTr="00A93619">
        <w:trPr>
          <w:trHeight w:val="371"/>
          <w:jc w:val="center"/>
        </w:trPr>
        <w:tc>
          <w:tcPr>
            <w:tcW w:w="1250" w:type="pct"/>
            <w:vMerge/>
            <w:vAlign w:val="center"/>
          </w:tcPr>
          <w:p w14:paraId="62D0123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63586395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IGH</w:t>
            </w:r>
          </w:p>
        </w:tc>
        <w:tc>
          <w:tcPr>
            <w:tcW w:w="2359" w:type="pct"/>
            <w:vAlign w:val="center"/>
          </w:tcPr>
          <w:p w14:paraId="50F13886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Innate immune response</w:t>
            </w:r>
          </w:p>
        </w:tc>
        <w:tc>
          <w:tcPr>
            <w:tcW w:w="728" w:type="pct"/>
            <w:vAlign w:val="center"/>
          </w:tcPr>
          <w:p w14:paraId="51124E03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231C0AAF" w14:textId="77777777" w:rsidTr="00A93619">
        <w:trPr>
          <w:trHeight w:val="358"/>
          <w:jc w:val="center"/>
        </w:trPr>
        <w:tc>
          <w:tcPr>
            <w:tcW w:w="1250" w:type="pct"/>
            <w:vMerge/>
            <w:vAlign w:val="center"/>
          </w:tcPr>
          <w:p w14:paraId="44FA795E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</w:p>
        </w:tc>
        <w:tc>
          <w:tcPr>
            <w:tcW w:w="664" w:type="pct"/>
            <w:vAlign w:val="center"/>
          </w:tcPr>
          <w:p w14:paraId="580ED879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  <w:shd w:val="clear" w:color="auto" w:fill="FFFFFF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IGFBP4</w:t>
            </w:r>
          </w:p>
        </w:tc>
        <w:tc>
          <w:tcPr>
            <w:tcW w:w="2359" w:type="pct"/>
            <w:vAlign w:val="center"/>
          </w:tcPr>
          <w:p w14:paraId="4C93852E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Inflammatory response</w:t>
            </w:r>
          </w:p>
        </w:tc>
        <w:tc>
          <w:tcPr>
            <w:tcW w:w="728" w:type="pct"/>
            <w:vAlign w:val="center"/>
          </w:tcPr>
          <w:p w14:paraId="52690CC7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3AFF170B" w14:textId="77777777" w:rsidTr="00A93619">
        <w:trPr>
          <w:trHeight w:val="344"/>
          <w:jc w:val="center"/>
        </w:trPr>
        <w:tc>
          <w:tcPr>
            <w:tcW w:w="1250" w:type="pct"/>
            <w:vAlign w:val="center"/>
          </w:tcPr>
          <w:p w14:paraId="05D28DA1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B-CLL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NHL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799019D9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SPATS2L</w:t>
            </w:r>
          </w:p>
        </w:tc>
        <w:tc>
          <w:tcPr>
            <w:tcW w:w="2359" w:type="pct"/>
            <w:vAlign w:val="center"/>
          </w:tcPr>
          <w:p w14:paraId="283C9B29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rFonts w:eastAsia="Times New Roman"/>
                <w:sz w:val="18"/>
                <w:szCs w:val="18"/>
                <w:lang w:eastAsia="en-IN"/>
              </w:rPr>
              <w:t>RNA binding</w:t>
            </w:r>
          </w:p>
        </w:tc>
        <w:tc>
          <w:tcPr>
            <w:tcW w:w="728" w:type="pct"/>
            <w:vAlign w:val="center"/>
          </w:tcPr>
          <w:p w14:paraId="38193B27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  <w:tr w:rsidR="009C0AF9" w:rsidRPr="009161AA" w14:paraId="2C06394D" w14:textId="77777777" w:rsidTr="00A93619">
        <w:trPr>
          <w:trHeight w:val="357"/>
          <w:jc w:val="center"/>
        </w:trPr>
        <w:tc>
          <w:tcPr>
            <w:tcW w:w="1250" w:type="pct"/>
            <w:vAlign w:val="center"/>
          </w:tcPr>
          <w:p w14:paraId="6723CC99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HL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  <w:r w:rsidRPr="009161AA">
              <w:rPr>
                <w:sz w:val="18"/>
                <w:szCs w:val="18"/>
              </w:rPr>
              <w:t>, T-ALL</w:t>
            </w:r>
            <w:r w:rsidRPr="009161AA">
              <w:rPr>
                <w:color w:val="FF0000"/>
                <w:sz w:val="18"/>
                <w:szCs w:val="18"/>
              </w:rPr>
              <w:sym w:font="Wingdings" w:char="F0E9"/>
            </w:r>
          </w:p>
        </w:tc>
        <w:tc>
          <w:tcPr>
            <w:tcW w:w="664" w:type="pct"/>
            <w:vAlign w:val="center"/>
          </w:tcPr>
          <w:p w14:paraId="636CEDF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</w:rPr>
              <w:t>GATA2</w:t>
            </w:r>
          </w:p>
        </w:tc>
        <w:tc>
          <w:tcPr>
            <w:tcW w:w="2359" w:type="pct"/>
            <w:vAlign w:val="center"/>
          </w:tcPr>
          <w:p w14:paraId="64F2C5AB" w14:textId="77777777" w:rsidR="009C0AF9" w:rsidRPr="009161AA" w:rsidRDefault="009C0AF9" w:rsidP="00B35FDF">
            <w:pPr>
              <w:spacing w:after="0" w:line="480" w:lineRule="auto"/>
              <w:contextualSpacing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Major transcriptional process of RNA pol II</w:t>
            </w:r>
          </w:p>
        </w:tc>
        <w:tc>
          <w:tcPr>
            <w:tcW w:w="728" w:type="pct"/>
            <w:vAlign w:val="center"/>
          </w:tcPr>
          <w:p w14:paraId="50962B41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+/+</w:t>
            </w:r>
          </w:p>
        </w:tc>
      </w:tr>
      <w:tr w:rsidR="009C0AF9" w:rsidRPr="009161AA" w14:paraId="651F7CD7" w14:textId="77777777" w:rsidTr="00A93619">
        <w:trPr>
          <w:trHeight w:val="374"/>
          <w:jc w:val="center"/>
        </w:trPr>
        <w:tc>
          <w:tcPr>
            <w:tcW w:w="1250" w:type="pct"/>
            <w:vAlign w:val="center"/>
          </w:tcPr>
          <w:p w14:paraId="05D10CE7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  <w:r w:rsidRPr="009161AA">
              <w:rPr>
                <w:sz w:val="18"/>
                <w:szCs w:val="18"/>
              </w:rPr>
              <w:t>, NHL</w:t>
            </w:r>
            <w:r w:rsidRPr="009161AA">
              <w:rPr>
                <w:color w:val="00B050"/>
                <w:sz w:val="18"/>
                <w:szCs w:val="18"/>
              </w:rPr>
              <w:sym w:font="Wingdings" w:char="F0EA"/>
            </w:r>
          </w:p>
        </w:tc>
        <w:tc>
          <w:tcPr>
            <w:tcW w:w="664" w:type="pct"/>
            <w:vAlign w:val="center"/>
          </w:tcPr>
          <w:p w14:paraId="3FE8A9CC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rFonts w:eastAsia="Times New Roman"/>
                <w:sz w:val="18"/>
                <w:szCs w:val="18"/>
                <w:lang w:eastAsia="en-IN"/>
              </w:rPr>
            </w:pPr>
            <w:r w:rsidRPr="009161AA">
              <w:rPr>
                <w:sz w:val="18"/>
                <w:szCs w:val="18"/>
                <w:shd w:val="clear" w:color="auto" w:fill="FFFFFF"/>
              </w:rPr>
              <w:t>SMARCA1</w:t>
            </w:r>
          </w:p>
        </w:tc>
        <w:tc>
          <w:tcPr>
            <w:tcW w:w="2359" w:type="pct"/>
            <w:vAlign w:val="center"/>
          </w:tcPr>
          <w:p w14:paraId="5BC6D392" w14:textId="77777777" w:rsidR="009C0AF9" w:rsidRPr="009161AA" w:rsidRDefault="009C0AF9" w:rsidP="00B35FDF">
            <w:pPr>
              <w:spacing w:after="0" w:line="480" w:lineRule="auto"/>
              <w:ind w:right="-198"/>
              <w:jc w:val="both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Positive regulation of transcription</w:t>
            </w:r>
          </w:p>
        </w:tc>
        <w:tc>
          <w:tcPr>
            <w:tcW w:w="728" w:type="pct"/>
            <w:vAlign w:val="center"/>
          </w:tcPr>
          <w:p w14:paraId="75AF676B" w14:textId="77777777" w:rsidR="009C0AF9" w:rsidRPr="009161AA" w:rsidRDefault="009C0AF9" w:rsidP="00B35FDF">
            <w:pPr>
              <w:spacing w:after="0" w:line="480" w:lineRule="auto"/>
              <w:ind w:right="-198"/>
              <w:jc w:val="center"/>
              <w:rPr>
                <w:sz w:val="18"/>
                <w:szCs w:val="18"/>
              </w:rPr>
            </w:pPr>
            <w:r w:rsidRPr="009161AA">
              <w:rPr>
                <w:sz w:val="18"/>
                <w:szCs w:val="18"/>
              </w:rPr>
              <w:t>-/+</w:t>
            </w:r>
          </w:p>
        </w:tc>
      </w:tr>
    </w:tbl>
    <w:p w14:paraId="010B0DD1" w14:textId="34C2267C" w:rsidR="00A21A04" w:rsidRPr="009161AA" w:rsidRDefault="009C0AF9" w:rsidP="00B35FDF">
      <w:pPr>
        <w:spacing w:after="0" w:line="480" w:lineRule="auto"/>
        <w:ind w:left="-426" w:right="-483"/>
        <w:jc w:val="both"/>
        <w:rPr>
          <w:sz w:val="14"/>
          <w:szCs w:val="14"/>
        </w:rPr>
      </w:pPr>
      <w:bookmarkStart w:id="1" w:name="_Hlk89015713"/>
      <w:r w:rsidRPr="009161AA">
        <w:rPr>
          <w:sz w:val="14"/>
          <w:szCs w:val="14"/>
          <w:vertAlign w:val="superscript"/>
        </w:rPr>
        <w:t>*</w:t>
      </w:r>
      <w:r w:rsidRPr="009161AA">
        <w:rPr>
          <w:color w:val="FF0000"/>
          <w:sz w:val="14"/>
          <w:szCs w:val="14"/>
        </w:rPr>
        <w:sym w:font="Wingdings" w:char="F0E9"/>
      </w:r>
      <w:r w:rsidRPr="009161AA">
        <w:rPr>
          <w:sz w:val="14"/>
          <w:szCs w:val="14"/>
        </w:rPr>
        <w:t xml:space="preserve">- Upregulated genes, </w:t>
      </w:r>
      <w:r w:rsidRPr="009161AA">
        <w:rPr>
          <w:color w:val="00B050"/>
          <w:sz w:val="14"/>
          <w:szCs w:val="14"/>
        </w:rPr>
        <w:sym w:font="Wingdings" w:char="F0EA"/>
      </w:r>
      <w:r w:rsidRPr="009161AA">
        <w:rPr>
          <w:sz w:val="14"/>
          <w:szCs w:val="14"/>
        </w:rPr>
        <w:t>- Down regulated genes, ‘+’ - positive for structural or molecular abnormalities, ‘-’ - negative for structural or molecular abnormalities</w:t>
      </w:r>
      <w:bookmarkEnd w:id="0"/>
      <w:bookmarkEnd w:id="1"/>
    </w:p>
    <w:p w14:paraId="174B371F" w14:textId="509C6F1A" w:rsidR="00CB2706" w:rsidRPr="009161AA" w:rsidRDefault="00CB2706" w:rsidP="00B35FDF">
      <w:pPr>
        <w:spacing w:after="0" w:line="480" w:lineRule="auto"/>
        <w:ind w:left="-426" w:right="-483"/>
        <w:jc w:val="both"/>
      </w:pPr>
    </w:p>
    <w:p w14:paraId="1C5F246B" w14:textId="0904ECE6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1D00E6BC" w14:textId="46A07018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13F93298" w14:textId="5A16BDF2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3581C6C1" w14:textId="4EB2ABC9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37751769" w14:textId="220FE55F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56DF3943" w14:textId="4CA4B1AE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65414117" w14:textId="136B0A3E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0C749BCF" w14:textId="7089F8E9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781F02FE" w14:textId="58C2D052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44BEB1FB" w14:textId="62BEBC01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4A3F59B0" w14:textId="7B60A148" w:rsidR="002968A7" w:rsidRPr="009161AA" w:rsidRDefault="002968A7" w:rsidP="00B35FDF">
      <w:pPr>
        <w:spacing w:after="0" w:line="480" w:lineRule="auto"/>
        <w:ind w:left="-426" w:right="-483"/>
        <w:jc w:val="both"/>
      </w:pPr>
    </w:p>
    <w:p w14:paraId="579D78E7" w14:textId="77777777" w:rsidR="002968A7" w:rsidRPr="009161AA" w:rsidRDefault="002968A7" w:rsidP="00B35FDF">
      <w:pPr>
        <w:spacing w:after="0" w:line="480" w:lineRule="auto"/>
        <w:jc w:val="center"/>
        <w:sectPr w:rsidR="002968A7" w:rsidRPr="009161AA" w:rsidSect="005D47C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B712631" w14:textId="1EF233BF" w:rsidR="002968A7" w:rsidRDefault="00085DFC" w:rsidP="00B35FDF">
      <w:pPr>
        <w:spacing w:after="0" w:line="480" w:lineRule="auto"/>
        <w:jc w:val="center"/>
      </w:pPr>
      <w:r w:rsidRPr="009161AA">
        <w:rPr>
          <w:noProof/>
          <w:sz w:val="16"/>
          <w:szCs w:val="16"/>
        </w:rPr>
        <w:lastRenderedPageBreak/>
        <w:drawing>
          <wp:inline distT="0" distB="0" distL="0" distR="0" wp14:anchorId="3872F647" wp14:editId="7B86CCE9">
            <wp:extent cx="8943975" cy="4686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7573" cy="469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F3CA" w14:textId="77777777" w:rsidR="009161AA" w:rsidRPr="009161AA" w:rsidRDefault="009161AA" w:rsidP="00B35FDF">
      <w:pPr>
        <w:spacing w:after="0" w:line="480" w:lineRule="auto"/>
        <w:jc w:val="center"/>
      </w:pPr>
    </w:p>
    <w:p w14:paraId="6ED32554" w14:textId="1E82BB36" w:rsidR="002968A7" w:rsidRPr="009161AA" w:rsidRDefault="002968A7" w:rsidP="00B35FDF">
      <w:pPr>
        <w:spacing w:after="0" w:line="480" w:lineRule="auto"/>
        <w:ind w:left="1560" w:right="-46" w:hanging="1418"/>
        <w:jc w:val="both"/>
        <w:rPr>
          <w:sz w:val="32"/>
          <w:szCs w:val="32"/>
        </w:rPr>
      </w:pPr>
      <w:r w:rsidRPr="009161AA">
        <w:rPr>
          <w:b/>
          <w:bCs/>
        </w:rPr>
        <w:t xml:space="preserve">FIGURE </w:t>
      </w:r>
      <w:r w:rsidR="00C4211B" w:rsidRPr="009161AA">
        <w:rPr>
          <w:b/>
          <w:bCs/>
        </w:rPr>
        <w:t>7</w:t>
      </w:r>
      <w:r w:rsidRPr="009161AA">
        <w:rPr>
          <w:b/>
          <w:bCs/>
        </w:rPr>
        <w:t xml:space="preserve">: </w:t>
      </w:r>
      <w:r w:rsidRPr="009161AA">
        <w:t>Representation of functions - Biological, molecular and/or, cellular for 12 DEGs and their role in various diseases through NCI-Pathway analysis.</w:t>
      </w:r>
    </w:p>
    <w:p w14:paraId="4F341347" w14:textId="77777777" w:rsidR="002968A7" w:rsidRPr="009161AA" w:rsidRDefault="002968A7" w:rsidP="00B35FDF">
      <w:pPr>
        <w:spacing w:after="0" w:line="480" w:lineRule="auto"/>
        <w:ind w:left="-426" w:right="-483"/>
        <w:jc w:val="both"/>
        <w:sectPr w:rsidR="002968A7" w:rsidRPr="009161AA" w:rsidSect="002968A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E98444E" w14:textId="77777777" w:rsidR="00335ACF" w:rsidRPr="009161AA" w:rsidRDefault="00335ACF" w:rsidP="00B35FDF">
      <w:pPr>
        <w:spacing w:after="0" w:line="480" w:lineRule="auto"/>
        <w:jc w:val="center"/>
        <w:rPr>
          <w:b/>
          <w:color w:val="000000" w:themeColor="text1"/>
          <w:u w:val="single"/>
        </w:rPr>
      </w:pPr>
      <w:r w:rsidRPr="009161AA">
        <w:rPr>
          <w:b/>
          <w:color w:val="000000" w:themeColor="text1"/>
          <w:u w:val="single"/>
        </w:rPr>
        <w:lastRenderedPageBreak/>
        <w:t>Model and Structure Validation of hdac9 protein using SWISS-MODEL and PROCHECK Ramachandran Plot</w:t>
      </w:r>
    </w:p>
    <w:p w14:paraId="128146F2" w14:textId="77777777" w:rsidR="00335ACF" w:rsidRPr="009161AA" w:rsidRDefault="00335ACF" w:rsidP="00B35FDF">
      <w:pPr>
        <w:spacing w:after="0" w:line="480" w:lineRule="auto"/>
        <w:jc w:val="center"/>
        <w:rPr>
          <w:b/>
          <w:color w:val="000000" w:themeColor="text1"/>
        </w:rPr>
      </w:pPr>
      <w:r w:rsidRPr="009161AA">
        <w:rPr>
          <w:b/>
          <w:noProof/>
          <w:color w:val="000000" w:themeColor="text1"/>
          <w:lang w:eastAsia="en-IN"/>
        </w:rPr>
        <w:drawing>
          <wp:inline distT="0" distB="0" distL="0" distR="0" wp14:anchorId="2BA3D94D" wp14:editId="28BE0C36">
            <wp:extent cx="2780893" cy="2305050"/>
            <wp:effectExtent l="19050" t="19050" r="19685" b="19050"/>
            <wp:docPr id="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16343" r="57543" b="23066"/>
                    <a:stretch/>
                  </pic:blipFill>
                  <pic:spPr bwMode="auto">
                    <a:xfrm>
                      <a:off x="0" y="0"/>
                      <a:ext cx="2823805" cy="2340619"/>
                    </a:xfrm>
                    <a:prstGeom prst="rect">
                      <a:avLst/>
                    </a:prstGeom>
                    <a:ln w="9525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B66E4" w14:textId="5D0A1886" w:rsidR="00335ACF" w:rsidRPr="009161AA" w:rsidRDefault="00335ACF" w:rsidP="00B35FDF">
      <w:pPr>
        <w:spacing w:after="0" w:line="480" w:lineRule="auto"/>
        <w:jc w:val="center"/>
        <w:rPr>
          <w:bCs/>
          <w:color w:val="000000" w:themeColor="text1"/>
          <w:szCs w:val="28"/>
        </w:rPr>
      </w:pPr>
      <w:r w:rsidRPr="009161AA">
        <w:rPr>
          <w:b/>
          <w:bCs/>
          <w:color w:val="000000" w:themeColor="text1"/>
          <w:szCs w:val="28"/>
        </w:rPr>
        <w:t xml:space="preserve">FIGURE </w:t>
      </w:r>
      <w:r w:rsidR="00CB2706" w:rsidRPr="009161AA">
        <w:rPr>
          <w:b/>
          <w:bCs/>
          <w:color w:val="000000" w:themeColor="text1"/>
          <w:szCs w:val="28"/>
        </w:rPr>
        <w:t>8</w:t>
      </w:r>
      <w:r w:rsidRPr="009161AA">
        <w:rPr>
          <w:b/>
          <w:bCs/>
          <w:color w:val="000000" w:themeColor="text1"/>
          <w:szCs w:val="28"/>
        </w:rPr>
        <w:t>:</w:t>
      </w:r>
      <w:r w:rsidRPr="009161AA">
        <w:rPr>
          <w:bCs/>
          <w:color w:val="000000" w:themeColor="text1"/>
          <w:szCs w:val="28"/>
        </w:rPr>
        <w:t xml:space="preserve"> 3D model of hdac9 protein</w:t>
      </w:r>
      <w:r w:rsidR="00AF138F" w:rsidRPr="009161AA">
        <w:rPr>
          <w:bCs/>
          <w:color w:val="000000" w:themeColor="text1"/>
          <w:szCs w:val="28"/>
        </w:rPr>
        <w:t>.</w:t>
      </w:r>
    </w:p>
    <w:p w14:paraId="22D406C3" w14:textId="77777777" w:rsidR="008A70E5" w:rsidRPr="009161AA" w:rsidRDefault="008A70E5" w:rsidP="00B35FDF">
      <w:pPr>
        <w:spacing w:after="0" w:line="480" w:lineRule="auto"/>
        <w:jc w:val="both"/>
        <w:rPr>
          <w:b/>
          <w:bCs/>
          <w:color w:val="000000" w:themeColor="text1"/>
          <w:szCs w:val="28"/>
        </w:rPr>
      </w:pPr>
    </w:p>
    <w:p w14:paraId="083E4235" w14:textId="5BA65923" w:rsidR="00335ACF" w:rsidRPr="009161AA" w:rsidRDefault="00335ACF" w:rsidP="00B35FDF">
      <w:pPr>
        <w:spacing w:after="0" w:line="480" w:lineRule="auto"/>
        <w:ind w:left="142"/>
        <w:jc w:val="both"/>
        <w:rPr>
          <w:bCs/>
          <w:color w:val="000000" w:themeColor="text1"/>
          <w:szCs w:val="28"/>
        </w:rPr>
      </w:pPr>
      <w:r w:rsidRPr="009161AA">
        <w:rPr>
          <w:b/>
          <w:bCs/>
          <w:color w:val="000000" w:themeColor="text1"/>
          <w:szCs w:val="28"/>
        </w:rPr>
        <w:t xml:space="preserve">TABLE </w:t>
      </w:r>
      <w:r w:rsidR="00703A2F" w:rsidRPr="009161AA">
        <w:rPr>
          <w:b/>
          <w:bCs/>
          <w:color w:val="000000" w:themeColor="text1"/>
          <w:szCs w:val="28"/>
        </w:rPr>
        <w:t>4</w:t>
      </w:r>
      <w:r w:rsidRPr="009161AA">
        <w:rPr>
          <w:b/>
          <w:bCs/>
          <w:color w:val="000000" w:themeColor="text1"/>
          <w:szCs w:val="28"/>
        </w:rPr>
        <w:t>:</w:t>
      </w:r>
      <w:r w:rsidRPr="009161AA">
        <w:rPr>
          <w:bCs/>
          <w:color w:val="000000" w:themeColor="text1"/>
          <w:szCs w:val="28"/>
        </w:rPr>
        <w:t xml:space="preserve"> PROCHECK Ramachandran plot analysis result of</w:t>
      </w:r>
      <w:r w:rsidR="00867479" w:rsidRPr="009161AA">
        <w:rPr>
          <w:bCs/>
          <w:color w:val="000000" w:themeColor="text1"/>
          <w:szCs w:val="28"/>
        </w:rPr>
        <w:t xml:space="preserve"> </w:t>
      </w:r>
      <w:r w:rsidRPr="009161AA">
        <w:rPr>
          <w:bCs/>
          <w:color w:val="000000" w:themeColor="text1"/>
          <w:szCs w:val="28"/>
        </w:rPr>
        <w:t>hdac9 protein</w:t>
      </w:r>
      <w:r w:rsidR="00AF138F" w:rsidRPr="009161AA">
        <w:rPr>
          <w:bCs/>
          <w:color w:val="000000" w:themeColor="text1"/>
          <w:szCs w:val="28"/>
        </w:rPr>
        <w:t>.</w:t>
      </w:r>
    </w:p>
    <w:tbl>
      <w:tblPr>
        <w:tblStyle w:val="TableGrid"/>
        <w:tblW w:w="8485" w:type="dxa"/>
        <w:jc w:val="center"/>
        <w:tblLook w:val="04A0" w:firstRow="1" w:lastRow="0" w:firstColumn="1" w:lastColumn="0" w:noHBand="0" w:noVBand="1"/>
      </w:tblPr>
      <w:tblGrid>
        <w:gridCol w:w="1527"/>
        <w:gridCol w:w="1398"/>
        <w:gridCol w:w="1943"/>
        <w:gridCol w:w="2002"/>
        <w:gridCol w:w="1615"/>
      </w:tblGrid>
      <w:tr w:rsidR="001B279D" w:rsidRPr="009161AA" w14:paraId="72AE1F2D" w14:textId="77777777" w:rsidTr="003B34F3">
        <w:trPr>
          <w:trHeight w:val="522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77E9AAF" w14:textId="343B0F18" w:rsidR="00335ACF" w:rsidRPr="009161AA" w:rsidRDefault="001B279D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b/>
                <w:color w:val="000000" w:themeColor="text1"/>
                <w:sz w:val="18"/>
                <w:szCs w:val="18"/>
              </w:rPr>
              <w:t>Amino acid residues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10497" w14:textId="72861E5C" w:rsidR="00335ACF" w:rsidRPr="009161AA" w:rsidRDefault="001B279D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b/>
                <w:color w:val="000000" w:themeColor="text1"/>
                <w:sz w:val="18"/>
                <w:szCs w:val="18"/>
              </w:rPr>
              <w:t>F</w:t>
            </w:r>
            <w:r w:rsidR="00335ACF" w:rsidRPr="009161AA">
              <w:rPr>
                <w:b/>
                <w:color w:val="000000" w:themeColor="text1"/>
                <w:sz w:val="18"/>
                <w:szCs w:val="18"/>
              </w:rPr>
              <w:t>avoured regions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9E69A" w14:textId="2F648A49" w:rsidR="00335ACF" w:rsidRPr="009161AA" w:rsidRDefault="001B279D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b/>
                <w:color w:val="000000" w:themeColor="text1"/>
                <w:sz w:val="18"/>
                <w:szCs w:val="18"/>
              </w:rPr>
              <w:t>A</w:t>
            </w:r>
            <w:r w:rsidR="00335ACF" w:rsidRPr="009161AA">
              <w:rPr>
                <w:b/>
                <w:color w:val="000000" w:themeColor="text1"/>
                <w:sz w:val="18"/>
                <w:szCs w:val="18"/>
              </w:rPr>
              <w:t>dditional allowed regions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B0824D" w14:textId="278396B7" w:rsidR="00335ACF" w:rsidRPr="009161AA" w:rsidRDefault="001B279D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b/>
                <w:color w:val="000000" w:themeColor="text1"/>
                <w:sz w:val="18"/>
                <w:szCs w:val="18"/>
              </w:rPr>
              <w:t>G</w:t>
            </w:r>
            <w:r w:rsidR="00335ACF" w:rsidRPr="009161AA">
              <w:rPr>
                <w:b/>
                <w:color w:val="000000" w:themeColor="text1"/>
                <w:sz w:val="18"/>
                <w:szCs w:val="18"/>
              </w:rPr>
              <w:t>enerously allowed regions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5783B470" w14:textId="2C9276B8" w:rsidR="00335ACF" w:rsidRPr="009161AA" w:rsidRDefault="001B279D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b/>
                <w:color w:val="000000" w:themeColor="text1"/>
                <w:sz w:val="18"/>
                <w:szCs w:val="18"/>
              </w:rPr>
              <w:t>D</w:t>
            </w:r>
            <w:r w:rsidR="00335ACF" w:rsidRPr="009161AA">
              <w:rPr>
                <w:b/>
                <w:color w:val="000000" w:themeColor="text1"/>
                <w:sz w:val="18"/>
                <w:szCs w:val="18"/>
              </w:rPr>
              <w:t>isallowed regions</w:t>
            </w:r>
          </w:p>
        </w:tc>
      </w:tr>
      <w:tr w:rsidR="001B279D" w:rsidRPr="009161AA" w14:paraId="7091058F" w14:textId="77777777" w:rsidTr="003B34F3">
        <w:trPr>
          <w:trHeight w:val="402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EEF02B" w14:textId="7C6F5641" w:rsidR="00335ACF" w:rsidRPr="009161AA" w:rsidRDefault="001B279D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b/>
                <w:color w:val="000000" w:themeColor="text1"/>
                <w:sz w:val="18"/>
                <w:szCs w:val="18"/>
              </w:rPr>
              <w:t xml:space="preserve">Protein- </w:t>
            </w:r>
            <w:r w:rsidR="00335ACF" w:rsidRPr="009161AA">
              <w:rPr>
                <w:b/>
                <w:color w:val="000000" w:themeColor="text1"/>
                <w:sz w:val="18"/>
                <w:szCs w:val="18"/>
              </w:rPr>
              <w:t>hdac9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06DFA" w14:textId="77777777" w:rsidR="00335ACF" w:rsidRPr="009161AA" w:rsidRDefault="00335ACF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color w:val="000000" w:themeColor="text1"/>
                <w:sz w:val="18"/>
                <w:szCs w:val="18"/>
              </w:rPr>
              <w:t>88.9%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07C6D0" w14:textId="77777777" w:rsidR="00335ACF" w:rsidRPr="009161AA" w:rsidRDefault="00335ACF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color w:val="000000" w:themeColor="text1"/>
                <w:sz w:val="18"/>
                <w:szCs w:val="18"/>
              </w:rPr>
              <w:t>10.3%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32633" w14:textId="77777777" w:rsidR="00335ACF" w:rsidRPr="009161AA" w:rsidRDefault="00335ACF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color w:val="000000" w:themeColor="text1"/>
                <w:sz w:val="18"/>
                <w:szCs w:val="18"/>
              </w:rPr>
              <w:t>0.3%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1ABD707C" w14:textId="77777777" w:rsidR="00335ACF" w:rsidRPr="009161AA" w:rsidRDefault="00335ACF" w:rsidP="00B35FDF">
            <w:pPr>
              <w:spacing w:after="0" w:line="480" w:lineRule="auto"/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161AA">
              <w:rPr>
                <w:color w:val="000000" w:themeColor="text1"/>
                <w:sz w:val="18"/>
                <w:szCs w:val="18"/>
              </w:rPr>
              <w:t>0%</w:t>
            </w:r>
          </w:p>
        </w:tc>
      </w:tr>
    </w:tbl>
    <w:p w14:paraId="26791FAB" w14:textId="77777777" w:rsidR="003F472B" w:rsidRPr="009161AA" w:rsidRDefault="003F472B" w:rsidP="00B35FDF">
      <w:pPr>
        <w:spacing w:after="0" w:line="480" w:lineRule="auto"/>
        <w:jc w:val="center"/>
        <w:rPr>
          <w:b/>
          <w:u w:val="single"/>
        </w:rPr>
      </w:pPr>
    </w:p>
    <w:p w14:paraId="22B0C294" w14:textId="0FC0A330" w:rsidR="0068041D" w:rsidRPr="009161AA" w:rsidRDefault="0068041D" w:rsidP="00B35FDF">
      <w:pPr>
        <w:spacing w:after="0" w:line="480" w:lineRule="auto"/>
        <w:jc w:val="center"/>
        <w:rPr>
          <w:b/>
          <w:u w:val="single"/>
        </w:rPr>
      </w:pPr>
      <w:r w:rsidRPr="009161AA">
        <w:rPr>
          <w:b/>
          <w:u w:val="single"/>
        </w:rPr>
        <w:t>Molecular Docking of ATRA and Compound 3 with RARA and RXRα</w:t>
      </w:r>
    </w:p>
    <w:p w14:paraId="72255EE9" w14:textId="2AD01ED6" w:rsidR="0068041D" w:rsidRPr="009161AA" w:rsidRDefault="0068041D" w:rsidP="00B35FDF">
      <w:pPr>
        <w:spacing w:after="0" w:line="480" w:lineRule="auto"/>
        <w:jc w:val="both"/>
      </w:pPr>
      <w:r w:rsidRPr="009161AA">
        <w:t>We made an attempt to dock ATRA and Compound 3 with RARA and RXRα, since ATRA is used as a promising therapeutic agent in AML. Interestingly, with respect to minimum H-bond distance, the zinc finger domains of RARA and RXRα docked best with C3 (H-bond residue: Tyr1169; Distance: 3.04Ǻ) and ATRA (H-bond residue: Gln1306, Lys1260; Distance: 4.19Ǻ/2.64Ǻ) respectively. The ligand binding domains of RARA (H-bond residue: Asp323, Leu316; Distance: 4.07Ǻ, 4.41Ǻ /2.77Ǻ) and RXRα (H-bond residue: Arg316; Distance: 4.48Ǻ /3.24Ǻ), on the other, docked best with C3 (</w:t>
      </w:r>
      <w:r w:rsidR="00703A2F" w:rsidRPr="009161AA">
        <w:rPr>
          <w:b/>
        </w:rPr>
        <w:t>Table</w:t>
      </w:r>
      <w:r w:rsidRPr="009161AA">
        <w:rPr>
          <w:b/>
        </w:rPr>
        <w:t xml:space="preserve"> </w:t>
      </w:r>
      <w:r w:rsidR="000355D8" w:rsidRPr="009161AA">
        <w:rPr>
          <w:b/>
        </w:rPr>
        <w:t>5</w:t>
      </w:r>
      <w:r w:rsidRPr="009161AA">
        <w:t xml:space="preserve">). The best docked complexes are depicted in </w:t>
      </w:r>
      <w:r w:rsidR="00CB2706" w:rsidRPr="009161AA">
        <w:rPr>
          <w:b/>
        </w:rPr>
        <w:t>Figure</w:t>
      </w:r>
      <w:r w:rsidRPr="009161AA">
        <w:rPr>
          <w:b/>
        </w:rPr>
        <w:t xml:space="preserve"> </w:t>
      </w:r>
      <w:r w:rsidR="00CB2706" w:rsidRPr="009161AA">
        <w:rPr>
          <w:b/>
        </w:rPr>
        <w:t>9</w:t>
      </w:r>
      <w:r w:rsidRPr="009161AA">
        <w:rPr>
          <w:b/>
        </w:rPr>
        <w:t>(A-</w:t>
      </w:r>
      <w:r w:rsidR="003B34F3" w:rsidRPr="009161AA">
        <w:rPr>
          <w:b/>
        </w:rPr>
        <w:t>B</w:t>
      </w:r>
      <w:r w:rsidRPr="009161AA">
        <w:rPr>
          <w:b/>
        </w:rPr>
        <w:t>)</w:t>
      </w:r>
      <w:r w:rsidRPr="009161AA">
        <w:t>.</w:t>
      </w:r>
    </w:p>
    <w:p w14:paraId="0093145C" w14:textId="77777777" w:rsidR="007D270B" w:rsidRPr="009161AA" w:rsidRDefault="007D270B" w:rsidP="00B35FDF">
      <w:pPr>
        <w:spacing w:after="0" w:line="480" w:lineRule="auto"/>
        <w:jc w:val="both"/>
      </w:pPr>
    </w:p>
    <w:p w14:paraId="23683EBC" w14:textId="498E0231" w:rsidR="003B34F3" w:rsidRPr="009161AA" w:rsidRDefault="0068041D" w:rsidP="00B35FDF">
      <w:pPr>
        <w:spacing w:after="0" w:line="480" w:lineRule="auto"/>
        <w:jc w:val="both"/>
      </w:pPr>
      <w:r w:rsidRPr="009161AA">
        <w:rPr>
          <w:b/>
        </w:rPr>
        <w:lastRenderedPageBreak/>
        <w:t>TABLE</w:t>
      </w:r>
      <w:r w:rsidR="00063A9B" w:rsidRPr="009161AA">
        <w:rPr>
          <w:b/>
        </w:rPr>
        <w:t xml:space="preserve"> </w:t>
      </w:r>
      <w:r w:rsidR="000355D8" w:rsidRPr="009161AA">
        <w:rPr>
          <w:b/>
        </w:rPr>
        <w:t>5</w:t>
      </w:r>
      <w:r w:rsidRPr="009161AA">
        <w:rPr>
          <w:b/>
        </w:rPr>
        <w:t>:</w:t>
      </w:r>
      <w:r w:rsidRPr="009161AA">
        <w:t xml:space="preserve"> Molecular Docking Results of ATRA and Compound 3 with </w:t>
      </w:r>
      <w:r w:rsidR="009772E6" w:rsidRPr="009161AA">
        <w:t>rara</w:t>
      </w:r>
      <w:r w:rsidRPr="009161AA">
        <w:t xml:space="preserve"> and </w:t>
      </w:r>
      <w:r w:rsidR="009772E6" w:rsidRPr="009161AA">
        <w:t>rxrα</w:t>
      </w:r>
      <w:r w:rsidR="00AF138F" w:rsidRPr="009161AA">
        <w:t>.</w:t>
      </w:r>
    </w:p>
    <w:p w14:paraId="5CBC0E5D" w14:textId="6781CCC8" w:rsidR="003B34F3" w:rsidRPr="009161AA" w:rsidRDefault="003B34F3" w:rsidP="00B35FDF">
      <w:pPr>
        <w:spacing w:after="0" w:line="480" w:lineRule="auto"/>
        <w:jc w:val="both"/>
        <w:rPr>
          <w:sz w:val="6"/>
          <w:szCs w:val="6"/>
        </w:rPr>
      </w:pPr>
    </w:p>
    <w:tbl>
      <w:tblPr>
        <w:tblStyle w:val="TableGrid"/>
        <w:tblW w:w="8085" w:type="dxa"/>
        <w:jc w:val="center"/>
        <w:tblLook w:val="04A0" w:firstRow="1" w:lastRow="0" w:firstColumn="1" w:lastColumn="0" w:noHBand="0" w:noVBand="1"/>
      </w:tblPr>
      <w:tblGrid>
        <w:gridCol w:w="913"/>
        <w:gridCol w:w="1042"/>
        <w:gridCol w:w="1412"/>
        <w:gridCol w:w="1464"/>
        <w:gridCol w:w="1116"/>
        <w:gridCol w:w="1067"/>
        <w:gridCol w:w="1071"/>
      </w:tblGrid>
      <w:tr w:rsidR="003B34F3" w:rsidRPr="009161AA" w14:paraId="648AC4EE" w14:textId="77777777" w:rsidTr="003B34F3">
        <w:trPr>
          <w:trHeight w:val="563"/>
          <w:jc w:val="center"/>
        </w:trPr>
        <w:tc>
          <w:tcPr>
            <w:tcW w:w="913" w:type="dxa"/>
            <w:vMerge w:val="restart"/>
            <w:vAlign w:val="center"/>
          </w:tcPr>
          <w:p w14:paraId="357FF1D5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Ligand</w:t>
            </w:r>
          </w:p>
        </w:tc>
        <w:tc>
          <w:tcPr>
            <w:tcW w:w="7172" w:type="dxa"/>
            <w:gridSpan w:val="6"/>
            <w:vAlign w:val="center"/>
          </w:tcPr>
          <w:p w14:paraId="086D4F60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rara (1DSZ)- Zinc finger domain</w:t>
            </w:r>
          </w:p>
        </w:tc>
      </w:tr>
      <w:tr w:rsidR="003B34F3" w:rsidRPr="009161AA" w14:paraId="36F388EC" w14:textId="77777777" w:rsidTr="003B34F3">
        <w:trPr>
          <w:trHeight w:val="453"/>
          <w:jc w:val="center"/>
        </w:trPr>
        <w:tc>
          <w:tcPr>
            <w:tcW w:w="913" w:type="dxa"/>
            <w:vMerge/>
            <w:vAlign w:val="center"/>
          </w:tcPr>
          <w:p w14:paraId="3AB1BAFF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vAlign w:val="center"/>
          </w:tcPr>
          <w:p w14:paraId="4F5FAEFD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 xml:space="preserve">BE </w:t>
            </w:r>
          </w:p>
        </w:tc>
        <w:tc>
          <w:tcPr>
            <w:tcW w:w="2876" w:type="dxa"/>
            <w:gridSpan w:val="2"/>
            <w:vAlign w:val="center"/>
          </w:tcPr>
          <w:p w14:paraId="24C8FE6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H-bond residue</w:t>
            </w:r>
          </w:p>
        </w:tc>
        <w:tc>
          <w:tcPr>
            <w:tcW w:w="2183" w:type="dxa"/>
            <w:gridSpan w:val="2"/>
            <w:vAlign w:val="center"/>
          </w:tcPr>
          <w:p w14:paraId="4DD44467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H-bond distance</w:t>
            </w:r>
          </w:p>
        </w:tc>
        <w:tc>
          <w:tcPr>
            <w:tcW w:w="1071" w:type="dxa"/>
            <w:vMerge w:val="restart"/>
            <w:vAlign w:val="center"/>
          </w:tcPr>
          <w:p w14:paraId="635109D8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IC</w:t>
            </w:r>
          </w:p>
        </w:tc>
      </w:tr>
      <w:tr w:rsidR="003B34F3" w:rsidRPr="009161AA" w14:paraId="509D5DD8" w14:textId="77777777" w:rsidTr="003B34F3">
        <w:trPr>
          <w:trHeight w:val="304"/>
          <w:jc w:val="center"/>
        </w:trPr>
        <w:tc>
          <w:tcPr>
            <w:tcW w:w="913" w:type="dxa"/>
            <w:vMerge/>
            <w:vAlign w:val="center"/>
          </w:tcPr>
          <w:p w14:paraId="37D89D54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vMerge/>
            <w:vAlign w:val="center"/>
          </w:tcPr>
          <w:p w14:paraId="0C185FF5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1E25F59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DS</w:t>
            </w:r>
          </w:p>
        </w:tc>
        <w:tc>
          <w:tcPr>
            <w:tcW w:w="1464" w:type="dxa"/>
            <w:vAlign w:val="center"/>
          </w:tcPr>
          <w:p w14:paraId="314ACB64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116" w:type="dxa"/>
            <w:vAlign w:val="center"/>
          </w:tcPr>
          <w:p w14:paraId="1D697DA4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DS</w:t>
            </w:r>
          </w:p>
        </w:tc>
        <w:tc>
          <w:tcPr>
            <w:tcW w:w="1065" w:type="dxa"/>
            <w:vAlign w:val="center"/>
          </w:tcPr>
          <w:p w14:paraId="7305CCE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071" w:type="dxa"/>
            <w:vMerge/>
            <w:vAlign w:val="center"/>
          </w:tcPr>
          <w:p w14:paraId="409288F8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B34F3" w:rsidRPr="009161AA" w14:paraId="06FE6B9E" w14:textId="77777777" w:rsidTr="003B34F3">
        <w:trPr>
          <w:trHeight w:val="357"/>
          <w:jc w:val="center"/>
        </w:trPr>
        <w:tc>
          <w:tcPr>
            <w:tcW w:w="913" w:type="dxa"/>
            <w:vAlign w:val="center"/>
          </w:tcPr>
          <w:p w14:paraId="402619CF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042" w:type="dxa"/>
            <w:vAlign w:val="center"/>
          </w:tcPr>
          <w:p w14:paraId="10B8FB1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-5.93.</w:t>
            </w:r>
          </w:p>
        </w:tc>
        <w:tc>
          <w:tcPr>
            <w:tcW w:w="1412" w:type="dxa"/>
            <w:vAlign w:val="center"/>
          </w:tcPr>
          <w:p w14:paraId="2385292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</w:t>
            </w:r>
          </w:p>
        </w:tc>
        <w:tc>
          <w:tcPr>
            <w:tcW w:w="1464" w:type="dxa"/>
            <w:vAlign w:val="center"/>
          </w:tcPr>
          <w:p w14:paraId="46886C7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Tyr</w:t>
            </w:r>
            <w:r w:rsidRPr="009161AA">
              <w:rPr>
                <w:sz w:val="20"/>
                <w:szCs w:val="20"/>
                <w:vertAlign w:val="superscript"/>
              </w:rPr>
              <w:t>1169</w:t>
            </w:r>
          </w:p>
        </w:tc>
        <w:tc>
          <w:tcPr>
            <w:tcW w:w="1116" w:type="dxa"/>
            <w:vAlign w:val="center"/>
          </w:tcPr>
          <w:p w14:paraId="7AB542DA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</w:t>
            </w:r>
          </w:p>
        </w:tc>
        <w:tc>
          <w:tcPr>
            <w:tcW w:w="1065" w:type="dxa"/>
            <w:vAlign w:val="center"/>
          </w:tcPr>
          <w:p w14:paraId="16D2A58D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3.04</w:t>
            </w:r>
          </w:p>
        </w:tc>
        <w:tc>
          <w:tcPr>
            <w:tcW w:w="1071" w:type="dxa"/>
            <w:vAlign w:val="center"/>
          </w:tcPr>
          <w:p w14:paraId="2A25CB8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44.9µM</w:t>
            </w:r>
          </w:p>
        </w:tc>
      </w:tr>
      <w:tr w:rsidR="003B34F3" w:rsidRPr="009161AA" w14:paraId="33176CA0" w14:textId="77777777" w:rsidTr="003B34F3">
        <w:trPr>
          <w:trHeight w:val="460"/>
          <w:jc w:val="center"/>
        </w:trPr>
        <w:tc>
          <w:tcPr>
            <w:tcW w:w="913" w:type="dxa"/>
            <w:vAlign w:val="center"/>
          </w:tcPr>
          <w:p w14:paraId="697330E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ATRA</w:t>
            </w:r>
          </w:p>
        </w:tc>
        <w:tc>
          <w:tcPr>
            <w:tcW w:w="1042" w:type="dxa"/>
            <w:vAlign w:val="center"/>
          </w:tcPr>
          <w:p w14:paraId="03275FE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-6.57</w:t>
            </w:r>
          </w:p>
        </w:tc>
        <w:tc>
          <w:tcPr>
            <w:tcW w:w="1412" w:type="dxa"/>
            <w:vAlign w:val="center"/>
          </w:tcPr>
          <w:p w14:paraId="1897599E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Cyc</w:t>
            </w:r>
            <w:r w:rsidRPr="009161AA">
              <w:rPr>
                <w:sz w:val="20"/>
                <w:szCs w:val="20"/>
                <w:vertAlign w:val="superscript"/>
              </w:rPr>
              <w:t>1171</w:t>
            </w:r>
          </w:p>
        </w:tc>
        <w:tc>
          <w:tcPr>
            <w:tcW w:w="1464" w:type="dxa"/>
            <w:vAlign w:val="center"/>
          </w:tcPr>
          <w:p w14:paraId="0155D26E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Cys</w:t>
            </w:r>
            <w:r w:rsidRPr="009161AA">
              <w:rPr>
                <w:sz w:val="20"/>
                <w:szCs w:val="20"/>
                <w:vertAlign w:val="superscript"/>
              </w:rPr>
              <w:t>1171</w:t>
            </w:r>
          </w:p>
        </w:tc>
        <w:tc>
          <w:tcPr>
            <w:tcW w:w="1116" w:type="dxa"/>
            <w:vAlign w:val="center"/>
          </w:tcPr>
          <w:p w14:paraId="547669C7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3.92</w:t>
            </w:r>
          </w:p>
        </w:tc>
        <w:tc>
          <w:tcPr>
            <w:tcW w:w="1065" w:type="dxa"/>
            <w:vAlign w:val="center"/>
          </w:tcPr>
          <w:p w14:paraId="5DC4CA6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3.34</w:t>
            </w:r>
          </w:p>
        </w:tc>
        <w:tc>
          <w:tcPr>
            <w:tcW w:w="1071" w:type="dxa"/>
            <w:vAlign w:val="center"/>
          </w:tcPr>
          <w:p w14:paraId="61952E20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15.33µM</w:t>
            </w:r>
          </w:p>
        </w:tc>
      </w:tr>
      <w:tr w:rsidR="003B34F3" w:rsidRPr="009161AA" w14:paraId="6777F144" w14:textId="77777777" w:rsidTr="003B34F3">
        <w:trPr>
          <w:trHeight w:val="441"/>
          <w:jc w:val="center"/>
        </w:trPr>
        <w:tc>
          <w:tcPr>
            <w:tcW w:w="8085" w:type="dxa"/>
            <w:gridSpan w:val="7"/>
            <w:vAlign w:val="center"/>
          </w:tcPr>
          <w:p w14:paraId="24AEF84A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rxrα (1DSZ)- Zinc finger domain</w:t>
            </w:r>
          </w:p>
        </w:tc>
      </w:tr>
      <w:tr w:rsidR="003B34F3" w:rsidRPr="009161AA" w14:paraId="778D899F" w14:textId="77777777" w:rsidTr="003B34F3">
        <w:trPr>
          <w:trHeight w:val="493"/>
          <w:jc w:val="center"/>
        </w:trPr>
        <w:tc>
          <w:tcPr>
            <w:tcW w:w="913" w:type="dxa"/>
            <w:vAlign w:val="center"/>
          </w:tcPr>
          <w:p w14:paraId="7F6FBB5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042" w:type="dxa"/>
            <w:vAlign w:val="center"/>
          </w:tcPr>
          <w:p w14:paraId="7C738359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-3.9</w:t>
            </w:r>
          </w:p>
        </w:tc>
        <w:tc>
          <w:tcPr>
            <w:tcW w:w="1412" w:type="dxa"/>
            <w:vAlign w:val="center"/>
          </w:tcPr>
          <w:p w14:paraId="7682DFBF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Lys</w:t>
            </w:r>
            <w:r w:rsidRPr="009161AA">
              <w:rPr>
                <w:sz w:val="20"/>
                <w:szCs w:val="20"/>
                <w:vertAlign w:val="superscript"/>
              </w:rPr>
              <w:t>1301</w:t>
            </w:r>
            <w:r w:rsidRPr="009161AA">
              <w:rPr>
                <w:sz w:val="20"/>
                <w:szCs w:val="20"/>
              </w:rPr>
              <w:t>, Met</w:t>
            </w:r>
            <w:r w:rsidRPr="009161AA">
              <w:rPr>
                <w:sz w:val="20"/>
                <w:szCs w:val="20"/>
                <w:vertAlign w:val="superscript"/>
              </w:rPr>
              <w:t>1300</w:t>
            </w:r>
          </w:p>
        </w:tc>
        <w:tc>
          <w:tcPr>
            <w:tcW w:w="1464" w:type="dxa"/>
            <w:vAlign w:val="center"/>
          </w:tcPr>
          <w:p w14:paraId="15CE8A51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Arg</w:t>
            </w:r>
            <w:r w:rsidRPr="009161AA">
              <w:rPr>
                <w:sz w:val="20"/>
                <w:szCs w:val="20"/>
                <w:vertAlign w:val="superscript"/>
              </w:rPr>
              <w:t>1302</w:t>
            </w:r>
            <w:r w:rsidRPr="009161AA">
              <w:rPr>
                <w:sz w:val="20"/>
                <w:szCs w:val="20"/>
              </w:rPr>
              <w:t>, Met</w:t>
            </w:r>
            <w:r w:rsidRPr="009161AA">
              <w:rPr>
                <w:sz w:val="20"/>
                <w:szCs w:val="20"/>
                <w:vertAlign w:val="superscript"/>
              </w:rPr>
              <w:t>1300</w:t>
            </w:r>
          </w:p>
        </w:tc>
        <w:tc>
          <w:tcPr>
            <w:tcW w:w="1116" w:type="dxa"/>
            <w:vAlign w:val="center"/>
          </w:tcPr>
          <w:p w14:paraId="2F9CF681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4.31, 5.58</w:t>
            </w:r>
          </w:p>
        </w:tc>
        <w:tc>
          <w:tcPr>
            <w:tcW w:w="1065" w:type="dxa"/>
            <w:vAlign w:val="center"/>
          </w:tcPr>
          <w:p w14:paraId="33A98BB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2.76, 2.90</w:t>
            </w:r>
          </w:p>
        </w:tc>
        <w:tc>
          <w:tcPr>
            <w:tcW w:w="1071" w:type="dxa"/>
            <w:vAlign w:val="center"/>
          </w:tcPr>
          <w:p w14:paraId="0A6248BF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1.39mM</w:t>
            </w:r>
          </w:p>
        </w:tc>
      </w:tr>
      <w:tr w:rsidR="003B34F3" w:rsidRPr="009161AA" w14:paraId="3F57C67A" w14:textId="77777777" w:rsidTr="003B34F3">
        <w:trPr>
          <w:trHeight w:val="467"/>
          <w:jc w:val="center"/>
        </w:trPr>
        <w:tc>
          <w:tcPr>
            <w:tcW w:w="913" w:type="dxa"/>
            <w:vAlign w:val="center"/>
          </w:tcPr>
          <w:p w14:paraId="0BE5887C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ATRA</w:t>
            </w:r>
          </w:p>
        </w:tc>
        <w:tc>
          <w:tcPr>
            <w:tcW w:w="1042" w:type="dxa"/>
            <w:vAlign w:val="center"/>
          </w:tcPr>
          <w:p w14:paraId="7FB1A9ED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-5.47</w:t>
            </w:r>
          </w:p>
        </w:tc>
        <w:tc>
          <w:tcPr>
            <w:tcW w:w="1412" w:type="dxa"/>
            <w:vAlign w:val="center"/>
          </w:tcPr>
          <w:p w14:paraId="5DD0E1B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Gln</w:t>
            </w:r>
            <w:r w:rsidRPr="009161AA">
              <w:rPr>
                <w:sz w:val="20"/>
                <w:szCs w:val="20"/>
                <w:vertAlign w:val="superscript"/>
              </w:rPr>
              <w:t>1306</w:t>
            </w:r>
          </w:p>
        </w:tc>
        <w:tc>
          <w:tcPr>
            <w:tcW w:w="1464" w:type="dxa"/>
            <w:vAlign w:val="center"/>
          </w:tcPr>
          <w:p w14:paraId="3170ADDC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Lys</w:t>
            </w:r>
            <w:r w:rsidRPr="009161AA">
              <w:rPr>
                <w:sz w:val="20"/>
                <w:szCs w:val="20"/>
                <w:vertAlign w:val="superscript"/>
              </w:rPr>
              <w:t>1260</w:t>
            </w:r>
          </w:p>
        </w:tc>
        <w:tc>
          <w:tcPr>
            <w:tcW w:w="1116" w:type="dxa"/>
            <w:vAlign w:val="center"/>
          </w:tcPr>
          <w:p w14:paraId="4ACA8C1D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4.19</w:t>
            </w:r>
          </w:p>
        </w:tc>
        <w:tc>
          <w:tcPr>
            <w:tcW w:w="1065" w:type="dxa"/>
            <w:vAlign w:val="center"/>
          </w:tcPr>
          <w:p w14:paraId="576E2168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2.64</w:t>
            </w:r>
          </w:p>
        </w:tc>
        <w:tc>
          <w:tcPr>
            <w:tcW w:w="1071" w:type="dxa"/>
            <w:vAlign w:val="center"/>
          </w:tcPr>
          <w:p w14:paraId="370469B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97.3µM</w:t>
            </w:r>
          </w:p>
        </w:tc>
      </w:tr>
      <w:tr w:rsidR="003B34F3" w:rsidRPr="009161AA" w14:paraId="588C5ACC" w14:textId="77777777" w:rsidTr="003B34F3">
        <w:trPr>
          <w:trHeight w:val="412"/>
          <w:jc w:val="center"/>
        </w:trPr>
        <w:tc>
          <w:tcPr>
            <w:tcW w:w="8085" w:type="dxa"/>
            <w:gridSpan w:val="7"/>
            <w:vAlign w:val="center"/>
          </w:tcPr>
          <w:p w14:paraId="256616F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rara (3KMR)- Ligand binding domain</w:t>
            </w:r>
          </w:p>
        </w:tc>
      </w:tr>
      <w:tr w:rsidR="003B34F3" w:rsidRPr="009161AA" w14:paraId="3B313FF5" w14:textId="77777777" w:rsidTr="003B34F3">
        <w:trPr>
          <w:trHeight w:val="458"/>
          <w:jc w:val="center"/>
        </w:trPr>
        <w:tc>
          <w:tcPr>
            <w:tcW w:w="913" w:type="dxa"/>
            <w:vAlign w:val="center"/>
          </w:tcPr>
          <w:p w14:paraId="1B84261E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042" w:type="dxa"/>
            <w:vAlign w:val="center"/>
          </w:tcPr>
          <w:p w14:paraId="37B716DA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-4.41</w:t>
            </w:r>
          </w:p>
        </w:tc>
        <w:tc>
          <w:tcPr>
            <w:tcW w:w="1412" w:type="dxa"/>
            <w:vAlign w:val="center"/>
          </w:tcPr>
          <w:p w14:paraId="05F48DC1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Asp</w:t>
            </w:r>
            <w:r w:rsidRPr="009161AA">
              <w:rPr>
                <w:sz w:val="20"/>
                <w:szCs w:val="20"/>
                <w:vertAlign w:val="superscript"/>
              </w:rPr>
              <w:t>323</w:t>
            </w:r>
            <w:r w:rsidRPr="009161AA">
              <w:rPr>
                <w:sz w:val="20"/>
                <w:szCs w:val="20"/>
              </w:rPr>
              <w:t>, Leu</w:t>
            </w:r>
            <w:r w:rsidRPr="009161AA">
              <w:rPr>
                <w:sz w:val="20"/>
                <w:szCs w:val="20"/>
                <w:vertAlign w:val="superscript"/>
              </w:rPr>
              <w:t>316</w:t>
            </w:r>
          </w:p>
        </w:tc>
        <w:tc>
          <w:tcPr>
            <w:tcW w:w="1464" w:type="dxa"/>
            <w:vAlign w:val="center"/>
          </w:tcPr>
          <w:p w14:paraId="11EECF7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Asp</w:t>
            </w:r>
            <w:r w:rsidRPr="009161AA">
              <w:rPr>
                <w:sz w:val="20"/>
                <w:szCs w:val="20"/>
                <w:vertAlign w:val="superscript"/>
              </w:rPr>
              <w:t>323</w:t>
            </w:r>
          </w:p>
        </w:tc>
        <w:tc>
          <w:tcPr>
            <w:tcW w:w="1116" w:type="dxa"/>
            <w:vAlign w:val="center"/>
          </w:tcPr>
          <w:p w14:paraId="11993A4F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4.07, 4.41</w:t>
            </w:r>
          </w:p>
        </w:tc>
        <w:tc>
          <w:tcPr>
            <w:tcW w:w="1065" w:type="dxa"/>
            <w:vAlign w:val="center"/>
          </w:tcPr>
          <w:p w14:paraId="3E5E9FC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2.77</w:t>
            </w:r>
          </w:p>
        </w:tc>
        <w:tc>
          <w:tcPr>
            <w:tcW w:w="1071" w:type="dxa"/>
            <w:vAlign w:val="center"/>
          </w:tcPr>
          <w:p w14:paraId="4F2435D0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588.33µM</w:t>
            </w:r>
          </w:p>
        </w:tc>
      </w:tr>
      <w:tr w:rsidR="003B34F3" w:rsidRPr="009161AA" w14:paraId="476F037F" w14:textId="77777777" w:rsidTr="003B34F3">
        <w:trPr>
          <w:trHeight w:val="563"/>
          <w:jc w:val="center"/>
        </w:trPr>
        <w:tc>
          <w:tcPr>
            <w:tcW w:w="913" w:type="dxa"/>
            <w:vAlign w:val="center"/>
          </w:tcPr>
          <w:p w14:paraId="6B6F7A3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ATRA</w:t>
            </w:r>
          </w:p>
        </w:tc>
        <w:tc>
          <w:tcPr>
            <w:tcW w:w="1042" w:type="dxa"/>
            <w:vAlign w:val="center"/>
          </w:tcPr>
          <w:p w14:paraId="2EB04C2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-5.07</w:t>
            </w:r>
          </w:p>
        </w:tc>
        <w:tc>
          <w:tcPr>
            <w:tcW w:w="1412" w:type="dxa"/>
            <w:vAlign w:val="center"/>
          </w:tcPr>
          <w:p w14:paraId="3C662240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Lys</w:t>
            </w:r>
            <w:r w:rsidRPr="009161AA">
              <w:rPr>
                <w:sz w:val="20"/>
                <w:szCs w:val="20"/>
                <w:vertAlign w:val="superscript"/>
              </w:rPr>
              <w:t>207</w:t>
            </w:r>
          </w:p>
        </w:tc>
        <w:tc>
          <w:tcPr>
            <w:tcW w:w="1464" w:type="dxa"/>
            <w:vAlign w:val="center"/>
          </w:tcPr>
          <w:p w14:paraId="353CBFED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Lys</w:t>
            </w:r>
            <w:r w:rsidRPr="009161AA">
              <w:rPr>
                <w:sz w:val="20"/>
                <w:szCs w:val="20"/>
                <w:vertAlign w:val="superscript"/>
              </w:rPr>
              <w:t>207</w:t>
            </w:r>
          </w:p>
        </w:tc>
        <w:tc>
          <w:tcPr>
            <w:tcW w:w="1116" w:type="dxa"/>
            <w:vAlign w:val="center"/>
          </w:tcPr>
          <w:p w14:paraId="769BB64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5.76</w:t>
            </w:r>
          </w:p>
        </w:tc>
        <w:tc>
          <w:tcPr>
            <w:tcW w:w="1065" w:type="dxa"/>
            <w:vAlign w:val="center"/>
          </w:tcPr>
          <w:p w14:paraId="4EAD5B39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2.66</w:t>
            </w:r>
          </w:p>
        </w:tc>
        <w:tc>
          <w:tcPr>
            <w:tcW w:w="1071" w:type="dxa"/>
            <w:vAlign w:val="center"/>
          </w:tcPr>
          <w:p w14:paraId="6B917CD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192.37µM</w:t>
            </w:r>
          </w:p>
        </w:tc>
      </w:tr>
      <w:tr w:rsidR="003B34F3" w:rsidRPr="009161AA" w14:paraId="77AA7637" w14:textId="77777777" w:rsidTr="003B34F3">
        <w:trPr>
          <w:trHeight w:val="470"/>
          <w:jc w:val="center"/>
        </w:trPr>
        <w:tc>
          <w:tcPr>
            <w:tcW w:w="8085" w:type="dxa"/>
            <w:gridSpan w:val="7"/>
            <w:vAlign w:val="center"/>
          </w:tcPr>
          <w:p w14:paraId="08E5EC64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sz w:val="20"/>
                <w:szCs w:val="20"/>
              </w:rPr>
              <w:t>rxrα (1MZN)- Ligand binding domain</w:t>
            </w:r>
          </w:p>
        </w:tc>
      </w:tr>
      <w:tr w:rsidR="003B34F3" w:rsidRPr="009161AA" w14:paraId="1D51E709" w14:textId="77777777" w:rsidTr="003B34F3">
        <w:trPr>
          <w:trHeight w:val="433"/>
          <w:jc w:val="center"/>
        </w:trPr>
        <w:tc>
          <w:tcPr>
            <w:tcW w:w="913" w:type="dxa"/>
            <w:vAlign w:val="center"/>
          </w:tcPr>
          <w:p w14:paraId="61861D88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042" w:type="dxa"/>
            <w:vAlign w:val="center"/>
          </w:tcPr>
          <w:p w14:paraId="7127C67E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-4.64</w:t>
            </w:r>
          </w:p>
        </w:tc>
        <w:tc>
          <w:tcPr>
            <w:tcW w:w="1412" w:type="dxa"/>
            <w:vAlign w:val="center"/>
          </w:tcPr>
          <w:p w14:paraId="1DF6B2AE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Arg</w:t>
            </w:r>
            <w:r w:rsidRPr="009161AA">
              <w:rPr>
                <w:sz w:val="20"/>
                <w:szCs w:val="20"/>
                <w:vertAlign w:val="superscript"/>
              </w:rPr>
              <w:t>316</w:t>
            </w:r>
          </w:p>
        </w:tc>
        <w:tc>
          <w:tcPr>
            <w:tcW w:w="1464" w:type="dxa"/>
            <w:vAlign w:val="center"/>
          </w:tcPr>
          <w:p w14:paraId="1C318E10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Arg</w:t>
            </w:r>
            <w:r w:rsidRPr="009161AA">
              <w:rPr>
                <w:sz w:val="20"/>
                <w:szCs w:val="20"/>
                <w:vertAlign w:val="superscript"/>
              </w:rPr>
              <w:t>316</w:t>
            </w:r>
          </w:p>
        </w:tc>
        <w:tc>
          <w:tcPr>
            <w:tcW w:w="1116" w:type="dxa"/>
            <w:vAlign w:val="center"/>
          </w:tcPr>
          <w:p w14:paraId="3423AEEA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4.48</w:t>
            </w:r>
          </w:p>
        </w:tc>
        <w:tc>
          <w:tcPr>
            <w:tcW w:w="1065" w:type="dxa"/>
            <w:vAlign w:val="center"/>
          </w:tcPr>
          <w:p w14:paraId="57FA1C3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3.24</w:t>
            </w:r>
          </w:p>
        </w:tc>
        <w:tc>
          <w:tcPr>
            <w:tcW w:w="1071" w:type="dxa"/>
            <w:vAlign w:val="center"/>
          </w:tcPr>
          <w:p w14:paraId="3118BE86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496.63µM</w:t>
            </w:r>
          </w:p>
        </w:tc>
      </w:tr>
      <w:tr w:rsidR="003B34F3" w:rsidRPr="009161AA" w14:paraId="00D13077" w14:textId="77777777" w:rsidTr="003B34F3">
        <w:trPr>
          <w:trHeight w:val="326"/>
          <w:jc w:val="center"/>
        </w:trPr>
        <w:tc>
          <w:tcPr>
            <w:tcW w:w="913" w:type="dxa"/>
            <w:vAlign w:val="center"/>
          </w:tcPr>
          <w:p w14:paraId="6A18FB44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b/>
                <w:bCs/>
                <w:sz w:val="20"/>
                <w:szCs w:val="20"/>
              </w:rPr>
              <w:t>ATRA</w:t>
            </w:r>
          </w:p>
        </w:tc>
        <w:tc>
          <w:tcPr>
            <w:tcW w:w="1042" w:type="dxa"/>
            <w:vAlign w:val="center"/>
          </w:tcPr>
          <w:p w14:paraId="5B6C45FB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-4.79</w:t>
            </w:r>
          </w:p>
        </w:tc>
        <w:tc>
          <w:tcPr>
            <w:tcW w:w="1412" w:type="dxa"/>
            <w:vAlign w:val="center"/>
          </w:tcPr>
          <w:p w14:paraId="63C585B3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</w:t>
            </w:r>
          </w:p>
        </w:tc>
        <w:tc>
          <w:tcPr>
            <w:tcW w:w="1464" w:type="dxa"/>
            <w:vAlign w:val="center"/>
          </w:tcPr>
          <w:p w14:paraId="2BA703DD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</w:t>
            </w:r>
          </w:p>
        </w:tc>
        <w:tc>
          <w:tcPr>
            <w:tcW w:w="1116" w:type="dxa"/>
            <w:vAlign w:val="center"/>
          </w:tcPr>
          <w:p w14:paraId="414BF4F9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</w:t>
            </w:r>
          </w:p>
        </w:tc>
        <w:tc>
          <w:tcPr>
            <w:tcW w:w="1065" w:type="dxa"/>
            <w:vAlign w:val="center"/>
          </w:tcPr>
          <w:p w14:paraId="1A01DD6F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-</w:t>
            </w:r>
          </w:p>
        </w:tc>
        <w:tc>
          <w:tcPr>
            <w:tcW w:w="1071" w:type="dxa"/>
            <w:vAlign w:val="center"/>
          </w:tcPr>
          <w:p w14:paraId="5498B128" w14:textId="77777777" w:rsidR="003B34F3" w:rsidRPr="009161AA" w:rsidRDefault="003B34F3" w:rsidP="00B35FDF">
            <w:pPr>
              <w:spacing w:after="0" w:line="480" w:lineRule="auto"/>
              <w:contextualSpacing/>
              <w:jc w:val="center"/>
              <w:rPr>
                <w:sz w:val="20"/>
                <w:szCs w:val="20"/>
              </w:rPr>
            </w:pPr>
            <w:r w:rsidRPr="009161AA">
              <w:rPr>
                <w:sz w:val="20"/>
                <w:szCs w:val="20"/>
              </w:rPr>
              <w:t>308.29µM</w:t>
            </w:r>
          </w:p>
        </w:tc>
      </w:tr>
    </w:tbl>
    <w:p w14:paraId="1230B29D" w14:textId="12763AD7" w:rsidR="007D270B" w:rsidRPr="009161AA" w:rsidRDefault="007D270B" w:rsidP="00B35FDF">
      <w:pPr>
        <w:spacing w:after="0" w:line="480" w:lineRule="auto"/>
        <w:jc w:val="center"/>
        <w:rPr>
          <w:noProof/>
        </w:rPr>
      </w:pPr>
    </w:p>
    <w:p w14:paraId="19CDAEC6" w14:textId="77777777" w:rsidR="003B34F3" w:rsidRPr="009161AA" w:rsidRDefault="003B34F3" w:rsidP="00B35FDF">
      <w:pPr>
        <w:spacing w:after="0" w:line="480" w:lineRule="auto"/>
        <w:rPr>
          <w:noProof/>
        </w:rPr>
      </w:pPr>
    </w:p>
    <w:p w14:paraId="2ED9E156" w14:textId="2B534EB5" w:rsidR="00F3161A" w:rsidRPr="009161AA" w:rsidRDefault="003B34F3" w:rsidP="00B35FDF">
      <w:pPr>
        <w:spacing w:after="0" w:line="480" w:lineRule="auto"/>
        <w:jc w:val="center"/>
      </w:pPr>
      <w:r w:rsidRPr="009161AA">
        <w:rPr>
          <w:noProof/>
          <w:color w:val="FF0000"/>
          <w:sz w:val="20"/>
          <w:szCs w:val="20"/>
        </w:rPr>
        <w:drawing>
          <wp:inline distT="0" distB="0" distL="0" distR="0" wp14:anchorId="35FF3034" wp14:editId="703F4E9F">
            <wp:extent cx="5384566" cy="2085975"/>
            <wp:effectExtent l="0" t="0" r="698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49" cy="2101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91078" w:rsidRPr="009161AA">
        <w:rPr>
          <w:noProof/>
        </w:rPr>
        <w:t xml:space="preserve">  </w:t>
      </w:r>
    </w:p>
    <w:p w14:paraId="5DC1F845" w14:textId="4D283917" w:rsidR="00C52198" w:rsidRPr="009161AA" w:rsidRDefault="00C52198" w:rsidP="00B35FDF">
      <w:pPr>
        <w:spacing w:after="0" w:line="480" w:lineRule="auto"/>
        <w:ind w:left="1276" w:right="95" w:hanging="1276"/>
        <w:jc w:val="both"/>
      </w:pPr>
      <w:r w:rsidRPr="009161AA">
        <w:rPr>
          <w:b/>
        </w:rPr>
        <w:t>F</w:t>
      </w:r>
      <w:r w:rsidR="00535833">
        <w:rPr>
          <w:b/>
        </w:rPr>
        <w:t>IGURE</w:t>
      </w:r>
      <w:r w:rsidRPr="009161AA">
        <w:rPr>
          <w:b/>
        </w:rPr>
        <w:t xml:space="preserve"> </w:t>
      </w:r>
      <w:r w:rsidR="00CB2706" w:rsidRPr="009161AA">
        <w:rPr>
          <w:b/>
        </w:rPr>
        <w:t>9</w:t>
      </w:r>
      <w:r w:rsidRPr="009161AA">
        <w:rPr>
          <w:b/>
        </w:rPr>
        <w:t>:</w:t>
      </w:r>
      <w:r w:rsidRPr="009161AA">
        <w:t xml:space="preserve"> Docking results of (A) C3-RARA (3KMR), (</w:t>
      </w:r>
      <w:r w:rsidR="003B34F3" w:rsidRPr="009161AA">
        <w:t>B</w:t>
      </w:r>
      <w:r w:rsidRPr="009161AA">
        <w:t xml:space="preserve">) C3-RXRα (1MZN); </w:t>
      </w:r>
      <w:r w:rsidRPr="009161AA">
        <w:rPr>
          <w:sz w:val="20"/>
          <w:szCs w:val="20"/>
        </w:rPr>
        <w:t>the arrows define the ligand binding sites and H-bond forming residues</w:t>
      </w:r>
      <w:r w:rsidR="003B34F3" w:rsidRPr="009161AA">
        <w:t>.</w:t>
      </w:r>
    </w:p>
    <w:p w14:paraId="045404FF" w14:textId="77777777" w:rsidR="000355D8" w:rsidRPr="009161AA" w:rsidRDefault="000355D8" w:rsidP="00B35FDF">
      <w:pPr>
        <w:spacing w:after="0" w:line="480" w:lineRule="auto"/>
        <w:ind w:left="993" w:right="95" w:hanging="993"/>
        <w:jc w:val="both"/>
      </w:pPr>
    </w:p>
    <w:p w14:paraId="67F6E2DF" w14:textId="53E9FE70" w:rsidR="000355D8" w:rsidRPr="009161AA" w:rsidRDefault="000355D8" w:rsidP="00B35FDF">
      <w:pPr>
        <w:spacing w:after="0" w:line="480" w:lineRule="auto"/>
        <w:ind w:left="1276" w:right="-330" w:hanging="1134"/>
        <w:jc w:val="both"/>
        <w:rPr>
          <w:bCs/>
          <w:iCs/>
        </w:rPr>
      </w:pPr>
      <w:r w:rsidRPr="009161AA">
        <w:rPr>
          <w:b/>
          <w:bCs/>
          <w:iCs/>
        </w:rPr>
        <w:t xml:space="preserve">TABLE 6: </w:t>
      </w:r>
      <w:r w:rsidRPr="009161AA">
        <w:rPr>
          <w:bCs/>
          <w:iCs/>
        </w:rPr>
        <w:t xml:space="preserve">Docking results of Compound 3 (C3) and ATRA with respect to minimum binding energy. </w:t>
      </w:r>
    </w:p>
    <w:p w14:paraId="056A7363" w14:textId="77777777" w:rsidR="000355D8" w:rsidRPr="009161AA" w:rsidRDefault="000355D8" w:rsidP="00B35FDF">
      <w:pPr>
        <w:spacing w:after="0" w:line="480" w:lineRule="auto"/>
        <w:jc w:val="both"/>
        <w:rPr>
          <w:bCs/>
          <w:iCs/>
          <w:sz w:val="10"/>
          <w:szCs w:val="10"/>
        </w:rPr>
      </w:pPr>
    </w:p>
    <w:tbl>
      <w:tblPr>
        <w:tblStyle w:val="TableGrid"/>
        <w:tblW w:w="0" w:type="auto"/>
        <w:tblInd w:w="1696" w:type="dxa"/>
        <w:tblLook w:val="04A0" w:firstRow="1" w:lastRow="0" w:firstColumn="1" w:lastColumn="0" w:noHBand="0" w:noVBand="1"/>
      </w:tblPr>
      <w:tblGrid>
        <w:gridCol w:w="1418"/>
        <w:gridCol w:w="1559"/>
        <w:gridCol w:w="2551"/>
      </w:tblGrid>
      <w:tr w:rsidR="000355D8" w:rsidRPr="009161AA" w14:paraId="28BBF7C8" w14:textId="77777777" w:rsidTr="00254E0E">
        <w:trPr>
          <w:trHeight w:val="262"/>
        </w:trPr>
        <w:tc>
          <w:tcPr>
            <w:tcW w:w="1418" w:type="dxa"/>
            <w:shd w:val="clear" w:color="auto" w:fill="595959" w:themeFill="text1" w:themeFillTint="A6"/>
          </w:tcPr>
          <w:p w14:paraId="5FD93F6E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color w:val="FFFFFF" w:themeColor="background1"/>
                <w:sz w:val="20"/>
                <w:szCs w:val="20"/>
              </w:rPr>
            </w:pPr>
            <w:bookmarkStart w:id="2" w:name="_Hlk75769432"/>
            <w:r w:rsidRPr="009161AA">
              <w:rPr>
                <w:b/>
                <w:bCs/>
                <w:iCs/>
                <w:color w:val="FFFFFF" w:themeColor="background1"/>
                <w:sz w:val="20"/>
                <w:szCs w:val="20"/>
              </w:rPr>
              <w:t>Compounds</w:t>
            </w:r>
          </w:p>
        </w:tc>
        <w:tc>
          <w:tcPr>
            <w:tcW w:w="1559" w:type="dxa"/>
            <w:shd w:val="clear" w:color="auto" w:fill="595959" w:themeFill="text1" w:themeFillTint="A6"/>
          </w:tcPr>
          <w:p w14:paraId="2C634E15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bCs/>
                <w:iCs/>
                <w:color w:val="FFFFFF" w:themeColor="background1"/>
                <w:sz w:val="20"/>
                <w:szCs w:val="20"/>
              </w:rPr>
              <w:t>Proteins</w:t>
            </w:r>
          </w:p>
        </w:tc>
        <w:tc>
          <w:tcPr>
            <w:tcW w:w="2551" w:type="dxa"/>
            <w:shd w:val="clear" w:color="auto" w:fill="595959" w:themeFill="text1" w:themeFillTint="A6"/>
          </w:tcPr>
          <w:p w14:paraId="78B73D6A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9161AA">
              <w:rPr>
                <w:b/>
                <w:bCs/>
                <w:iCs/>
                <w:color w:val="FFFFFF" w:themeColor="background1"/>
                <w:sz w:val="20"/>
                <w:szCs w:val="20"/>
              </w:rPr>
              <w:t>Binding energy (kcal/mol)</w:t>
            </w:r>
          </w:p>
        </w:tc>
      </w:tr>
      <w:tr w:rsidR="000355D8" w:rsidRPr="009161AA" w14:paraId="0C7CA056" w14:textId="77777777" w:rsidTr="00254E0E">
        <w:tc>
          <w:tcPr>
            <w:tcW w:w="1418" w:type="dxa"/>
            <w:vMerge w:val="restart"/>
            <w:vAlign w:val="center"/>
          </w:tcPr>
          <w:p w14:paraId="4E1D7944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161AA">
              <w:rPr>
                <w:b/>
                <w:bCs/>
                <w:iCs/>
                <w:sz w:val="20"/>
                <w:szCs w:val="20"/>
              </w:rPr>
              <w:t>C3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BC1F5BA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flt3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AFCBA1C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-5.28</w:t>
            </w:r>
          </w:p>
        </w:tc>
      </w:tr>
      <w:tr w:rsidR="000355D8" w:rsidRPr="009161AA" w14:paraId="4CFE98A9" w14:textId="77777777" w:rsidTr="00254E0E">
        <w:tc>
          <w:tcPr>
            <w:tcW w:w="1418" w:type="dxa"/>
            <w:vMerge/>
            <w:vAlign w:val="center"/>
          </w:tcPr>
          <w:p w14:paraId="241FC6C1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18A6D6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hdac9</w:t>
            </w:r>
          </w:p>
        </w:tc>
        <w:tc>
          <w:tcPr>
            <w:tcW w:w="2551" w:type="dxa"/>
            <w:vAlign w:val="center"/>
          </w:tcPr>
          <w:p w14:paraId="36C55FF2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-4.92</w:t>
            </w:r>
          </w:p>
        </w:tc>
      </w:tr>
      <w:tr w:rsidR="000355D8" w:rsidRPr="009161AA" w14:paraId="33A8576A" w14:textId="77777777" w:rsidTr="00254E0E">
        <w:tc>
          <w:tcPr>
            <w:tcW w:w="1418" w:type="dxa"/>
            <w:vMerge/>
            <w:vAlign w:val="center"/>
          </w:tcPr>
          <w:p w14:paraId="5E336BC0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B99537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Myc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9E5178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-4.48</w:t>
            </w:r>
          </w:p>
        </w:tc>
      </w:tr>
      <w:tr w:rsidR="000355D8" w:rsidRPr="009161AA" w14:paraId="300513EB" w14:textId="77777777" w:rsidTr="00254E0E">
        <w:tc>
          <w:tcPr>
            <w:tcW w:w="1418" w:type="dxa"/>
            <w:vMerge/>
            <w:vAlign w:val="center"/>
          </w:tcPr>
          <w:p w14:paraId="5C2E49DC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D45A48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rad52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B98626F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-5.54</w:t>
            </w:r>
          </w:p>
        </w:tc>
      </w:tr>
      <w:tr w:rsidR="000355D8" w:rsidRPr="009161AA" w14:paraId="63CD0FEA" w14:textId="77777777" w:rsidTr="00254E0E">
        <w:tc>
          <w:tcPr>
            <w:tcW w:w="1418" w:type="dxa"/>
            <w:vMerge w:val="restart"/>
            <w:vAlign w:val="center"/>
          </w:tcPr>
          <w:p w14:paraId="4DD9DECF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161AA">
              <w:rPr>
                <w:b/>
                <w:bCs/>
                <w:iCs/>
                <w:sz w:val="20"/>
                <w:szCs w:val="20"/>
              </w:rPr>
              <w:t>ATRA</w:t>
            </w:r>
          </w:p>
        </w:tc>
        <w:tc>
          <w:tcPr>
            <w:tcW w:w="1559" w:type="dxa"/>
            <w:vAlign w:val="center"/>
          </w:tcPr>
          <w:p w14:paraId="3A458D22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flt3</w:t>
            </w:r>
          </w:p>
        </w:tc>
        <w:tc>
          <w:tcPr>
            <w:tcW w:w="2551" w:type="dxa"/>
            <w:vAlign w:val="center"/>
          </w:tcPr>
          <w:p w14:paraId="19441457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-5.09</w:t>
            </w:r>
          </w:p>
        </w:tc>
      </w:tr>
      <w:tr w:rsidR="000355D8" w:rsidRPr="009161AA" w14:paraId="5BA836E7" w14:textId="77777777" w:rsidTr="00254E0E">
        <w:tc>
          <w:tcPr>
            <w:tcW w:w="1418" w:type="dxa"/>
            <w:vMerge/>
            <w:vAlign w:val="center"/>
          </w:tcPr>
          <w:p w14:paraId="4CE87AB2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DB7CDB8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hdac9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BB128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-5.63</w:t>
            </w:r>
          </w:p>
        </w:tc>
      </w:tr>
      <w:tr w:rsidR="000355D8" w:rsidRPr="009161AA" w14:paraId="6E08E6C0" w14:textId="77777777" w:rsidTr="00254E0E">
        <w:tc>
          <w:tcPr>
            <w:tcW w:w="1418" w:type="dxa"/>
            <w:vMerge/>
            <w:vAlign w:val="center"/>
          </w:tcPr>
          <w:p w14:paraId="5F4F20EB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9AED1E0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Myc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2B67DE7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-6.03</w:t>
            </w:r>
          </w:p>
        </w:tc>
      </w:tr>
      <w:tr w:rsidR="000355D8" w:rsidRPr="009161AA" w14:paraId="2011FC62" w14:textId="77777777" w:rsidTr="00254E0E">
        <w:tc>
          <w:tcPr>
            <w:tcW w:w="1418" w:type="dxa"/>
            <w:vMerge/>
            <w:vAlign w:val="center"/>
          </w:tcPr>
          <w:p w14:paraId="668939CD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7B5699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rad52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B5FF5A" w14:textId="77777777" w:rsidR="000355D8" w:rsidRPr="009161AA" w:rsidRDefault="000355D8" w:rsidP="00B35FDF">
            <w:pPr>
              <w:spacing w:after="0" w:line="480" w:lineRule="auto"/>
              <w:contextualSpacing/>
              <w:jc w:val="center"/>
              <w:rPr>
                <w:bCs/>
                <w:iCs/>
                <w:sz w:val="20"/>
                <w:szCs w:val="20"/>
              </w:rPr>
            </w:pPr>
            <w:r w:rsidRPr="009161AA">
              <w:rPr>
                <w:bCs/>
                <w:iCs/>
                <w:sz w:val="20"/>
                <w:szCs w:val="20"/>
              </w:rPr>
              <w:t>-5.44</w:t>
            </w:r>
          </w:p>
        </w:tc>
      </w:tr>
    </w:tbl>
    <w:bookmarkEnd w:id="2"/>
    <w:p w14:paraId="6D0C0986" w14:textId="77777777" w:rsidR="000355D8" w:rsidRDefault="000355D8" w:rsidP="00B35FDF">
      <w:pPr>
        <w:tabs>
          <w:tab w:val="left" w:pos="7796"/>
        </w:tabs>
        <w:spacing w:after="0" w:line="480" w:lineRule="auto"/>
        <w:ind w:left="1701" w:right="1230"/>
        <w:rPr>
          <w:bCs/>
          <w:iCs/>
          <w:sz w:val="16"/>
          <w:szCs w:val="16"/>
        </w:rPr>
      </w:pPr>
      <w:r w:rsidRPr="009161AA">
        <w:rPr>
          <w:bCs/>
          <w:iCs/>
          <w:sz w:val="16"/>
          <w:szCs w:val="16"/>
          <w:vertAlign w:val="superscript"/>
        </w:rPr>
        <w:t>*</w:t>
      </w:r>
      <w:r w:rsidRPr="009161AA">
        <w:rPr>
          <w:bCs/>
          <w:iCs/>
          <w:sz w:val="16"/>
          <w:szCs w:val="16"/>
          <w:shd w:val="clear" w:color="auto" w:fill="D9D9D9" w:themeFill="background1" w:themeFillShade="D9"/>
        </w:rPr>
        <w:t>Grey highlights</w:t>
      </w:r>
      <w:r w:rsidRPr="009161AA">
        <w:rPr>
          <w:bCs/>
          <w:iCs/>
          <w:sz w:val="16"/>
          <w:szCs w:val="16"/>
        </w:rPr>
        <w:t>- Complexes with best binding energy</w:t>
      </w:r>
    </w:p>
    <w:sectPr w:rsidR="000355D8" w:rsidSect="005D47C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CF"/>
    <w:rsid w:val="0000458B"/>
    <w:rsid w:val="00010253"/>
    <w:rsid w:val="00025EF3"/>
    <w:rsid w:val="000355D8"/>
    <w:rsid w:val="000609A8"/>
    <w:rsid w:val="00063A9B"/>
    <w:rsid w:val="00064491"/>
    <w:rsid w:val="00085DFC"/>
    <w:rsid w:val="000A3CB3"/>
    <w:rsid w:val="000B5871"/>
    <w:rsid w:val="000C1A69"/>
    <w:rsid w:val="000C5DD6"/>
    <w:rsid w:val="000F17EF"/>
    <w:rsid w:val="00173391"/>
    <w:rsid w:val="001A1D79"/>
    <w:rsid w:val="001A6D55"/>
    <w:rsid w:val="001B279D"/>
    <w:rsid w:val="00213B69"/>
    <w:rsid w:val="00220038"/>
    <w:rsid w:val="00235BDF"/>
    <w:rsid w:val="00245E1A"/>
    <w:rsid w:val="00290966"/>
    <w:rsid w:val="002968A7"/>
    <w:rsid w:val="002A6B0D"/>
    <w:rsid w:val="00304BD7"/>
    <w:rsid w:val="00305329"/>
    <w:rsid w:val="00311418"/>
    <w:rsid w:val="00316C4D"/>
    <w:rsid w:val="00335ACF"/>
    <w:rsid w:val="0035650E"/>
    <w:rsid w:val="003B0698"/>
    <w:rsid w:val="003B34F3"/>
    <w:rsid w:val="003F4013"/>
    <w:rsid w:val="003F472B"/>
    <w:rsid w:val="00404244"/>
    <w:rsid w:val="004072E9"/>
    <w:rsid w:val="00431298"/>
    <w:rsid w:val="00445C66"/>
    <w:rsid w:val="00456E8E"/>
    <w:rsid w:val="00491078"/>
    <w:rsid w:val="00495187"/>
    <w:rsid w:val="00496C83"/>
    <w:rsid w:val="004A0B3A"/>
    <w:rsid w:val="004B684C"/>
    <w:rsid w:val="004C3903"/>
    <w:rsid w:val="004F1701"/>
    <w:rsid w:val="00504B3F"/>
    <w:rsid w:val="00504D86"/>
    <w:rsid w:val="0051505B"/>
    <w:rsid w:val="00535833"/>
    <w:rsid w:val="00577C73"/>
    <w:rsid w:val="0058779B"/>
    <w:rsid w:val="005A3630"/>
    <w:rsid w:val="005A6ACD"/>
    <w:rsid w:val="005B1DBD"/>
    <w:rsid w:val="005C395A"/>
    <w:rsid w:val="005C44DD"/>
    <w:rsid w:val="005D47CA"/>
    <w:rsid w:val="00624077"/>
    <w:rsid w:val="00644F16"/>
    <w:rsid w:val="006615A3"/>
    <w:rsid w:val="00662D16"/>
    <w:rsid w:val="0068041D"/>
    <w:rsid w:val="0068696A"/>
    <w:rsid w:val="006970C0"/>
    <w:rsid w:val="006A2A0D"/>
    <w:rsid w:val="006B1713"/>
    <w:rsid w:val="006C4146"/>
    <w:rsid w:val="006E622C"/>
    <w:rsid w:val="007035B2"/>
    <w:rsid w:val="00703A2F"/>
    <w:rsid w:val="00726B5D"/>
    <w:rsid w:val="00737F8F"/>
    <w:rsid w:val="00742E45"/>
    <w:rsid w:val="00757C97"/>
    <w:rsid w:val="0078409F"/>
    <w:rsid w:val="007C006A"/>
    <w:rsid w:val="007D270B"/>
    <w:rsid w:val="00801828"/>
    <w:rsid w:val="008477B2"/>
    <w:rsid w:val="00867479"/>
    <w:rsid w:val="00874FB6"/>
    <w:rsid w:val="00896100"/>
    <w:rsid w:val="008A6657"/>
    <w:rsid w:val="008A70E5"/>
    <w:rsid w:val="00905FF3"/>
    <w:rsid w:val="009161AA"/>
    <w:rsid w:val="0093233A"/>
    <w:rsid w:val="00975F5C"/>
    <w:rsid w:val="009772E6"/>
    <w:rsid w:val="009C0AF9"/>
    <w:rsid w:val="00A21A04"/>
    <w:rsid w:val="00A2526B"/>
    <w:rsid w:val="00A8120D"/>
    <w:rsid w:val="00AB40EF"/>
    <w:rsid w:val="00AB66C6"/>
    <w:rsid w:val="00AC4B6D"/>
    <w:rsid w:val="00AF138F"/>
    <w:rsid w:val="00B2352E"/>
    <w:rsid w:val="00B35FDF"/>
    <w:rsid w:val="00B54AB3"/>
    <w:rsid w:val="00B56288"/>
    <w:rsid w:val="00B564A3"/>
    <w:rsid w:val="00B5685D"/>
    <w:rsid w:val="00B62149"/>
    <w:rsid w:val="00B74594"/>
    <w:rsid w:val="00BC0181"/>
    <w:rsid w:val="00BD6D87"/>
    <w:rsid w:val="00BE180E"/>
    <w:rsid w:val="00BF660E"/>
    <w:rsid w:val="00BF6CFA"/>
    <w:rsid w:val="00C4211B"/>
    <w:rsid w:val="00C52198"/>
    <w:rsid w:val="00C70088"/>
    <w:rsid w:val="00CB2706"/>
    <w:rsid w:val="00CC420F"/>
    <w:rsid w:val="00CE2D88"/>
    <w:rsid w:val="00D062FD"/>
    <w:rsid w:val="00D83CB3"/>
    <w:rsid w:val="00D87EF2"/>
    <w:rsid w:val="00DB74E9"/>
    <w:rsid w:val="00DD35BD"/>
    <w:rsid w:val="00DE1904"/>
    <w:rsid w:val="00DE36B2"/>
    <w:rsid w:val="00E047AD"/>
    <w:rsid w:val="00E803C6"/>
    <w:rsid w:val="00E81679"/>
    <w:rsid w:val="00E96953"/>
    <w:rsid w:val="00EA5594"/>
    <w:rsid w:val="00F3161A"/>
    <w:rsid w:val="00F34F77"/>
    <w:rsid w:val="00F47517"/>
    <w:rsid w:val="00F779DC"/>
    <w:rsid w:val="00F81FCB"/>
    <w:rsid w:val="00F83BE8"/>
    <w:rsid w:val="00FE57A4"/>
    <w:rsid w:val="00FF3640"/>
    <w:rsid w:val="00FF6767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7DF7"/>
  <w15:chartTrackingRefBased/>
  <w15:docId w15:val="{2FEC6045-1553-4B89-9322-76879B97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CF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00458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5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5AC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35AC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35A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352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00458B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0045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87EF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0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96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A2F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ti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10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priyanjali</dc:creator>
  <cp:keywords/>
  <dc:description/>
  <cp:lastModifiedBy>Priyanjali Bhattacharya</cp:lastModifiedBy>
  <cp:revision>120</cp:revision>
  <dcterms:created xsi:type="dcterms:W3CDTF">2021-06-17T12:28:00Z</dcterms:created>
  <dcterms:modified xsi:type="dcterms:W3CDTF">2022-04-20T15:46:00Z</dcterms:modified>
</cp:coreProperties>
</file>