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16B" w:rsidRDefault="009F316B" w:rsidP="009F316B">
      <w:pPr>
        <w:spacing w:line="480" w:lineRule="auto"/>
      </w:pPr>
      <w:r>
        <w:rPr>
          <w:noProof/>
          <w:lang w:val="ru-RU"/>
        </w:rPr>
        <w:drawing>
          <wp:inline distT="0" distB="0" distL="0" distR="0" wp14:anchorId="1770021D" wp14:editId="3F0DBEE5">
            <wp:extent cx="5940425" cy="701421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 Fig S1 - MLTree2-SSU-All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16B" w:rsidRDefault="009F316B" w:rsidP="009F316B">
      <w:pPr>
        <w:spacing w:line="480" w:lineRule="auto"/>
      </w:pPr>
      <w:r>
        <w:t xml:space="preserve">Supplementary Figure S1. Maximum likelihood phylogenetic tree of the main clades of Amoebozoa based on the SSU rRNA gene analysis showing position of </w:t>
      </w:r>
      <w:r>
        <w:rPr>
          <w:i/>
        </w:rPr>
        <w:t>Coronamoeba villafranca</w:t>
      </w:r>
      <w:r>
        <w:t xml:space="preserve"> gen. nov. sp. nov. (indicated in bold). The tree is rooted between Discosea and other clades. Numbers at nodes indicate posterior probabilities/bootstrap support values if above 0.5/50. Thick branches = 1/100. Scale bar = 0.1 substitutions/site.</w:t>
      </w:r>
      <w:r>
        <w:br w:type="page"/>
      </w:r>
    </w:p>
    <w:p w:rsidR="009F316B" w:rsidRDefault="009F316B" w:rsidP="009F316B">
      <w:pPr>
        <w:spacing w:line="480" w:lineRule="auto"/>
      </w:pPr>
      <w:r>
        <w:rPr>
          <w:noProof/>
          <w:lang w:val="ru-RU"/>
        </w:rPr>
        <w:lastRenderedPageBreak/>
        <w:drawing>
          <wp:inline distT="0" distB="0" distL="0" distR="0" wp14:anchorId="0D611F0D" wp14:editId="61F0F09D">
            <wp:extent cx="5940425" cy="72269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ry Fig S2 - MLTree1-SSUActin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2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56" w:rsidRDefault="009F316B" w:rsidP="009F316B">
      <w:pPr>
        <w:spacing w:line="480" w:lineRule="auto"/>
      </w:pPr>
      <w:r>
        <w:t xml:space="preserve">Supplementary Figure S2. Maximum likelihood phylogenetic tree of the main clades of Amoebozoa based on the analysis of concatenated alignment of SSU rRNA and actin genes showing position of </w:t>
      </w:r>
      <w:r>
        <w:rPr>
          <w:i/>
        </w:rPr>
        <w:t>Coronamoeba villafranca</w:t>
      </w:r>
      <w:r>
        <w:t xml:space="preserve"> gen. nov. sp. nov. (indicated in bold). The tree is rooted between Discosea and other clades. Numbers at nodes indicate posterior probabilities/bootstrap support values if above 0.5/50. Thick branches = 1/100. Scale bar = 0.05 substitutions/site.</w:t>
      </w:r>
      <w:bookmarkStart w:id="0" w:name="_GoBack"/>
      <w:bookmarkEnd w:id="0"/>
    </w:p>
    <w:sectPr w:rsidR="007F2056" w:rsidSect="00EC7162">
      <w:headerReference w:type="default" r:id="rId6"/>
      <w:pgSz w:w="11906" w:h="16838"/>
      <w:pgMar w:top="1134" w:right="850" w:bottom="1134" w:left="1701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216" w:rsidRDefault="009F316B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6B"/>
    <w:rsid w:val="00257AEB"/>
    <w:rsid w:val="00917947"/>
    <w:rsid w:val="009F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0015"/>
  <w15:chartTrackingRefBased/>
  <w15:docId w15:val="{52F5F09F-93EE-4F6F-AF48-33EC81CD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6B"/>
    <w:pPr>
      <w:spacing w:after="200" w:line="276" w:lineRule="auto"/>
    </w:pPr>
    <w:rPr>
      <w:rFonts w:ascii="Calibri" w:eastAsia="Calibri" w:hAnsi="Calibri" w:cs="Calibri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F3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Kudryavtsev</dc:creator>
  <cp:keywords/>
  <dc:description/>
  <cp:lastModifiedBy>Alexander Kudryavtsev</cp:lastModifiedBy>
  <cp:revision>1</cp:revision>
  <dcterms:created xsi:type="dcterms:W3CDTF">2022-04-21T08:33:00Z</dcterms:created>
  <dcterms:modified xsi:type="dcterms:W3CDTF">2022-04-21T08:44:00Z</dcterms:modified>
</cp:coreProperties>
</file>